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CEFF2">
      <w:pPr>
        <w:rPr>
          <w:rFonts w:hint="default" w:ascii="Times New Roman" w:hAnsi="Times New Roman" w:eastAsia="宋体" w:cs="Times New Roman"/>
          <w:color w:val="000000" w:themeColor="text1"/>
          <w:sz w:val="36"/>
          <w:szCs w:val="36"/>
          <w:highlight w:val="none"/>
          <w:lang w:val="en-US" w:eastAsia="zh-CN"/>
          <w14:textFill>
            <w14:solidFill>
              <w14:schemeClr w14:val="tx1"/>
            </w14:solidFill>
          </w14:textFill>
        </w:rPr>
      </w:pPr>
    </w:p>
    <w:p w14:paraId="26EEA7F4">
      <w:pPr>
        <w:rPr>
          <w:rFonts w:hint="default" w:ascii="Times New Roman" w:hAnsi="Times New Roman" w:eastAsia="宋体" w:cs="Times New Roman"/>
          <w:color w:val="000000" w:themeColor="text1"/>
          <w:sz w:val="36"/>
          <w:szCs w:val="36"/>
          <w:highlight w:val="none"/>
          <w14:textFill>
            <w14:solidFill>
              <w14:schemeClr w14:val="tx1"/>
            </w14:solidFill>
          </w14:textFill>
        </w:rPr>
      </w:pPr>
    </w:p>
    <w:p w14:paraId="6306BBD7">
      <w:pPr>
        <w:rPr>
          <w:rFonts w:hint="default" w:ascii="Times New Roman" w:hAnsi="Times New Roman" w:eastAsia="宋体" w:cs="Times New Roman"/>
          <w:color w:val="000000" w:themeColor="text1"/>
          <w:sz w:val="36"/>
          <w:szCs w:val="36"/>
          <w:highlight w:val="none"/>
          <w14:textFill>
            <w14:solidFill>
              <w14:schemeClr w14:val="tx1"/>
            </w14:solidFill>
          </w14:textFill>
        </w:rPr>
      </w:pPr>
    </w:p>
    <w:p w14:paraId="4C86EA11">
      <w:pPr>
        <w:rPr>
          <w:rFonts w:hint="default" w:ascii="Times New Roman" w:hAnsi="Times New Roman" w:eastAsia="宋体" w:cs="Times New Roman"/>
          <w:color w:val="000000" w:themeColor="text1"/>
          <w:sz w:val="36"/>
          <w:szCs w:val="36"/>
          <w:highlight w:val="none"/>
          <w14:textFill>
            <w14:solidFill>
              <w14:schemeClr w14:val="tx1"/>
            </w14:solidFill>
          </w14:textFill>
        </w:rPr>
      </w:pPr>
    </w:p>
    <w:p w14:paraId="08AD7BC7">
      <w:pPr>
        <w:adjustRightInd w:val="0"/>
        <w:snapToGrid w:val="0"/>
        <w:jc w:val="center"/>
        <w:outlineLvl w:val="0"/>
        <w:rPr>
          <w:bCs/>
          <w:snapToGrid w:val="0"/>
          <w:color w:val="auto"/>
          <w:kern w:val="0"/>
          <w:sz w:val="72"/>
          <w:szCs w:val="72"/>
          <w:highlight w:val="none"/>
        </w:rPr>
      </w:pPr>
      <w:bookmarkStart w:id="0" w:name="_Toc5144"/>
      <w:r>
        <w:rPr>
          <w:bCs/>
          <w:snapToGrid w:val="0"/>
          <w:color w:val="auto"/>
          <w:kern w:val="0"/>
          <w:sz w:val="72"/>
          <w:szCs w:val="72"/>
          <w:highlight w:val="none"/>
        </w:rPr>
        <w:t>建设项目</w:t>
      </w:r>
      <w:r>
        <w:rPr>
          <w:rFonts w:hint="eastAsia"/>
          <w:bCs/>
          <w:snapToGrid w:val="0"/>
          <w:color w:val="auto"/>
          <w:kern w:val="0"/>
          <w:sz w:val="72"/>
          <w:szCs w:val="72"/>
          <w:highlight w:val="none"/>
          <w:lang w:val="en-US" w:eastAsia="zh-CN"/>
        </w:rPr>
        <w:t>生态</w:t>
      </w:r>
      <w:r>
        <w:rPr>
          <w:bCs/>
          <w:snapToGrid w:val="0"/>
          <w:color w:val="auto"/>
          <w:kern w:val="0"/>
          <w:sz w:val="72"/>
          <w:szCs w:val="72"/>
          <w:highlight w:val="none"/>
        </w:rPr>
        <w:t>环境影响报告表</w:t>
      </w:r>
      <w:bookmarkEnd w:id="0"/>
    </w:p>
    <w:p w14:paraId="7DB44F0A">
      <w:pPr>
        <w:adjustRightInd w:val="0"/>
        <w:snapToGrid w:val="0"/>
        <w:spacing w:before="192" w:beforeLines="80"/>
        <w:jc w:val="center"/>
        <w:rPr>
          <w:rFonts w:hint="default" w:ascii="Times New Roman" w:hAnsi="Times New Roman" w:eastAsia="宋体" w:cs="Times New Roman"/>
          <w:bCs/>
          <w:color w:val="000000" w:themeColor="text1"/>
          <w:sz w:val="48"/>
          <w:szCs w:val="48"/>
          <w:highlight w:val="none"/>
          <w14:textFill>
            <w14:solidFill>
              <w14:schemeClr w14:val="tx1"/>
            </w14:solidFill>
          </w14:textFill>
        </w:rPr>
      </w:pPr>
      <w:r>
        <w:rPr>
          <w:rFonts w:hint="default" w:ascii="Times New Roman" w:hAnsi="Times New Roman" w:eastAsia="宋体" w:cs="Times New Roman"/>
          <w:bCs/>
          <w:color w:val="000000" w:themeColor="text1"/>
          <w:sz w:val="48"/>
          <w:szCs w:val="48"/>
          <w:highlight w:val="none"/>
          <w14:textFill>
            <w14:solidFill>
              <w14:schemeClr w14:val="tx1"/>
            </w14:solidFill>
          </w14:textFill>
        </w:rPr>
        <w:t>（污染影响类）</w:t>
      </w:r>
    </w:p>
    <w:p w14:paraId="3FCFFA5A">
      <w:pPr>
        <w:adjustRightInd w:val="0"/>
        <w:snapToGrid w:val="0"/>
        <w:spacing w:line="288" w:lineRule="auto"/>
        <w:jc w:val="center"/>
        <w:outlineLvl w:val="9"/>
        <w:rPr>
          <w:rFonts w:hint="default" w:ascii="Times New Roman" w:hAnsi="Times New Roman" w:eastAsia="宋体" w:cs="Times New Roman"/>
          <w:color w:val="000000" w:themeColor="text1"/>
          <w:kern w:val="44"/>
          <w:sz w:val="44"/>
          <w:szCs w:val="44"/>
          <w:highlight w:val="none"/>
          <w14:textFill>
            <w14:solidFill>
              <w14:schemeClr w14:val="tx1"/>
            </w14:solidFill>
          </w14:textFill>
        </w:rPr>
      </w:pPr>
    </w:p>
    <w:p w14:paraId="1DD43CB4">
      <w:pPr>
        <w:tabs>
          <w:tab w:val="left" w:pos="5997"/>
        </w:tabs>
        <w:jc w:val="left"/>
        <w:rPr>
          <w:rFonts w:hint="default" w:ascii="Times New Roman" w:hAnsi="Times New Roman" w:eastAsia="宋体" w:cs="Times New Roman"/>
          <w:color w:val="000000" w:themeColor="text1"/>
          <w:sz w:val="52"/>
          <w:szCs w:val="52"/>
          <w:highlight w:val="none"/>
          <w14:textFill>
            <w14:solidFill>
              <w14:schemeClr w14:val="tx1"/>
            </w14:solidFill>
          </w14:textFill>
        </w:rPr>
      </w:pPr>
      <w:r>
        <w:rPr>
          <w:rFonts w:hint="default" w:ascii="Times New Roman" w:hAnsi="Times New Roman" w:eastAsia="宋体" w:cs="Times New Roman"/>
          <w:color w:val="000000" w:themeColor="text1"/>
          <w:sz w:val="52"/>
          <w:szCs w:val="52"/>
          <w:highlight w:val="none"/>
          <w14:textFill>
            <w14:solidFill>
              <w14:schemeClr w14:val="tx1"/>
            </w14:solidFill>
          </w14:textFill>
        </w:rPr>
        <w:tab/>
      </w:r>
    </w:p>
    <w:p w14:paraId="157F0F81">
      <w:pPr>
        <w:ind w:firstLine="1040"/>
        <w:jc w:val="center"/>
        <w:rPr>
          <w:rFonts w:hint="default" w:ascii="Times New Roman" w:hAnsi="Times New Roman" w:eastAsia="宋体" w:cs="Times New Roman"/>
          <w:color w:val="000000" w:themeColor="text1"/>
          <w:sz w:val="44"/>
          <w:szCs w:val="44"/>
          <w:highlight w:val="none"/>
          <w14:textFill>
            <w14:solidFill>
              <w14:schemeClr w14:val="tx1"/>
            </w14:solidFill>
          </w14:textFill>
        </w:rPr>
      </w:pPr>
    </w:p>
    <w:p w14:paraId="16739343">
      <w:pPr>
        <w:ind w:firstLine="1040"/>
        <w:jc w:val="center"/>
        <w:rPr>
          <w:rFonts w:hint="default" w:ascii="Times New Roman" w:hAnsi="Times New Roman" w:eastAsia="宋体" w:cs="Times New Roman"/>
          <w:color w:val="000000" w:themeColor="text1"/>
          <w:sz w:val="44"/>
          <w:szCs w:val="44"/>
          <w:highlight w:val="none"/>
          <w14:textFill>
            <w14:solidFill>
              <w14:schemeClr w14:val="tx1"/>
            </w14:solidFill>
          </w14:textFill>
        </w:rPr>
      </w:pPr>
    </w:p>
    <w:p w14:paraId="50608AB0">
      <w:pPr>
        <w:pStyle w:val="4"/>
        <w:rPr>
          <w:rFonts w:hint="default"/>
        </w:rPr>
      </w:pPr>
    </w:p>
    <w:p w14:paraId="6842310A">
      <w:pPr>
        <w:ind w:firstLine="1040"/>
        <w:jc w:val="center"/>
        <w:rPr>
          <w:rFonts w:hint="default" w:ascii="Times New Roman" w:hAnsi="Times New Roman" w:eastAsia="宋体" w:cs="Times New Roman"/>
          <w:color w:val="000000" w:themeColor="text1"/>
          <w:sz w:val="44"/>
          <w:szCs w:val="44"/>
          <w:highlight w:val="none"/>
          <w14:textFill>
            <w14:solidFill>
              <w14:schemeClr w14:val="tx1"/>
            </w14:solidFill>
          </w14:textFill>
        </w:rPr>
      </w:pPr>
    </w:p>
    <w:p w14:paraId="527A4DBD">
      <w:pPr>
        <w:ind w:firstLine="1040"/>
        <w:jc w:val="center"/>
        <w:rPr>
          <w:rFonts w:hint="default" w:ascii="Times New Roman" w:hAnsi="Times New Roman" w:eastAsia="宋体" w:cs="Times New Roman"/>
          <w:color w:val="000000" w:themeColor="text1"/>
          <w:sz w:val="44"/>
          <w:szCs w:val="44"/>
          <w:highlight w:val="none"/>
          <w14:textFill>
            <w14:solidFill>
              <w14:schemeClr w14:val="tx1"/>
            </w14:solidFill>
          </w14:textFill>
        </w:rPr>
      </w:pPr>
    </w:p>
    <w:p w14:paraId="46406824">
      <w:pPr>
        <w:adjustRightInd w:val="0"/>
        <w:snapToGrid w:val="0"/>
        <w:spacing w:line="360" w:lineRule="auto"/>
        <w:jc w:val="center"/>
        <w:rPr>
          <w:rFonts w:hint="default" w:ascii="Times New Roman" w:hAnsi="Times New Roman" w:eastAsia="宋体" w:cs="Times New Roman"/>
          <w:color w:val="000000" w:themeColor="text1"/>
          <w:sz w:val="32"/>
          <w:szCs w:val="32"/>
          <w:highlight w:val="none"/>
          <w:u w:val="single"/>
          <w14:textFill>
            <w14:solidFill>
              <w14:schemeClr w14:val="tx1"/>
            </w14:solidFill>
          </w14:textFill>
        </w:rPr>
      </w:pPr>
      <w:r>
        <w:rPr>
          <w:rFonts w:hint="default" w:ascii="Times New Roman" w:hAnsi="Times New Roman" w:eastAsia="宋体" w:cs="Times New Roman"/>
          <w:color w:val="000000" w:themeColor="text1"/>
          <w:sz w:val="32"/>
          <w:szCs w:val="32"/>
          <w:highlight w:val="none"/>
          <w14:textFill>
            <w14:solidFill>
              <w14:schemeClr w14:val="tx1"/>
            </w14:solidFill>
          </w14:textFill>
        </w:rPr>
        <w:t>项目名称：</w:t>
      </w:r>
      <w:r>
        <w:rPr>
          <w:rFonts w:hint="default" w:ascii="Times New Roman" w:hAnsi="Times New Roman" w:eastAsia="宋体" w:cs="Times New Roman"/>
          <w:color w:val="000000" w:themeColor="text1"/>
          <w:sz w:val="32"/>
          <w:szCs w:val="32"/>
          <w:highlight w:val="none"/>
          <w:u w:val="single"/>
          <w14:textFill>
            <w14:solidFill>
              <w14:schemeClr w14:val="tx1"/>
            </w14:solidFill>
          </w14:textFill>
        </w:rPr>
        <w:t>黑龙江省牡丹江农垦双合粮食仓储有限公司</w:t>
      </w:r>
      <w:r>
        <w:rPr>
          <w:rFonts w:hint="eastAsia" w:ascii="Times New Roman" w:hAnsi="Times New Roman" w:eastAsia="宋体" w:cs="Times New Roman"/>
          <w:color w:val="000000" w:themeColor="text1"/>
          <w:sz w:val="32"/>
          <w:szCs w:val="32"/>
          <w:highlight w:val="none"/>
          <w:u w:val="single"/>
          <w:lang w:val="en-US" w:eastAsia="zh-CN"/>
          <w14:textFill>
            <w14:solidFill>
              <w14:schemeClr w14:val="tx1"/>
            </w14:solidFill>
          </w14:textFill>
        </w:rPr>
        <w:t>建</w:t>
      </w:r>
      <w:r>
        <w:rPr>
          <w:rFonts w:hint="eastAsia" w:cs="Times New Roman"/>
          <w:color w:val="000000" w:themeColor="text1"/>
          <w:sz w:val="32"/>
          <w:szCs w:val="32"/>
          <w:highlight w:val="none"/>
          <w:u w:val="single"/>
          <w:lang w:val="en-US" w:eastAsia="zh-CN"/>
          <w14:textFill>
            <w14:solidFill>
              <w14:schemeClr w14:val="tx1"/>
            </w14:solidFill>
          </w14:textFill>
        </w:rPr>
        <w:t>设</w:t>
      </w:r>
      <w:r>
        <w:rPr>
          <w:rFonts w:hint="default" w:ascii="Times New Roman" w:hAnsi="Times New Roman" w:eastAsia="宋体" w:cs="Times New Roman"/>
          <w:color w:val="000000" w:themeColor="text1"/>
          <w:sz w:val="32"/>
          <w:szCs w:val="32"/>
          <w:highlight w:val="none"/>
          <w:u w:val="single"/>
          <w:lang w:val="en-US" w:eastAsia="zh-CN"/>
          <w14:textFill>
            <w14:solidFill>
              <w14:schemeClr w14:val="tx1"/>
            </w14:solidFill>
          </w14:textFill>
        </w:rPr>
        <w:t>项目</w:t>
      </w:r>
    </w:p>
    <w:p w14:paraId="14353479">
      <w:pPr>
        <w:adjustRightInd w:val="0"/>
        <w:snapToGrid w:val="0"/>
        <w:spacing w:line="360" w:lineRule="auto"/>
        <w:jc w:val="center"/>
        <w:rPr>
          <w:rFonts w:hint="default" w:ascii="Times New Roman" w:hAnsi="Times New Roman" w:eastAsia="宋体" w:cs="Times New Roman"/>
          <w:color w:val="000000" w:themeColor="text1"/>
          <w:sz w:val="32"/>
          <w:szCs w:val="32"/>
          <w:highlight w:val="none"/>
          <w:u w:val="single"/>
          <w:lang w:val="en-US"/>
          <w14:textFill>
            <w14:solidFill>
              <w14:schemeClr w14:val="tx1"/>
            </w14:solidFill>
          </w14:textFill>
        </w:rPr>
      </w:pPr>
      <w:r>
        <w:rPr>
          <w:rFonts w:hint="default" w:ascii="Times New Roman" w:hAnsi="Times New Roman" w:eastAsia="宋体" w:cs="Times New Roman"/>
          <w:color w:val="000000" w:themeColor="text1"/>
          <w:sz w:val="32"/>
          <w:szCs w:val="32"/>
          <w:highlight w:val="none"/>
          <w14:textFill>
            <w14:solidFill>
              <w14:schemeClr w14:val="tx1"/>
            </w14:solidFill>
          </w14:textFill>
        </w:rPr>
        <w:t>建设单位（盖章）：</w:t>
      </w:r>
      <w:r>
        <w:rPr>
          <w:rFonts w:hint="default" w:ascii="Times New Roman" w:hAnsi="Times New Roman" w:eastAsia="宋体" w:cs="Times New Roman"/>
          <w:color w:val="000000" w:themeColor="text1"/>
          <w:sz w:val="32"/>
          <w:szCs w:val="32"/>
          <w:highlight w:val="none"/>
          <w:u w:val="single"/>
          <w14:textFill>
            <w14:solidFill>
              <w14:schemeClr w14:val="tx1"/>
            </w14:solidFill>
          </w14:textFill>
        </w:rPr>
        <w:t>黑龙江省牡丹江农垦双合粮食仓储有限公司</w:t>
      </w:r>
    </w:p>
    <w:p w14:paraId="050CDD4C">
      <w:pPr>
        <w:adjustRightInd w:val="0"/>
        <w:snapToGrid w:val="0"/>
        <w:spacing w:line="360" w:lineRule="auto"/>
        <w:ind w:firstLine="640" w:firstLineChars="200"/>
        <w:jc w:val="center"/>
        <w:rPr>
          <w:rFonts w:hint="eastAsia" w:ascii="Times New Roman" w:hAnsi="Times New Roman" w:eastAsia="宋体" w:cs="Times New Roman"/>
          <w:color w:val="000000" w:themeColor="text1"/>
          <w:sz w:val="32"/>
          <w:szCs w:val="32"/>
          <w:highlight w:val="none"/>
          <w:u w:val="single"/>
          <w:lang w:val="en-US" w:eastAsia="zh-CN"/>
          <w14:textFill>
            <w14:solidFill>
              <w14:schemeClr w14:val="tx1"/>
            </w14:solidFill>
          </w14:textFill>
        </w:rPr>
      </w:pPr>
      <w:r>
        <w:rPr>
          <w:rFonts w:hint="default" w:ascii="Times New Roman" w:hAnsi="Times New Roman" w:eastAsia="宋体" w:cs="Times New Roman"/>
          <w:color w:val="000000" w:themeColor="text1"/>
          <w:sz w:val="32"/>
          <w:szCs w:val="32"/>
          <w:highlight w:val="none"/>
          <w14:textFill>
            <w14:solidFill>
              <w14:schemeClr w14:val="tx1"/>
            </w14:solidFill>
          </w14:textFill>
        </w:rPr>
        <w:t>编制日期：</w:t>
      </w:r>
      <w:r>
        <w:rPr>
          <w:rFonts w:hint="default" w:ascii="Times New Roman" w:hAnsi="Times New Roman" w:eastAsia="宋体" w:cs="Times New Roman"/>
          <w:color w:val="000000" w:themeColor="text1"/>
          <w:sz w:val="32"/>
          <w:szCs w:val="32"/>
          <w:highlight w:val="none"/>
          <w:u w:val="single"/>
          <w14:textFill>
            <w14:solidFill>
              <w14:schemeClr w14:val="tx1"/>
            </w14:solidFill>
          </w14:textFill>
        </w:rPr>
        <w:t xml:space="preserve"> 202</w:t>
      </w:r>
      <w:r>
        <w:rPr>
          <w:rFonts w:hint="eastAsia" w:cs="Times New Roman"/>
          <w:color w:val="000000" w:themeColor="text1"/>
          <w:sz w:val="32"/>
          <w:szCs w:val="32"/>
          <w:highlight w:val="none"/>
          <w:u w:val="single"/>
          <w:lang w:val="en-US" w:eastAsia="zh-CN"/>
          <w14:textFill>
            <w14:solidFill>
              <w14:schemeClr w14:val="tx1"/>
            </w14:solidFill>
          </w14:textFill>
        </w:rPr>
        <w:t>6</w:t>
      </w:r>
      <w:r>
        <w:rPr>
          <w:rFonts w:hint="default" w:ascii="Times New Roman" w:hAnsi="Times New Roman" w:eastAsia="宋体" w:cs="Times New Roman"/>
          <w:color w:val="000000" w:themeColor="text1"/>
          <w:sz w:val="32"/>
          <w:szCs w:val="32"/>
          <w:highlight w:val="none"/>
          <w:u w:val="single"/>
          <w14:textFill>
            <w14:solidFill>
              <w14:schemeClr w14:val="tx1"/>
            </w14:solidFill>
          </w14:textFill>
        </w:rPr>
        <w:t>年</w:t>
      </w:r>
      <w:r>
        <w:rPr>
          <w:rFonts w:hint="eastAsia" w:cs="Times New Roman"/>
          <w:color w:val="000000" w:themeColor="text1"/>
          <w:sz w:val="32"/>
          <w:szCs w:val="32"/>
          <w:highlight w:val="none"/>
          <w:u w:val="single"/>
          <w:lang w:val="en-US" w:eastAsia="zh-CN"/>
          <w14:textFill>
            <w14:solidFill>
              <w14:schemeClr w14:val="tx1"/>
            </w14:solidFill>
          </w14:textFill>
        </w:rPr>
        <w:t>7</w:t>
      </w:r>
      <w:r>
        <w:rPr>
          <w:rFonts w:hint="default" w:ascii="Times New Roman" w:hAnsi="Times New Roman" w:eastAsia="宋体" w:cs="Times New Roman"/>
          <w:color w:val="000000" w:themeColor="text1"/>
          <w:sz w:val="32"/>
          <w:szCs w:val="32"/>
          <w:highlight w:val="none"/>
          <w:u w:val="single"/>
          <w14:textFill>
            <w14:solidFill>
              <w14:schemeClr w14:val="tx1"/>
            </w14:solidFill>
          </w14:textFill>
        </w:rPr>
        <w:t>月</w:t>
      </w:r>
    </w:p>
    <w:p w14:paraId="2C4E6F0D">
      <w:pPr>
        <w:adjustRightInd w:val="0"/>
        <w:snapToGrid w:val="0"/>
        <w:spacing w:line="288" w:lineRule="auto"/>
        <w:ind w:firstLine="1040"/>
        <w:jc w:val="center"/>
        <w:rPr>
          <w:rFonts w:hint="default" w:ascii="Times New Roman" w:hAnsi="Times New Roman" w:eastAsia="宋体" w:cs="Times New Roman"/>
          <w:color w:val="000000" w:themeColor="text1"/>
          <w:sz w:val="36"/>
          <w:szCs w:val="36"/>
          <w:highlight w:val="none"/>
          <w:u w:val="single"/>
          <w14:textFill>
            <w14:solidFill>
              <w14:schemeClr w14:val="tx1"/>
            </w14:solidFill>
          </w14:textFill>
        </w:rPr>
      </w:pPr>
      <w:bookmarkStart w:id="1" w:name="_Hlk57884087"/>
    </w:p>
    <w:p w14:paraId="01FE13DD">
      <w:pPr>
        <w:adjustRightInd w:val="0"/>
        <w:snapToGrid w:val="0"/>
        <w:spacing w:line="288" w:lineRule="auto"/>
        <w:ind w:firstLine="1040"/>
        <w:jc w:val="center"/>
        <w:rPr>
          <w:rFonts w:hint="default" w:ascii="Times New Roman" w:hAnsi="Times New Roman" w:eastAsia="宋体" w:cs="Times New Roman"/>
          <w:color w:val="000000" w:themeColor="text1"/>
          <w:sz w:val="36"/>
          <w:szCs w:val="36"/>
          <w:highlight w:val="none"/>
          <w14:textFill>
            <w14:solidFill>
              <w14:schemeClr w14:val="tx1"/>
            </w14:solidFill>
          </w14:textFill>
        </w:rPr>
      </w:pPr>
    </w:p>
    <w:p w14:paraId="01DB8866">
      <w:pPr>
        <w:adjustRightInd w:val="0"/>
        <w:snapToGrid w:val="0"/>
        <w:spacing w:line="288" w:lineRule="auto"/>
        <w:ind w:firstLine="1040"/>
        <w:jc w:val="center"/>
        <w:rPr>
          <w:rFonts w:hint="default" w:ascii="Times New Roman" w:hAnsi="Times New Roman" w:eastAsia="宋体" w:cs="Times New Roman"/>
          <w:color w:val="000000" w:themeColor="text1"/>
          <w:sz w:val="36"/>
          <w:szCs w:val="36"/>
          <w:highlight w:val="none"/>
          <w14:textFill>
            <w14:solidFill>
              <w14:schemeClr w14:val="tx1"/>
            </w14:solidFill>
          </w14:textFill>
        </w:rPr>
      </w:pPr>
    </w:p>
    <w:p w14:paraId="6BC12794">
      <w:pPr>
        <w:adjustRightInd w:val="0"/>
        <w:snapToGrid w:val="0"/>
        <w:spacing w:line="288" w:lineRule="auto"/>
        <w:ind w:firstLine="1040"/>
        <w:jc w:val="center"/>
        <w:rPr>
          <w:rFonts w:hint="default" w:ascii="Times New Roman" w:hAnsi="Times New Roman" w:eastAsia="宋体" w:cs="Times New Roman"/>
          <w:color w:val="000000" w:themeColor="text1"/>
          <w:sz w:val="36"/>
          <w:szCs w:val="36"/>
          <w:highlight w:val="none"/>
          <w14:textFill>
            <w14:solidFill>
              <w14:schemeClr w14:val="tx1"/>
            </w14:solidFill>
          </w14:textFill>
        </w:rPr>
      </w:pPr>
    </w:p>
    <w:bookmarkEnd w:id="1"/>
    <w:p w14:paraId="47D1373E">
      <w:pPr>
        <w:adjustRightInd w:val="0"/>
        <w:snapToGrid w:val="0"/>
        <w:spacing w:line="288" w:lineRule="auto"/>
        <w:jc w:val="center"/>
        <w:outlineLvl w:val="9"/>
        <w:rPr>
          <w:rFonts w:hint="default" w:ascii="Times New Roman" w:hAnsi="Times New Roman" w:eastAsia="宋体" w:cs="Times New Roman"/>
          <w:color w:val="000000" w:themeColor="text1"/>
          <w:sz w:val="36"/>
          <w:szCs w:val="36"/>
          <w:highlight w:val="none"/>
          <w14:textFill>
            <w14:solidFill>
              <w14:schemeClr w14:val="tx1"/>
            </w14:solidFill>
          </w14:textFill>
        </w:rPr>
      </w:pPr>
      <w:bookmarkStart w:id="2" w:name="_Toc4772"/>
      <w:r>
        <w:rPr>
          <w:rFonts w:hint="default" w:ascii="Times New Roman" w:hAnsi="Times New Roman" w:eastAsia="宋体" w:cs="Times New Roman"/>
          <w:color w:val="000000" w:themeColor="text1"/>
          <w:sz w:val="36"/>
          <w:szCs w:val="36"/>
          <w:highlight w:val="none"/>
          <w14:textFill>
            <w14:solidFill>
              <w14:schemeClr w14:val="tx1"/>
            </w14:solidFill>
          </w14:textFill>
        </w:rPr>
        <w:t>中华人民共和国生态环境部制</w:t>
      </w:r>
      <w:bookmarkEnd w:id="2"/>
    </w:p>
    <w:p w14:paraId="0263234C">
      <w:pPr>
        <w:spacing w:line="360" w:lineRule="auto"/>
        <w:jc w:val="left"/>
        <w:rPr>
          <w:rFonts w:hint="default" w:ascii="Times New Roman" w:hAnsi="Times New Roman" w:eastAsia="宋体" w:cs="Times New Roman"/>
          <w:color w:val="000000" w:themeColor="text1"/>
          <w:highlight w:val="none"/>
          <w:lang w:val="en-US" w:eastAsia="zh-CN"/>
          <w14:textFill>
            <w14:solidFill>
              <w14:schemeClr w14:val="tx1"/>
            </w14:solidFill>
          </w14:textFill>
        </w:rPr>
        <w:sectPr>
          <w:footerReference r:id="rId3" w:type="default"/>
          <w:footerReference r:id="rId4" w:type="even"/>
          <w:pgSz w:w="11906" w:h="16838"/>
          <w:pgMar w:top="1701" w:right="1247" w:bottom="1701" w:left="1247" w:header="851" w:footer="1077" w:gutter="0"/>
          <w:pgBorders>
            <w:top w:val="none" w:sz="0" w:space="0"/>
            <w:left w:val="none" w:sz="0" w:space="0"/>
            <w:bottom w:val="none" w:sz="0" w:space="0"/>
            <w:right w:val="none" w:sz="0" w:space="0"/>
          </w:pgBorders>
          <w:pgNumType w:start="3"/>
          <w:cols w:space="720" w:num="1"/>
          <w:docGrid w:linePitch="312" w:charSpace="0"/>
        </w:sectPr>
      </w:pPr>
    </w:p>
    <w:p w14:paraId="77A8A73C">
      <w:pPr>
        <w:spacing w:line="360" w:lineRule="auto"/>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drawing>
          <wp:inline distT="0" distB="0" distL="114300" distR="114300">
            <wp:extent cx="5730240" cy="7800340"/>
            <wp:effectExtent l="0" t="0" r="3810" b="1016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12"/>
                    <a:stretch>
                      <a:fillRect/>
                    </a:stretch>
                  </pic:blipFill>
                  <pic:spPr>
                    <a:xfrm>
                      <a:off x="0" y="0"/>
                      <a:ext cx="5730240" cy="7800340"/>
                    </a:xfrm>
                    <a:prstGeom prst="rect">
                      <a:avLst/>
                    </a:prstGeom>
                    <a:noFill/>
                    <a:ln>
                      <a:noFill/>
                    </a:ln>
                  </pic:spPr>
                </pic:pic>
              </a:graphicData>
            </a:graphic>
          </wp:inline>
        </w:drawing>
      </w:r>
    </w:p>
    <w:p w14:paraId="79EADB59">
      <w:pPr>
        <w:keepNext w:val="0"/>
        <w:keepLines w:val="0"/>
        <w:pageBreakBefore/>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36"/>
          <w:szCs w:val="36"/>
          <w:highlight w:val="none"/>
          <w:lang w:val="en-US" w:eastAsia="zh-CN" w:bidi="ar-SA"/>
          <w14:textFill>
            <w14:solidFill>
              <w14:schemeClr w14:val="tx1"/>
            </w14:solidFill>
          </w14:textFill>
        </w:rPr>
        <w:sectPr>
          <w:footerReference r:id="rId5" w:type="default"/>
          <w:pgSz w:w="11906" w:h="16838"/>
          <w:pgMar w:top="1701" w:right="1247" w:bottom="1701" w:left="1247" w:header="851" w:footer="1077" w:gutter="0"/>
          <w:pgBorders>
            <w:top w:val="none" w:sz="0" w:space="0"/>
            <w:left w:val="none" w:sz="0" w:space="0"/>
            <w:bottom w:val="none" w:sz="0" w:space="0"/>
            <w:right w:val="none" w:sz="0" w:space="0"/>
          </w:pgBorders>
          <w:pgNumType w:start="1"/>
          <w:cols w:space="720" w:num="1"/>
          <w:docGrid w:linePitch="312" w:charSpace="0"/>
        </w:sectPr>
      </w:pPr>
    </w:p>
    <w:sdt>
      <w:sdtPr>
        <w:rPr>
          <w:rFonts w:hint="default" w:ascii="Times New Roman" w:hAnsi="Times New Roman" w:eastAsia="宋体" w:cs="Times New Roman"/>
          <w:color w:val="000000" w:themeColor="text1"/>
          <w:kern w:val="2"/>
          <w:sz w:val="36"/>
          <w:szCs w:val="36"/>
          <w:highlight w:val="none"/>
          <w:lang w:val="en-US" w:eastAsia="zh-CN" w:bidi="ar-SA"/>
          <w14:textFill>
            <w14:solidFill>
              <w14:schemeClr w14:val="tx1"/>
            </w14:solidFill>
          </w14:textFill>
        </w:rPr>
        <w:id w:val="147461361"/>
        <w15:color w:val="DBDBDB"/>
        <w:docPartObj>
          <w:docPartGallery w:val="Table of Contents"/>
          <w:docPartUnique/>
        </w:docPartObj>
      </w:sdtPr>
      <w:sdtEndPr>
        <w:rPr>
          <w:rFonts w:hint="default" w:ascii="Times New Roman" w:hAnsi="Times New Roman" w:eastAsia="宋体" w:cs="Times New Roman"/>
          <w:color w:val="000000" w:themeColor="text1"/>
          <w:kern w:val="2"/>
          <w:sz w:val="28"/>
          <w:szCs w:val="28"/>
          <w:highlight w:val="none"/>
          <w:lang w:val="en-US" w:eastAsia="zh-CN" w:bidi="ar-SA"/>
          <w14:textFill>
            <w14:solidFill>
              <w14:schemeClr w14:val="tx1"/>
            </w14:solidFill>
          </w14:textFill>
        </w:rPr>
      </w:sdtEndPr>
      <w:sdtContent>
        <w:p w14:paraId="1C9166A8">
          <w:pPr>
            <w:keepNext w:val="0"/>
            <w:keepLines w:val="0"/>
            <w:pageBreakBefore/>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36"/>
              <w:szCs w:val="36"/>
              <w:highlight w:val="none"/>
              <w14:textFill>
                <w14:solidFill>
                  <w14:schemeClr w14:val="tx1"/>
                </w14:solidFill>
              </w14:textFill>
            </w:rPr>
          </w:pPr>
          <w:r>
            <w:rPr>
              <w:rFonts w:hint="default" w:ascii="Times New Roman" w:hAnsi="Times New Roman" w:eastAsia="宋体" w:cs="Times New Roman"/>
              <w:color w:val="000000" w:themeColor="text1"/>
              <w:sz w:val="36"/>
              <w:szCs w:val="36"/>
              <w:highlight w:val="none"/>
              <w14:textFill>
                <w14:solidFill>
                  <w14:schemeClr w14:val="tx1"/>
                </w14:solidFill>
              </w14:textFill>
            </w:rPr>
            <w:t>目录</w:t>
          </w:r>
        </w:p>
        <w:p w14:paraId="16762EA8">
          <w:pPr>
            <w:pStyle w:val="32"/>
            <w:rPr>
              <w:rFonts w:hint="default"/>
            </w:rPr>
          </w:pPr>
        </w:p>
        <w:p w14:paraId="4448303C">
          <w:pPr>
            <w:pStyle w:val="24"/>
            <w:tabs>
              <w:tab w:val="right" w:leader="dot" w:pos="8844"/>
              <w:tab w:val="clear" w:pos="9060"/>
            </w:tabs>
            <w:spacing w:line="360" w:lineRule="auto"/>
            <w:rPr>
              <w:rFonts w:hint="default" w:ascii="Times New Roman" w:hAnsi="Times New Roman" w:cs="Times New Roman"/>
              <w:sz w:val="28"/>
              <w:szCs w:val="28"/>
            </w:rPr>
          </w:pP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instrText xml:space="preserve">TOC \o "1-1" \h \u </w:instrText>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sz w:val="28"/>
              <w:szCs w:val="28"/>
              <w:highlight w:val="none"/>
              <w:lang w:val="en-US" w:eastAsia="zh-CN"/>
            </w:rPr>
            <w:instrText xml:space="preserve"> HYPERLINK \l _Toc18288 </w:instrText>
          </w:r>
          <w:r>
            <w:rPr>
              <w:rFonts w:hint="default" w:ascii="Times New Roman" w:hAnsi="Times New Roman" w:eastAsia="宋体" w:cs="Times New Roman"/>
              <w:sz w:val="28"/>
              <w:szCs w:val="28"/>
              <w:highlight w:val="none"/>
              <w:lang w:val="en-US" w:eastAsia="zh-CN"/>
            </w:rPr>
            <w:fldChar w:fldCharType="separate"/>
          </w:r>
          <w:r>
            <w:rPr>
              <w:rFonts w:hint="default" w:ascii="Times New Roman" w:hAnsi="Times New Roman" w:eastAsia="宋体" w:cs="Times New Roman"/>
              <w:snapToGrid w:val="0"/>
              <w:sz w:val="28"/>
              <w:szCs w:val="28"/>
              <w:highlight w:val="none"/>
            </w:rPr>
            <w:t>一、建设项目基本情况</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_Toc18288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end"/>
          </w:r>
        </w:p>
        <w:p w14:paraId="7FB3978A">
          <w:pPr>
            <w:pStyle w:val="24"/>
            <w:tabs>
              <w:tab w:val="right" w:leader="dot" w:pos="8844"/>
              <w:tab w:val="clear" w:pos="9060"/>
            </w:tabs>
            <w:spacing w:line="360" w:lineRule="auto"/>
            <w:rPr>
              <w:rFonts w:hint="default" w:ascii="Times New Roman" w:hAnsi="Times New Roman" w:cs="Times New Roman"/>
              <w:sz w:val="28"/>
              <w:szCs w:val="28"/>
            </w:rPr>
          </w:pP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sz w:val="28"/>
              <w:szCs w:val="28"/>
              <w:highlight w:val="none"/>
              <w:lang w:val="en-US" w:eastAsia="zh-CN"/>
            </w:rPr>
            <w:instrText xml:space="preserve"> HYPERLINK \l _Toc28537 </w:instrText>
          </w:r>
          <w:r>
            <w:rPr>
              <w:rFonts w:hint="default" w:ascii="Times New Roman" w:hAnsi="Times New Roman" w:eastAsia="宋体" w:cs="Times New Roman"/>
              <w:sz w:val="28"/>
              <w:szCs w:val="28"/>
              <w:highlight w:val="none"/>
              <w:lang w:val="en-US" w:eastAsia="zh-CN"/>
            </w:rPr>
            <w:fldChar w:fldCharType="separate"/>
          </w:r>
          <w:r>
            <w:rPr>
              <w:rFonts w:hint="default" w:ascii="Times New Roman" w:hAnsi="Times New Roman" w:eastAsia="宋体" w:cs="Times New Roman"/>
              <w:snapToGrid w:val="0"/>
              <w:sz w:val="28"/>
              <w:szCs w:val="28"/>
              <w:highlight w:val="none"/>
            </w:rPr>
            <w:t>二、建设项目工程分析</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_Toc28537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end"/>
          </w:r>
        </w:p>
        <w:p w14:paraId="111466C9">
          <w:pPr>
            <w:pStyle w:val="24"/>
            <w:tabs>
              <w:tab w:val="right" w:leader="dot" w:pos="8844"/>
              <w:tab w:val="clear" w:pos="9060"/>
            </w:tabs>
            <w:spacing w:line="360" w:lineRule="auto"/>
            <w:rPr>
              <w:rFonts w:hint="default" w:ascii="Times New Roman" w:hAnsi="Times New Roman" w:cs="Times New Roman"/>
              <w:sz w:val="28"/>
              <w:szCs w:val="28"/>
            </w:rPr>
          </w:pP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sz w:val="28"/>
              <w:szCs w:val="28"/>
              <w:highlight w:val="none"/>
              <w:lang w:val="en-US" w:eastAsia="zh-CN"/>
            </w:rPr>
            <w:instrText xml:space="preserve"> HYPERLINK \l _Toc15952 </w:instrText>
          </w:r>
          <w:r>
            <w:rPr>
              <w:rFonts w:hint="default" w:ascii="Times New Roman" w:hAnsi="Times New Roman" w:eastAsia="宋体" w:cs="Times New Roman"/>
              <w:sz w:val="28"/>
              <w:szCs w:val="28"/>
              <w:highlight w:val="none"/>
              <w:lang w:val="en-US" w:eastAsia="zh-CN"/>
            </w:rPr>
            <w:fldChar w:fldCharType="separate"/>
          </w:r>
          <w:r>
            <w:rPr>
              <w:rFonts w:hint="default" w:ascii="Times New Roman" w:hAnsi="Times New Roman" w:eastAsia="宋体" w:cs="Times New Roman"/>
              <w:snapToGrid w:val="0"/>
              <w:sz w:val="28"/>
              <w:szCs w:val="28"/>
              <w:highlight w:val="none"/>
            </w:rPr>
            <w:t>三、区域环境质量现状、环境保护目标及评价标准</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_Toc15952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33</w:t>
          </w:r>
          <w:r>
            <w:rPr>
              <w:rFonts w:hint="default" w:ascii="Times New Roman" w:hAnsi="Times New Roman" w:cs="Times New Roman"/>
              <w:sz w:val="28"/>
              <w:szCs w:val="28"/>
            </w:rPr>
            <w:fldChar w:fldCharType="end"/>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end"/>
          </w:r>
        </w:p>
        <w:p w14:paraId="10F48057">
          <w:pPr>
            <w:pStyle w:val="24"/>
            <w:tabs>
              <w:tab w:val="right" w:leader="dot" w:pos="8844"/>
              <w:tab w:val="clear" w:pos="9060"/>
            </w:tabs>
            <w:spacing w:line="360" w:lineRule="auto"/>
            <w:rPr>
              <w:rFonts w:hint="default" w:ascii="Times New Roman" w:hAnsi="Times New Roman" w:cs="Times New Roman"/>
              <w:sz w:val="28"/>
              <w:szCs w:val="28"/>
            </w:rPr>
          </w:pP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sz w:val="28"/>
              <w:szCs w:val="28"/>
              <w:highlight w:val="none"/>
              <w:lang w:val="en-US" w:eastAsia="zh-CN"/>
            </w:rPr>
            <w:instrText xml:space="preserve"> HYPERLINK \l _Toc10979 </w:instrText>
          </w:r>
          <w:r>
            <w:rPr>
              <w:rFonts w:hint="default" w:ascii="Times New Roman" w:hAnsi="Times New Roman" w:eastAsia="宋体" w:cs="Times New Roman"/>
              <w:sz w:val="28"/>
              <w:szCs w:val="28"/>
              <w:highlight w:val="none"/>
              <w:lang w:val="en-US" w:eastAsia="zh-CN"/>
            </w:rPr>
            <w:fldChar w:fldCharType="separate"/>
          </w:r>
          <w:r>
            <w:rPr>
              <w:rFonts w:hint="default" w:ascii="Times New Roman" w:hAnsi="Times New Roman" w:eastAsia="宋体" w:cs="Times New Roman"/>
              <w:snapToGrid w:val="0"/>
              <w:sz w:val="28"/>
              <w:szCs w:val="28"/>
              <w:highlight w:val="none"/>
            </w:rPr>
            <w:t>四、主要环境影响和保护措施</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_Toc10979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39</w:t>
          </w:r>
          <w:r>
            <w:rPr>
              <w:rFonts w:hint="default" w:ascii="Times New Roman" w:hAnsi="Times New Roman" w:cs="Times New Roman"/>
              <w:sz w:val="28"/>
              <w:szCs w:val="28"/>
            </w:rPr>
            <w:fldChar w:fldCharType="end"/>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end"/>
          </w:r>
        </w:p>
        <w:p w14:paraId="0AA7E8A9">
          <w:pPr>
            <w:pStyle w:val="24"/>
            <w:tabs>
              <w:tab w:val="right" w:leader="dot" w:pos="8844"/>
              <w:tab w:val="clear" w:pos="9060"/>
            </w:tabs>
            <w:spacing w:line="360" w:lineRule="auto"/>
            <w:rPr>
              <w:rFonts w:hint="default" w:ascii="Times New Roman" w:hAnsi="Times New Roman" w:cs="Times New Roman"/>
              <w:sz w:val="28"/>
              <w:szCs w:val="28"/>
            </w:rPr>
          </w:pP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sz w:val="28"/>
              <w:szCs w:val="28"/>
              <w:highlight w:val="none"/>
              <w:lang w:val="en-US" w:eastAsia="zh-CN"/>
            </w:rPr>
            <w:instrText xml:space="preserve"> HYPERLINK \l _Toc4115 </w:instrText>
          </w:r>
          <w:r>
            <w:rPr>
              <w:rFonts w:hint="default" w:ascii="Times New Roman" w:hAnsi="Times New Roman" w:eastAsia="宋体" w:cs="Times New Roman"/>
              <w:sz w:val="28"/>
              <w:szCs w:val="28"/>
              <w:highlight w:val="none"/>
              <w:lang w:val="en-US" w:eastAsia="zh-CN"/>
            </w:rPr>
            <w:fldChar w:fldCharType="separate"/>
          </w:r>
          <w:r>
            <w:rPr>
              <w:rFonts w:hint="default" w:ascii="Times New Roman" w:hAnsi="Times New Roman" w:eastAsia="宋体" w:cs="Times New Roman"/>
              <w:snapToGrid w:val="0"/>
              <w:sz w:val="28"/>
              <w:szCs w:val="28"/>
              <w:highlight w:val="none"/>
            </w:rPr>
            <w:t>五、环境保护措施监督检查清单</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_Toc4115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66</w:t>
          </w:r>
          <w:r>
            <w:rPr>
              <w:rFonts w:hint="default" w:ascii="Times New Roman" w:hAnsi="Times New Roman" w:cs="Times New Roman"/>
              <w:sz w:val="28"/>
              <w:szCs w:val="28"/>
            </w:rPr>
            <w:fldChar w:fldCharType="end"/>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end"/>
          </w:r>
        </w:p>
        <w:p w14:paraId="35377BC5">
          <w:pPr>
            <w:pStyle w:val="24"/>
            <w:tabs>
              <w:tab w:val="right" w:leader="dot" w:pos="8844"/>
              <w:tab w:val="clear" w:pos="9060"/>
            </w:tabs>
            <w:spacing w:line="360" w:lineRule="auto"/>
            <w:rPr>
              <w:rFonts w:hint="default" w:ascii="Times New Roman" w:hAnsi="Times New Roman" w:cs="Times New Roman"/>
              <w:sz w:val="28"/>
              <w:szCs w:val="28"/>
            </w:rPr>
          </w:pP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sz w:val="28"/>
              <w:szCs w:val="28"/>
              <w:highlight w:val="none"/>
              <w:lang w:val="en-US" w:eastAsia="zh-CN"/>
            </w:rPr>
            <w:instrText xml:space="preserve"> HYPERLINK \l _Toc32058 </w:instrText>
          </w:r>
          <w:r>
            <w:rPr>
              <w:rFonts w:hint="default" w:ascii="Times New Roman" w:hAnsi="Times New Roman" w:eastAsia="宋体" w:cs="Times New Roman"/>
              <w:sz w:val="28"/>
              <w:szCs w:val="28"/>
              <w:highlight w:val="none"/>
              <w:lang w:val="en-US" w:eastAsia="zh-CN"/>
            </w:rPr>
            <w:fldChar w:fldCharType="separate"/>
          </w:r>
          <w:r>
            <w:rPr>
              <w:rFonts w:hint="default" w:ascii="Times New Roman" w:hAnsi="Times New Roman" w:eastAsia="宋体" w:cs="Times New Roman"/>
              <w:snapToGrid w:val="0"/>
              <w:sz w:val="28"/>
              <w:szCs w:val="28"/>
              <w:highlight w:val="none"/>
            </w:rPr>
            <w:t>六、结论</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_Toc32058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69</w:t>
          </w:r>
          <w:r>
            <w:rPr>
              <w:rFonts w:hint="default" w:ascii="Times New Roman" w:hAnsi="Times New Roman" w:cs="Times New Roman"/>
              <w:sz w:val="28"/>
              <w:szCs w:val="28"/>
            </w:rPr>
            <w:fldChar w:fldCharType="end"/>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end"/>
          </w:r>
        </w:p>
        <w:p w14:paraId="462981B2">
          <w:pPr>
            <w:pStyle w:val="24"/>
            <w:tabs>
              <w:tab w:val="right" w:leader="dot" w:pos="8844"/>
              <w:tab w:val="clear" w:pos="9060"/>
            </w:tabs>
            <w:spacing w:line="360" w:lineRule="auto"/>
            <w:rPr>
              <w:rFonts w:hint="default" w:ascii="Times New Roman" w:hAnsi="Times New Roman" w:cs="Times New Roman"/>
              <w:sz w:val="28"/>
              <w:szCs w:val="28"/>
            </w:rPr>
          </w:pP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sz w:val="28"/>
              <w:szCs w:val="28"/>
              <w:highlight w:val="none"/>
              <w:lang w:val="en-US" w:eastAsia="zh-CN"/>
            </w:rPr>
            <w:instrText xml:space="preserve"> HYPERLINK \l _Toc18257 </w:instrText>
          </w:r>
          <w:r>
            <w:rPr>
              <w:rFonts w:hint="default" w:ascii="Times New Roman" w:hAnsi="Times New Roman" w:eastAsia="宋体" w:cs="Times New Roman"/>
              <w:sz w:val="28"/>
              <w:szCs w:val="28"/>
              <w:highlight w:val="none"/>
              <w:lang w:val="en-US" w:eastAsia="zh-CN"/>
            </w:rPr>
            <w:fldChar w:fldCharType="separate"/>
          </w:r>
          <w:r>
            <w:rPr>
              <w:rFonts w:hint="default" w:ascii="Times New Roman" w:hAnsi="Times New Roman" w:eastAsia="宋体" w:cs="Times New Roman"/>
              <w:snapToGrid w:val="0"/>
              <w:sz w:val="28"/>
              <w:szCs w:val="28"/>
              <w:highlight w:val="none"/>
            </w:rPr>
            <w:t>附表</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_Toc18257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70</w:t>
          </w:r>
          <w:r>
            <w:rPr>
              <w:rFonts w:hint="default" w:ascii="Times New Roman" w:hAnsi="Times New Roman" w:cs="Times New Roman"/>
              <w:sz w:val="28"/>
              <w:szCs w:val="28"/>
            </w:rPr>
            <w:fldChar w:fldCharType="end"/>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end"/>
          </w:r>
        </w:p>
        <w:p w14:paraId="240C2BB9">
          <w:pPr>
            <w:pStyle w:val="24"/>
            <w:tabs>
              <w:tab w:val="right" w:leader="dot" w:pos="8844"/>
              <w:tab w:val="clear" w:pos="9060"/>
            </w:tabs>
            <w:spacing w:line="360" w:lineRule="auto"/>
            <w:rPr>
              <w:rFonts w:hint="default" w:ascii="Times New Roman" w:hAnsi="Times New Roman" w:cs="Times New Roman"/>
              <w:sz w:val="28"/>
              <w:szCs w:val="28"/>
            </w:rPr>
          </w:pP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sz w:val="28"/>
              <w:szCs w:val="28"/>
              <w:highlight w:val="none"/>
              <w:lang w:val="en-US" w:eastAsia="zh-CN"/>
            </w:rPr>
            <w:instrText xml:space="preserve"> HYPERLINK \l _Toc15701 </w:instrText>
          </w:r>
          <w:r>
            <w:rPr>
              <w:rFonts w:hint="default" w:ascii="Times New Roman" w:hAnsi="Times New Roman" w:eastAsia="宋体" w:cs="Times New Roman"/>
              <w:sz w:val="28"/>
              <w:szCs w:val="28"/>
              <w:highlight w:val="none"/>
              <w:lang w:val="en-US" w:eastAsia="zh-CN"/>
            </w:rPr>
            <w:fldChar w:fldCharType="separate"/>
          </w:r>
          <w:r>
            <w:rPr>
              <w:rFonts w:hint="default" w:ascii="Times New Roman" w:hAnsi="Times New Roman" w:eastAsia="宋体" w:cs="Times New Roman"/>
              <w:snapToGrid w:val="0"/>
              <w:sz w:val="28"/>
              <w:szCs w:val="28"/>
              <w:highlight w:val="none"/>
            </w:rPr>
            <w:t>建设项目污染物排放量汇总表</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_Toc15701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70</w:t>
          </w:r>
          <w:r>
            <w:rPr>
              <w:rFonts w:hint="default" w:ascii="Times New Roman" w:hAnsi="Times New Roman" w:cs="Times New Roman"/>
              <w:sz w:val="28"/>
              <w:szCs w:val="28"/>
            </w:rPr>
            <w:fldChar w:fldCharType="end"/>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end"/>
          </w:r>
        </w:p>
        <w:p w14:paraId="19C5F0A2">
          <w:pPr>
            <w:pStyle w:val="24"/>
            <w:tabs>
              <w:tab w:val="right" w:leader="dot" w:pos="8844"/>
              <w:tab w:val="clear" w:pos="9060"/>
            </w:tabs>
            <w:spacing w:line="360" w:lineRule="auto"/>
            <w:rPr>
              <w:rFonts w:hint="default" w:ascii="Times New Roman" w:hAnsi="Times New Roman" w:cs="Times New Roman"/>
              <w:sz w:val="28"/>
              <w:szCs w:val="28"/>
            </w:rPr>
          </w:pP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sz w:val="28"/>
              <w:szCs w:val="28"/>
              <w:highlight w:val="none"/>
              <w:lang w:val="en-US" w:eastAsia="zh-CN"/>
            </w:rPr>
            <w:instrText xml:space="preserve"> HYPERLINK \l _Toc930 </w:instrText>
          </w:r>
          <w:r>
            <w:rPr>
              <w:rFonts w:hint="default" w:ascii="Times New Roman" w:hAnsi="Times New Roman" w:eastAsia="宋体" w:cs="Times New Roman"/>
              <w:sz w:val="28"/>
              <w:szCs w:val="28"/>
              <w:highlight w:val="none"/>
              <w:lang w:val="en-US" w:eastAsia="zh-CN"/>
            </w:rPr>
            <w:fldChar w:fldCharType="separate"/>
          </w:r>
          <w:r>
            <w:rPr>
              <w:rFonts w:hint="default" w:ascii="Times New Roman" w:hAnsi="Times New Roman" w:eastAsia="宋体" w:cs="Times New Roman"/>
              <w:sz w:val="28"/>
              <w:szCs w:val="28"/>
              <w:highlight w:val="none"/>
            </w:rPr>
            <w:t>附图</w:t>
          </w:r>
          <w:r>
            <w:rPr>
              <w:rFonts w:hint="default" w:ascii="Times New Roman" w:hAnsi="Times New Roman" w:eastAsia="宋体" w:cs="Times New Roman"/>
              <w:sz w:val="28"/>
              <w:szCs w:val="28"/>
              <w:highlight w:val="none"/>
              <w:lang w:val="en-US" w:eastAsia="zh-CN"/>
            </w:rPr>
            <w:t>1</w:t>
          </w:r>
          <w:r>
            <w:rPr>
              <w:rFonts w:hint="default" w:ascii="Times New Roman" w:hAnsi="Times New Roman" w:eastAsia="宋体" w:cs="Times New Roman"/>
              <w:sz w:val="28"/>
              <w:szCs w:val="28"/>
              <w:highlight w:val="none"/>
            </w:rPr>
            <w:t>地理位置图</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_Toc930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71</w:t>
          </w:r>
          <w:r>
            <w:rPr>
              <w:rFonts w:hint="default" w:ascii="Times New Roman" w:hAnsi="Times New Roman" w:cs="Times New Roman"/>
              <w:sz w:val="28"/>
              <w:szCs w:val="28"/>
            </w:rPr>
            <w:fldChar w:fldCharType="end"/>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end"/>
          </w:r>
        </w:p>
        <w:p w14:paraId="46048D4F">
          <w:pPr>
            <w:pStyle w:val="24"/>
            <w:tabs>
              <w:tab w:val="right" w:leader="dot" w:pos="8844"/>
              <w:tab w:val="clear" w:pos="9060"/>
            </w:tabs>
            <w:spacing w:line="360" w:lineRule="auto"/>
            <w:rPr>
              <w:rFonts w:hint="default" w:ascii="Times New Roman" w:hAnsi="Times New Roman" w:cs="Times New Roman"/>
              <w:sz w:val="28"/>
              <w:szCs w:val="28"/>
            </w:rPr>
          </w:pP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sz w:val="28"/>
              <w:szCs w:val="28"/>
              <w:highlight w:val="none"/>
              <w:lang w:val="en-US" w:eastAsia="zh-CN"/>
            </w:rPr>
            <w:instrText xml:space="preserve"> HYPERLINK \l _Toc2079 </w:instrText>
          </w:r>
          <w:r>
            <w:rPr>
              <w:rFonts w:hint="default" w:ascii="Times New Roman" w:hAnsi="Times New Roman" w:eastAsia="宋体" w:cs="Times New Roman"/>
              <w:sz w:val="28"/>
              <w:szCs w:val="28"/>
              <w:highlight w:val="none"/>
              <w:lang w:val="en-US" w:eastAsia="zh-CN"/>
            </w:rPr>
            <w:fldChar w:fldCharType="separate"/>
          </w:r>
          <w:r>
            <w:rPr>
              <w:rFonts w:hint="default" w:ascii="Times New Roman" w:hAnsi="Times New Roman" w:eastAsia="宋体" w:cs="Times New Roman"/>
              <w:bCs/>
              <w:sz w:val="28"/>
              <w:szCs w:val="28"/>
              <w:highlight w:val="none"/>
            </w:rPr>
            <w:t>附图</w:t>
          </w:r>
          <w:r>
            <w:rPr>
              <w:rFonts w:hint="default" w:ascii="Times New Roman" w:hAnsi="Times New Roman" w:eastAsia="宋体" w:cs="Times New Roman"/>
              <w:bCs/>
              <w:sz w:val="28"/>
              <w:szCs w:val="28"/>
              <w:highlight w:val="none"/>
              <w:lang w:val="en-US" w:eastAsia="zh-CN"/>
            </w:rPr>
            <w:t>2</w:t>
          </w:r>
          <w:r>
            <w:rPr>
              <w:rFonts w:hint="default" w:ascii="Times New Roman" w:hAnsi="Times New Roman" w:eastAsia="宋体" w:cs="Times New Roman"/>
              <w:bCs/>
              <w:sz w:val="28"/>
              <w:szCs w:val="28"/>
              <w:highlight w:val="none"/>
            </w:rPr>
            <w:t>本项目平面布置图</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_Toc2079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72</w:t>
          </w:r>
          <w:r>
            <w:rPr>
              <w:rFonts w:hint="default" w:ascii="Times New Roman" w:hAnsi="Times New Roman" w:cs="Times New Roman"/>
              <w:sz w:val="28"/>
              <w:szCs w:val="28"/>
            </w:rPr>
            <w:fldChar w:fldCharType="end"/>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end"/>
          </w:r>
        </w:p>
        <w:p w14:paraId="7E2C9166">
          <w:pPr>
            <w:pStyle w:val="24"/>
            <w:tabs>
              <w:tab w:val="right" w:leader="dot" w:pos="8844"/>
              <w:tab w:val="clear" w:pos="9060"/>
            </w:tabs>
            <w:spacing w:line="360" w:lineRule="auto"/>
            <w:rPr>
              <w:rFonts w:hint="default" w:ascii="Times New Roman" w:hAnsi="Times New Roman" w:cs="Times New Roman"/>
              <w:sz w:val="28"/>
              <w:szCs w:val="28"/>
            </w:rPr>
          </w:pP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sz w:val="28"/>
              <w:szCs w:val="28"/>
              <w:highlight w:val="none"/>
              <w:lang w:val="en-US" w:eastAsia="zh-CN"/>
            </w:rPr>
            <w:instrText xml:space="preserve"> HYPERLINK \l _Toc3179 </w:instrText>
          </w:r>
          <w:r>
            <w:rPr>
              <w:rFonts w:hint="default" w:ascii="Times New Roman" w:hAnsi="Times New Roman" w:eastAsia="宋体" w:cs="Times New Roman"/>
              <w:sz w:val="28"/>
              <w:szCs w:val="28"/>
              <w:highlight w:val="none"/>
              <w:lang w:val="en-US" w:eastAsia="zh-CN"/>
            </w:rPr>
            <w:fldChar w:fldCharType="separate"/>
          </w:r>
          <w:r>
            <w:rPr>
              <w:rFonts w:hint="default" w:ascii="Times New Roman" w:hAnsi="Times New Roman" w:eastAsia="宋体" w:cs="Times New Roman"/>
              <w:bCs/>
              <w:sz w:val="28"/>
              <w:szCs w:val="28"/>
              <w:highlight w:val="none"/>
            </w:rPr>
            <w:t>附图</w:t>
          </w:r>
          <w:r>
            <w:rPr>
              <w:rFonts w:hint="default" w:ascii="Times New Roman" w:hAnsi="Times New Roman" w:eastAsia="宋体" w:cs="Times New Roman"/>
              <w:bCs/>
              <w:sz w:val="28"/>
              <w:szCs w:val="28"/>
              <w:highlight w:val="none"/>
              <w:lang w:val="en-US" w:eastAsia="zh-CN"/>
            </w:rPr>
            <w:t>3</w:t>
          </w:r>
          <w:r>
            <w:rPr>
              <w:rFonts w:hint="default" w:ascii="Times New Roman" w:hAnsi="Times New Roman" w:eastAsia="宋体" w:cs="Times New Roman"/>
              <w:bCs/>
              <w:sz w:val="28"/>
              <w:szCs w:val="28"/>
              <w:highlight w:val="none"/>
            </w:rPr>
            <w:t>环境保护目标分布图</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_Toc3179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73</w:t>
          </w:r>
          <w:r>
            <w:rPr>
              <w:rFonts w:hint="default" w:ascii="Times New Roman" w:hAnsi="Times New Roman" w:cs="Times New Roman"/>
              <w:sz w:val="28"/>
              <w:szCs w:val="28"/>
            </w:rPr>
            <w:fldChar w:fldCharType="end"/>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end"/>
          </w:r>
        </w:p>
        <w:p w14:paraId="791408C5">
          <w:pPr>
            <w:pStyle w:val="24"/>
            <w:tabs>
              <w:tab w:val="right" w:leader="dot" w:pos="8844"/>
              <w:tab w:val="clear" w:pos="9060"/>
            </w:tabs>
            <w:spacing w:line="360" w:lineRule="auto"/>
            <w:rPr>
              <w:rFonts w:hint="default" w:ascii="Times New Roman" w:hAnsi="Times New Roman" w:cs="Times New Roman"/>
              <w:sz w:val="28"/>
              <w:szCs w:val="28"/>
            </w:rPr>
          </w:pP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sz w:val="28"/>
              <w:szCs w:val="28"/>
              <w:highlight w:val="none"/>
              <w:lang w:val="en-US" w:eastAsia="zh-CN"/>
            </w:rPr>
            <w:instrText xml:space="preserve"> HYPERLINK \l _Toc3644 </w:instrText>
          </w:r>
          <w:r>
            <w:rPr>
              <w:rFonts w:hint="default" w:ascii="Times New Roman" w:hAnsi="Times New Roman" w:eastAsia="宋体" w:cs="Times New Roman"/>
              <w:sz w:val="28"/>
              <w:szCs w:val="28"/>
              <w:highlight w:val="none"/>
              <w:lang w:val="en-US" w:eastAsia="zh-CN"/>
            </w:rPr>
            <w:fldChar w:fldCharType="separate"/>
          </w:r>
          <w:r>
            <w:rPr>
              <w:rFonts w:hint="default" w:ascii="Times New Roman" w:hAnsi="Times New Roman" w:eastAsia="宋体" w:cs="Times New Roman"/>
              <w:sz w:val="28"/>
              <w:szCs w:val="28"/>
              <w:highlight w:val="none"/>
            </w:rPr>
            <w:t>附图</w:t>
          </w:r>
          <w:r>
            <w:rPr>
              <w:rFonts w:hint="default" w:ascii="Times New Roman" w:hAnsi="Times New Roman" w:eastAsia="宋体" w:cs="Times New Roman"/>
              <w:sz w:val="28"/>
              <w:szCs w:val="28"/>
              <w:highlight w:val="none"/>
              <w:lang w:val="en-US" w:eastAsia="zh-CN"/>
            </w:rPr>
            <w:t>4</w:t>
          </w:r>
          <w:r>
            <w:rPr>
              <w:rFonts w:hint="default" w:ascii="Times New Roman" w:hAnsi="Times New Roman" w:eastAsia="宋体" w:cs="Times New Roman"/>
              <w:sz w:val="28"/>
              <w:szCs w:val="28"/>
              <w:highlight w:val="none"/>
            </w:rPr>
            <w:t>厂区</w:t>
          </w:r>
          <w:r>
            <w:rPr>
              <w:rFonts w:hint="default" w:ascii="Times New Roman" w:hAnsi="Times New Roman" w:eastAsia="宋体" w:cs="Times New Roman"/>
              <w:sz w:val="28"/>
              <w:szCs w:val="28"/>
              <w:highlight w:val="none"/>
              <w:lang w:val="en-US" w:eastAsia="zh-CN"/>
            </w:rPr>
            <w:t>四周</w:t>
          </w:r>
          <w:r>
            <w:rPr>
              <w:rFonts w:hint="default" w:ascii="Times New Roman" w:hAnsi="Times New Roman" w:eastAsia="宋体" w:cs="Times New Roman"/>
              <w:sz w:val="28"/>
              <w:szCs w:val="28"/>
              <w:highlight w:val="none"/>
            </w:rPr>
            <w:t>环境现状</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_Toc3644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74</w:t>
          </w:r>
          <w:r>
            <w:rPr>
              <w:rFonts w:hint="default" w:ascii="Times New Roman" w:hAnsi="Times New Roman" w:cs="Times New Roman"/>
              <w:sz w:val="28"/>
              <w:szCs w:val="28"/>
            </w:rPr>
            <w:fldChar w:fldCharType="end"/>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end"/>
          </w:r>
        </w:p>
        <w:p w14:paraId="1C8CD847">
          <w:pPr>
            <w:pStyle w:val="24"/>
            <w:tabs>
              <w:tab w:val="right" w:leader="dot" w:pos="8844"/>
              <w:tab w:val="clear" w:pos="9060"/>
            </w:tabs>
            <w:spacing w:line="360" w:lineRule="auto"/>
            <w:rPr>
              <w:rFonts w:hint="default" w:ascii="Times New Roman" w:hAnsi="Times New Roman" w:cs="Times New Roman"/>
              <w:sz w:val="28"/>
              <w:szCs w:val="28"/>
            </w:rPr>
          </w:pP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sz w:val="28"/>
              <w:szCs w:val="28"/>
              <w:highlight w:val="none"/>
              <w:lang w:val="en-US" w:eastAsia="zh-CN"/>
            </w:rPr>
            <w:instrText xml:space="preserve"> HYPERLINK \l _Toc32051 </w:instrText>
          </w:r>
          <w:r>
            <w:rPr>
              <w:rFonts w:hint="default" w:ascii="Times New Roman" w:hAnsi="Times New Roman" w:eastAsia="宋体" w:cs="Times New Roman"/>
              <w:sz w:val="28"/>
              <w:szCs w:val="28"/>
              <w:highlight w:val="none"/>
              <w:lang w:val="en-US" w:eastAsia="zh-CN"/>
            </w:rPr>
            <w:fldChar w:fldCharType="separate"/>
          </w:r>
          <w:r>
            <w:rPr>
              <w:rFonts w:hint="default" w:ascii="Times New Roman" w:hAnsi="Times New Roman" w:eastAsia="宋体" w:cs="Times New Roman"/>
              <w:bCs/>
              <w:kern w:val="0"/>
              <w:sz w:val="28"/>
              <w:szCs w:val="28"/>
              <w:highlight w:val="none"/>
            </w:rPr>
            <w:t>附件1营业执照</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_Toc32051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75</w:t>
          </w:r>
          <w:r>
            <w:rPr>
              <w:rFonts w:hint="default" w:ascii="Times New Roman" w:hAnsi="Times New Roman" w:cs="Times New Roman"/>
              <w:sz w:val="28"/>
              <w:szCs w:val="28"/>
            </w:rPr>
            <w:fldChar w:fldCharType="end"/>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end"/>
          </w:r>
        </w:p>
        <w:p w14:paraId="3F6A8276">
          <w:pPr>
            <w:pStyle w:val="24"/>
            <w:tabs>
              <w:tab w:val="right" w:leader="dot" w:pos="8844"/>
              <w:tab w:val="clear" w:pos="9060"/>
            </w:tabs>
            <w:spacing w:line="360" w:lineRule="auto"/>
            <w:rPr>
              <w:rFonts w:hint="default" w:ascii="Times New Roman" w:hAnsi="Times New Roman" w:cs="Times New Roman"/>
              <w:sz w:val="28"/>
              <w:szCs w:val="28"/>
            </w:rPr>
          </w:pP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sz w:val="28"/>
              <w:szCs w:val="28"/>
              <w:highlight w:val="none"/>
              <w:lang w:val="en-US" w:eastAsia="zh-CN"/>
            </w:rPr>
            <w:instrText xml:space="preserve"> HYPERLINK \l _Toc9595 </w:instrText>
          </w:r>
          <w:r>
            <w:rPr>
              <w:rFonts w:hint="default" w:ascii="Times New Roman" w:hAnsi="Times New Roman" w:eastAsia="宋体" w:cs="Times New Roman"/>
              <w:sz w:val="28"/>
              <w:szCs w:val="28"/>
              <w:highlight w:val="none"/>
              <w:lang w:val="en-US" w:eastAsia="zh-CN"/>
            </w:rPr>
            <w:fldChar w:fldCharType="separate"/>
          </w:r>
          <w:r>
            <w:rPr>
              <w:rFonts w:hint="default" w:ascii="Times New Roman" w:hAnsi="Times New Roman" w:eastAsia="宋体" w:cs="Times New Roman"/>
              <w:bCs/>
              <w:kern w:val="0"/>
              <w:sz w:val="28"/>
              <w:szCs w:val="28"/>
              <w:highlight w:val="none"/>
            </w:rPr>
            <w:t>附件</w:t>
          </w:r>
          <w:r>
            <w:rPr>
              <w:rFonts w:hint="default" w:ascii="Times New Roman" w:hAnsi="Times New Roman" w:eastAsia="宋体" w:cs="Times New Roman"/>
              <w:bCs/>
              <w:kern w:val="0"/>
              <w:sz w:val="28"/>
              <w:szCs w:val="28"/>
              <w:highlight w:val="none"/>
              <w:lang w:val="en-US" w:eastAsia="zh-CN"/>
            </w:rPr>
            <w:t>2土地文件</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_Toc9595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76</w:t>
          </w:r>
          <w:r>
            <w:rPr>
              <w:rFonts w:hint="default" w:ascii="Times New Roman" w:hAnsi="Times New Roman" w:cs="Times New Roman"/>
              <w:sz w:val="28"/>
              <w:szCs w:val="28"/>
            </w:rPr>
            <w:fldChar w:fldCharType="end"/>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end"/>
          </w:r>
        </w:p>
        <w:p w14:paraId="3D93E8CF">
          <w:pPr>
            <w:pStyle w:val="24"/>
            <w:tabs>
              <w:tab w:val="right" w:leader="dot" w:pos="8844"/>
              <w:tab w:val="clear" w:pos="9060"/>
            </w:tabs>
            <w:spacing w:line="360" w:lineRule="auto"/>
            <w:rPr>
              <w:rFonts w:hint="default" w:ascii="Times New Roman" w:hAnsi="Times New Roman" w:cs="Times New Roman"/>
              <w:sz w:val="28"/>
              <w:szCs w:val="28"/>
            </w:rPr>
          </w:pP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sz w:val="28"/>
              <w:szCs w:val="28"/>
              <w:highlight w:val="none"/>
              <w:lang w:val="en-US" w:eastAsia="zh-CN"/>
            </w:rPr>
            <w:instrText xml:space="preserve"> HYPERLINK \l _Toc24657 </w:instrText>
          </w:r>
          <w:r>
            <w:rPr>
              <w:rFonts w:hint="default" w:ascii="Times New Roman" w:hAnsi="Times New Roman" w:eastAsia="宋体" w:cs="Times New Roman"/>
              <w:sz w:val="28"/>
              <w:szCs w:val="28"/>
              <w:highlight w:val="none"/>
              <w:lang w:val="en-US" w:eastAsia="zh-CN"/>
            </w:rPr>
            <w:fldChar w:fldCharType="separate"/>
          </w:r>
          <w:r>
            <w:rPr>
              <w:rFonts w:hint="default" w:ascii="Times New Roman" w:hAnsi="Times New Roman" w:eastAsia="宋体" w:cs="Times New Roman"/>
              <w:sz w:val="28"/>
              <w:szCs w:val="28"/>
              <w:highlight w:val="none"/>
            </w:rPr>
            <w:t>附件</w:t>
          </w:r>
          <w:r>
            <w:rPr>
              <w:rFonts w:hint="default" w:ascii="Times New Roman" w:hAnsi="Times New Roman" w:eastAsia="宋体" w:cs="Times New Roman"/>
              <w:sz w:val="28"/>
              <w:szCs w:val="28"/>
              <w:highlight w:val="none"/>
              <w:lang w:val="en-US" w:eastAsia="zh-CN"/>
            </w:rPr>
            <w:t>3检测报告</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_Toc24657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80</w:t>
          </w:r>
          <w:r>
            <w:rPr>
              <w:rFonts w:hint="default" w:ascii="Times New Roman" w:hAnsi="Times New Roman" w:cs="Times New Roman"/>
              <w:sz w:val="28"/>
              <w:szCs w:val="28"/>
            </w:rPr>
            <w:fldChar w:fldCharType="end"/>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end"/>
          </w:r>
        </w:p>
        <w:p w14:paraId="338C76F8">
          <w:pPr>
            <w:pStyle w:val="24"/>
            <w:tabs>
              <w:tab w:val="right" w:leader="dot" w:pos="8844"/>
              <w:tab w:val="clear" w:pos="9060"/>
            </w:tabs>
            <w:spacing w:line="360" w:lineRule="auto"/>
            <w:rPr>
              <w:rFonts w:hint="default" w:ascii="Times New Roman" w:hAnsi="Times New Roman" w:cs="Times New Roman"/>
              <w:sz w:val="28"/>
              <w:szCs w:val="28"/>
            </w:rPr>
          </w:pP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sz w:val="28"/>
              <w:szCs w:val="28"/>
              <w:highlight w:val="none"/>
              <w:lang w:val="en-US" w:eastAsia="zh-CN"/>
            </w:rPr>
            <w:instrText xml:space="preserve"> HYPERLINK \l _Toc6960 </w:instrText>
          </w:r>
          <w:r>
            <w:rPr>
              <w:rFonts w:hint="default" w:ascii="Times New Roman" w:hAnsi="Times New Roman" w:eastAsia="宋体" w:cs="Times New Roman"/>
              <w:sz w:val="28"/>
              <w:szCs w:val="28"/>
              <w:highlight w:val="none"/>
              <w:lang w:val="en-US" w:eastAsia="zh-CN"/>
            </w:rPr>
            <w:fldChar w:fldCharType="separate"/>
          </w:r>
          <w:r>
            <w:rPr>
              <w:rFonts w:hint="default" w:ascii="Times New Roman" w:hAnsi="Times New Roman" w:eastAsia="宋体" w:cs="Times New Roman"/>
              <w:sz w:val="28"/>
              <w:szCs w:val="28"/>
              <w:highlight w:val="none"/>
            </w:rPr>
            <w:t>附件</w:t>
          </w:r>
          <w:r>
            <w:rPr>
              <w:rFonts w:hint="default" w:ascii="Times New Roman" w:hAnsi="Times New Roman" w:cs="Times New Roman"/>
              <w:sz w:val="28"/>
              <w:szCs w:val="28"/>
              <w:highlight w:val="none"/>
              <w:lang w:val="en-US" w:eastAsia="zh-CN"/>
            </w:rPr>
            <w:t>4</w:t>
          </w:r>
          <w:r>
            <w:rPr>
              <w:rFonts w:hint="default" w:ascii="Times New Roman" w:hAnsi="Times New Roman" w:eastAsia="宋体" w:cs="Times New Roman"/>
              <w:sz w:val="28"/>
              <w:szCs w:val="28"/>
              <w:highlight w:val="none"/>
            </w:rPr>
            <w:t>燃料检测报告</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_Toc6960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84</w:t>
          </w:r>
          <w:r>
            <w:rPr>
              <w:rFonts w:hint="default" w:ascii="Times New Roman" w:hAnsi="Times New Roman" w:cs="Times New Roman"/>
              <w:sz w:val="28"/>
              <w:szCs w:val="28"/>
            </w:rPr>
            <w:fldChar w:fldCharType="end"/>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end"/>
          </w:r>
        </w:p>
        <w:p w14:paraId="622CB6C5">
          <w:pPr>
            <w:pStyle w:val="24"/>
            <w:tabs>
              <w:tab w:val="right" w:leader="dot" w:pos="8844"/>
              <w:tab w:val="clear" w:pos="9060"/>
            </w:tabs>
            <w:spacing w:line="360" w:lineRule="auto"/>
            <w:rPr>
              <w:rFonts w:hint="default" w:ascii="Times New Roman" w:hAnsi="Times New Roman" w:cs="Times New Roman"/>
              <w:sz w:val="28"/>
              <w:szCs w:val="28"/>
            </w:rPr>
          </w:pP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sz w:val="28"/>
              <w:szCs w:val="28"/>
              <w:highlight w:val="none"/>
              <w:lang w:val="en-US" w:eastAsia="zh-CN"/>
            </w:rPr>
            <w:instrText xml:space="preserve"> HYPERLINK \l _Toc21785 </w:instrText>
          </w:r>
          <w:r>
            <w:rPr>
              <w:rFonts w:hint="default" w:ascii="Times New Roman" w:hAnsi="Times New Roman" w:eastAsia="宋体" w:cs="Times New Roman"/>
              <w:sz w:val="28"/>
              <w:szCs w:val="28"/>
              <w:highlight w:val="none"/>
              <w:lang w:val="en-US" w:eastAsia="zh-CN"/>
            </w:rPr>
            <w:fldChar w:fldCharType="separate"/>
          </w:r>
          <w:r>
            <w:rPr>
              <w:rFonts w:hint="default" w:ascii="Times New Roman" w:hAnsi="Times New Roman" w:eastAsia="宋体" w:cs="Times New Roman"/>
              <w:kern w:val="2"/>
              <w:sz w:val="28"/>
              <w:szCs w:val="28"/>
              <w:highlight w:val="none"/>
              <w:lang w:val="en-US" w:eastAsia="zh-CN" w:bidi="ar-SA"/>
            </w:rPr>
            <w:t>附件</w:t>
          </w:r>
          <w:r>
            <w:rPr>
              <w:rFonts w:hint="default" w:ascii="Times New Roman" w:hAnsi="Times New Roman" w:cs="Times New Roman"/>
              <w:kern w:val="2"/>
              <w:sz w:val="28"/>
              <w:szCs w:val="28"/>
              <w:highlight w:val="none"/>
              <w:lang w:val="en-US" w:eastAsia="zh-CN" w:bidi="ar-SA"/>
            </w:rPr>
            <w:t>5企业现有工程环保手续</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_Toc21785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85</w:t>
          </w:r>
          <w:r>
            <w:rPr>
              <w:rFonts w:hint="default" w:ascii="Times New Roman" w:hAnsi="Times New Roman" w:cs="Times New Roman"/>
              <w:sz w:val="28"/>
              <w:szCs w:val="28"/>
            </w:rPr>
            <w:fldChar w:fldCharType="end"/>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end"/>
          </w:r>
        </w:p>
        <w:p w14:paraId="46C206E9">
          <w:pPr>
            <w:pStyle w:val="24"/>
            <w:tabs>
              <w:tab w:val="right" w:leader="dot" w:pos="8844"/>
              <w:tab w:val="clear" w:pos="9060"/>
            </w:tabs>
            <w:spacing w:line="360" w:lineRule="auto"/>
            <w:rPr>
              <w:rFonts w:hint="default" w:ascii="Times New Roman" w:hAnsi="Times New Roman" w:cs="Times New Roman"/>
              <w:sz w:val="28"/>
              <w:szCs w:val="28"/>
            </w:rPr>
          </w:pP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sz w:val="28"/>
              <w:szCs w:val="28"/>
              <w:highlight w:val="none"/>
              <w:lang w:val="en-US" w:eastAsia="zh-CN"/>
            </w:rPr>
            <w:instrText xml:space="preserve"> HYPERLINK \l _Toc8638 </w:instrText>
          </w:r>
          <w:r>
            <w:rPr>
              <w:rFonts w:hint="default" w:ascii="Times New Roman" w:hAnsi="Times New Roman" w:eastAsia="宋体" w:cs="Times New Roman"/>
              <w:sz w:val="28"/>
              <w:szCs w:val="28"/>
              <w:highlight w:val="none"/>
              <w:lang w:val="en-US" w:eastAsia="zh-CN"/>
            </w:rPr>
            <w:fldChar w:fldCharType="separate"/>
          </w:r>
          <w:r>
            <w:rPr>
              <w:rFonts w:hint="default" w:ascii="Times New Roman" w:hAnsi="Times New Roman" w:eastAsia="宋体" w:cs="Times New Roman"/>
              <w:kern w:val="2"/>
              <w:sz w:val="28"/>
              <w:szCs w:val="28"/>
              <w:highlight w:val="none"/>
              <w:lang w:val="en-US" w:eastAsia="zh-CN" w:bidi="ar-SA"/>
            </w:rPr>
            <w:t>附件</w:t>
          </w:r>
          <w:r>
            <w:rPr>
              <w:rFonts w:hint="default" w:ascii="Times New Roman" w:hAnsi="Times New Roman" w:cs="Times New Roman"/>
              <w:kern w:val="2"/>
              <w:sz w:val="28"/>
              <w:szCs w:val="28"/>
              <w:highlight w:val="none"/>
              <w:lang w:val="en-US" w:eastAsia="zh-CN" w:bidi="ar-SA"/>
            </w:rPr>
            <w:t>6</w:t>
          </w:r>
          <w:r>
            <w:rPr>
              <w:rFonts w:hint="default" w:ascii="Times New Roman" w:hAnsi="Times New Roman" w:eastAsia="宋体" w:cs="Times New Roman"/>
              <w:kern w:val="2"/>
              <w:sz w:val="28"/>
              <w:szCs w:val="28"/>
              <w:highlight w:val="none"/>
              <w:lang w:val="en-US" w:eastAsia="zh-CN" w:bidi="ar-SA"/>
            </w:rPr>
            <w:t>生态环境分区管控分</w:t>
          </w:r>
          <w:r>
            <w:rPr>
              <w:rFonts w:hint="default" w:ascii="Times New Roman" w:hAnsi="Times New Roman" w:cs="Times New Roman"/>
              <w:kern w:val="2"/>
              <w:sz w:val="28"/>
              <w:szCs w:val="28"/>
              <w:highlight w:val="none"/>
              <w:lang w:val="en-US" w:eastAsia="zh-CN" w:bidi="ar-SA"/>
            </w:rPr>
            <w:t>析报告</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_Toc8638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107</w:t>
          </w:r>
          <w:r>
            <w:rPr>
              <w:rFonts w:hint="default" w:ascii="Times New Roman" w:hAnsi="Times New Roman" w:cs="Times New Roman"/>
              <w:sz w:val="28"/>
              <w:szCs w:val="28"/>
            </w:rPr>
            <w:fldChar w:fldCharType="end"/>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end"/>
          </w:r>
        </w:p>
        <w:p w14:paraId="5306775C">
          <w:pPr>
            <w:pStyle w:val="24"/>
            <w:tabs>
              <w:tab w:val="right" w:leader="dot" w:pos="8844"/>
              <w:tab w:val="clear" w:pos="9060"/>
            </w:tabs>
            <w:spacing w:line="360" w:lineRule="auto"/>
            <w:rPr>
              <w:rFonts w:hint="default" w:ascii="Times New Roman" w:hAnsi="Times New Roman" w:cs="Times New Roman"/>
              <w:sz w:val="28"/>
              <w:szCs w:val="28"/>
            </w:rPr>
          </w:pP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begin"/>
          </w:r>
          <w:r>
            <w:rPr>
              <w:rFonts w:hint="default" w:ascii="Times New Roman" w:hAnsi="Times New Roman" w:eastAsia="宋体" w:cs="Times New Roman"/>
              <w:sz w:val="28"/>
              <w:szCs w:val="28"/>
              <w:highlight w:val="none"/>
              <w:lang w:val="en-US" w:eastAsia="zh-CN"/>
            </w:rPr>
            <w:instrText xml:space="preserve"> HYPERLINK \l _Toc24290 </w:instrText>
          </w:r>
          <w:r>
            <w:rPr>
              <w:rFonts w:hint="default" w:ascii="Times New Roman" w:hAnsi="Times New Roman" w:eastAsia="宋体" w:cs="Times New Roman"/>
              <w:sz w:val="28"/>
              <w:szCs w:val="28"/>
              <w:highlight w:val="none"/>
              <w:lang w:val="en-US" w:eastAsia="zh-CN"/>
            </w:rPr>
            <w:fldChar w:fldCharType="separate"/>
          </w:r>
          <w:r>
            <w:rPr>
              <w:rFonts w:hint="default" w:ascii="Times New Roman" w:hAnsi="Times New Roman" w:eastAsia="宋体" w:cs="Times New Roman"/>
              <w:kern w:val="2"/>
              <w:sz w:val="28"/>
              <w:szCs w:val="28"/>
              <w:highlight w:val="none"/>
              <w:lang w:val="en-US" w:eastAsia="zh-CN" w:bidi="ar-SA"/>
            </w:rPr>
            <w:t>附件</w:t>
          </w:r>
          <w:r>
            <w:rPr>
              <w:rFonts w:hint="default" w:ascii="Times New Roman" w:hAnsi="Times New Roman" w:cs="Times New Roman"/>
              <w:kern w:val="2"/>
              <w:sz w:val="28"/>
              <w:szCs w:val="28"/>
              <w:highlight w:val="none"/>
              <w:lang w:val="en-US" w:eastAsia="zh-CN" w:bidi="ar-SA"/>
            </w:rPr>
            <w:t>7</w:t>
          </w:r>
          <w:r>
            <w:rPr>
              <w:rFonts w:hint="default" w:ascii="Times New Roman" w:hAnsi="Times New Roman" w:eastAsia="宋体" w:cs="Times New Roman"/>
              <w:kern w:val="2"/>
              <w:sz w:val="28"/>
              <w:szCs w:val="28"/>
              <w:highlight w:val="none"/>
              <w:lang w:val="en-US" w:eastAsia="zh-CN" w:bidi="ar-SA"/>
            </w:rPr>
            <w:t>公示截图</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_Toc24290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112</w:t>
          </w:r>
          <w:r>
            <w:rPr>
              <w:rFonts w:hint="default" w:ascii="Times New Roman" w:hAnsi="Times New Roman" w:cs="Times New Roman"/>
              <w:sz w:val="28"/>
              <w:szCs w:val="28"/>
            </w:rPr>
            <w:fldChar w:fldCharType="end"/>
          </w:r>
          <w:r>
            <w:rPr>
              <w:rFonts w:hint="default" w:ascii="Times New Roman" w:hAnsi="Times New Roman" w:eastAsia="宋体" w:cs="Times New Roman"/>
              <w:color w:val="000000" w:themeColor="text1"/>
              <w:sz w:val="28"/>
              <w:szCs w:val="28"/>
              <w:highlight w:val="none"/>
              <w:lang w:val="en-US" w:eastAsia="zh-CN"/>
              <w14:textFill>
                <w14:solidFill>
                  <w14:schemeClr w14:val="tx1"/>
                </w14:solidFill>
              </w14:textFill>
            </w:rPr>
            <w:fldChar w:fldCharType="end"/>
          </w:r>
        </w:p>
        <w:p w14:paraId="77FE8E41">
          <w:pPr>
            <w:pStyle w:val="24"/>
            <w:tabs>
              <w:tab w:val="right" w:leader="dot" w:pos="8844"/>
              <w:tab w:val="clear" w:pos="9060"/>
            </w:tabs>
          </w:pPr>
        </w:p>
        <w:p w14:paraId="45152F21">
          <w:pPr>
            <w:spacing w:line="360" w:lineRule="auto"/>
            <w:jc w:val="left"/>
            <w:rPr>
              <w:rFonts w:hint="default" w:ascii="Times New Roman" w:hAnsi="Times New Roman" w:eastAsia="宋体" w:cs="Times New Roman"/>
              <w:color w:val="000000" w:themeColor="text1"/>
              <w:kern w:val="2"/>
              <w:sz w:val="28"/>
              <w:szCs w:val="2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Cs w:val="28"/>
              <w:highlight w:val="none"/>
              <w:lang w:val="en-US" w:eastAsia="zh-CN"/>
              <w14:textFill>
                <w14:solidFill>
                  <w14:schemeClr w14:val="tx1"/>
                </w14:solidFill>
              </w14:textFill>
            </w:rPr>
            <w:fldChar w:fldCharType="end"/>
          </w:r>
        </w:p>
      </w:sdtContent>
    </w:sdt>
    <w:p w14:paraId="35C658B8">
      <w:pPr>
        <w:spacing w:line="360" w:lineRule="auto"/>
        <w:jc w:val="left"/>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6DF9A446">
      <w:pPr>
        <w:pStyle w:val="29"/>
        <w:jc w:val="center"/>
        <w:outlineLvl w:val="0"/>
        <w:rPr>
          <w:rFonts w:hint="default" w:ascii="Times New Roman" w:hAnsi="Times New Roman" w:eastAsia="宋体" w:cs="Times New Roman"/>
          <w:snapToGrid w:val="0"/>
          <w:color w:val="000000" w:themeColor="text1"/>
          <w:sz w:val="30"/>
          <w:szCs w:val="30"/>
          <w:highlight w:val="none"/>
          <w14:textFill>
            <w14:solidFill>
              <w14:schemeClr w14:val="tx1"/>
            </w14:solidFill>
          </w14:textFill>
        </w:rPr>
      </w:pPr>
      <w:bookmarkStart w:id="3" w:name="_Toc18288"/>
      <w:bookmarkStart w:id="4" w:name="_Toc28515"/>
      <w:r>
        <w:rPr>
          <w:rFonts w:hint="default" w:ascii="Times New Roman" w:hAnsi="Times New Roman" w:eastAsia="宋体" w:cs="Times New Roman"/>
          <w:snapToGrid w:val="0"/>
          <w:color w:val="000000" w:themeColor="text1"/>
          <w:sz w:val="30"/>
          <w:szCs w:val="30"/>
          <w:highlight w:val="none"/>
          <w14:textFill>
            <w14:solidFill>
              <w14:schemeClr w14:val="tx1"/>
            </w14:solidFill>
          </w14:textFill>
        </w:rPr>
        <w:t>一、建设项目基本情况</w:t>
      </w:r>
      <w:bookmarkEnd w:id="3"/>
      <w:bookmarkEnd w:id="4"/>
    </w:p>
    <w:tbl>
      <w:tblPr>
        <w:tblStyle w:val="35"/>
        <w:tblW w:w="88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069"/>
        <w:gridCol w:w="1852"/>
        <w:gridCol w:w="2002"/>
        <w:gridCol w:w="2947"/>
      </w:tblGrid>
      <w:tr w14:paraId="182064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5" w:hRule="atLeast"/>
          <w:jc w:val="center"/>
        </w:trPr>
        <w:tc>
          <w:tcPr>
            <w:tcW w:w="2069" w:type="dxa"/>
            <w:tcMar>
              <w:top w:w="16" w:type="dxa"/>
              <w:left w:w="16" w:type="dxa"/>
              <w:right w:w="16" w:type="dxa"/>
            </w:tcMar>
            <w:vAlign w:val="center"/>
          </w:tcPr>
          <w:p w14:paraId="4DD50F1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建设项目名称</w:t>
            </w:r>
          </w:p>
        </w:tc>
        <w:tc>
          <w:tcPr>
            <w:tcW w:w="6801" w:type="dxa"/>
            <w:gridSpan w:val="3"/>
            <w:vAlign w:val="center"/>
          </w:tcPr>
          <w:p w14:paraId="6C8A5CF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黑龙江省牡丹江农垦双合粮食仓储有限公司</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建设项目</w:t>
            </w:r>
          </w:p>
        </w:tc>
      </w:tr>
      <w:tr w14:paraId="798D76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2069" w:type="dxa"/>
            <w:tcMar>
              <w:top w:w="16" w:type="dxa"/>
              <w:left w:w="16" w:type="dxa"/>
              <w:right w:w="16" w:type="dxa"/>
            </w:tcMar>
            <w:vAlign w:val="center"/>
          </w:tcPr>
          <w:p w14:paraId="59E6ECA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项目代码</w:t>
            </w:r>
          </w:p>
        </w:tc>
        <w:tc>
          <w:tcPr>
            <w:tcW w:w="6801" w:type="dxa"/>
            <w:gridSpan w:val="3"/>
            <w:vAlign w:val="center"/>
          </w:tcPr>
          <w:p w14:paraId="53D8B09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无</w:t>
            </w:r>
          </w:p>
        </w:tc>
      </w:tr>
      <w:tr w14:paraId="54EDBB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8" w:hRule="atLeast"/>
          <w:jc w:val="center"/>
        </w:trPr>
        <w:tc>
          <w:tcPr>
            <w:tcW w:w="2069" w:type="dxa"/>
            <w:tcMar>
              <w:top w:w="16" w:type="dxa"/>
              <w:left w:w="16" w:type="dxa"/>
              <w:right w:w="16" w:type="dxa"/>
            </w:tcMar>
            <w:vAlign w:val="center"/>
          </w:tcPr>
          <w:p w14:paraId="7131EC4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建设单位联系人</w:t>
            </w:r>
          </w:p>
        </w:tc>
        <w:tc>
          <w:tcPr>
            <w:tcW w:w="1852" w:type="dxa"/>
            <w:vAlign w:val="center"/>
          </w:tcPr>
          <w:p w14:paraId="29F2BA5F">
            <w:pPr>
              <w:pStyle w:val="107"/>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杨松</w:t>
            </w:r>
          </w:p>
        </w:tc>
        <w:tc>
          <w:tcPr>
            <w:tcW w:w="2002" w:type="dxa"/>
            <w:vAlign w:val="center"/>
          </w:tcPr>
          <w:p w14:paraId="55A38345">
            <w:pPr>
              <w:pStyle w:val="107"/>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highlight w:val="none"/>
              </w:rPr>
              <w:t>联系电话</w:t>
            </w:r>
          </w:p>
        </w:tc>
        <w:tc>
          <w:tcPr>
            <w:tcW w:w="2947" w:type="dxa"/>
            <w:vAlign w:val="center"/>
          </w:tcPr>
          <w:p w14:paraId="335361E9">
            <w:pPr>
              <w:pStyle w:val="107"/>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15146130811</w:t>
            </w:r>
          </w:p>
        </w:tc>
      </w:tr>
      <w:tr w14:paraId="0F3A7B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069" w:type="dxa"/>
            <w:tcMar>
              <w:top w:w="16" w:type="dxa"/>
              <w:left w:w="16" w:type="dxa"/>
              <w:right w:w="16" w:type="dxa"/>
            </w:tcMar>
            <w:vAlign w:val="center"/>
          </w:tcPr>
          <w:p w14:paraId="530D435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建设地点</w:t>
            </w:r>
          </w:p>
        </w:tc>
        <w:tc>
          <w:tcPr>
            <w:tcW w:w="6801" w:type="dxa"/>
            <w:gridSpan w:val="3"/>
            <w:vAlign w:val="center"/>
          </w:tcPr>
          <w:p w14:paraId="0998AC31">
            <w:pPr>
              <w:pStyle w:val="107"/>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黑龙江省鸡西市虎林市庆丰农场九队</w:t>
            </w:r>
          </w:p>
        </w:tc>
      </w:tr>
      <w:tr w14:paraId="340540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069" w:type="dxa"/>
            <w:tcMar>
              <w:top w:w="16" w:type="dxa"/>
              <w:left w:w="16" w:type="dxa"/>
              <w:right w:w="16" w:type="dxa"/>
            </w:tcMar>
            <w:vAlign w:val="center"/>
          </w:tcPr>
          <w:p w14:paraId="34C06AA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地理坐标</w:t>
            </w:r>
          </w:p>
        </w:tc>
        <w:tc>
          <w:tcPr>
            <w:tcW w:w="6801" w:type="dxa"/>
            <w:gridSpan w:val="3"/>
            <w:vAlign w:val="center"/>
          </w:tcPr>
          <w:p w14:paraId="20D9FE3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（133°7′32.493</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，45°50′27.781</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w:t>
            </w:r>
          </w:p>
        </w:tc>
      </w:tr>
      <w:tr w14:paraId="40C98B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069" w:type="dxa"/>
            <w:tcMar>
              <w:top w:w="16" w:type="dxa"/>
              <w:left w:w="16" w:type="dxa"/>
              <w:right w:w="16" w:type="dxa"/>
            </w:tcMar>
            <w:vAlign w:val="center"/>
          </w:tcPr>
          <w:p w14:paraId="42B66E0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国民经济</w:t>
            </w:r>
          </w:p>
          <w:p w14:paraId="5E33BE5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行业类别</w:t>
            </w:r>
          </w:p>
        </w:tc>
        <w:tc>
          <w:tcPr>
            <w:tcW w:w="1852" w:type="dxa"/>
            <w:vAlign w:val="center"/>
          </w:tcPr>
          <w:p w14:paraId="3DA156F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A0514农产品初加工活动；D4430热力生产和供应</w:t>
            </w:r>
          </w:p>
        </w:tc>
        <w:tc>
          <w:tcPr>
            <w:tcW w:w="2002" w:type="dxa"/>
            <w:vAlign w:val="center"/>
          </w:tcPr>
          <w:p w14:paraId="3A3D0EB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建设项目</w:t>
            </w:r>
          </w:p>
          <w:p w14:paraId="48B0C82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行业类别</w:t>
            </w:r>
          </w:p>
        </w:tc>
        <w:tc>
          <w:tcPr>
            <w:tcW w:w="2947" w:type="dxa"/>
            <w:vAlign w:val="center"/>
          </w:tcPr>
          <w:p w14:paraId="35364FD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四十一、电力、热力生产和供应业91热力生产和供应工程</w:t>
            </w:r>
          </w:p>
        </w:tc>
      </w:tr>
      <w:tr w14:paraId="65C370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069" w:type="dxa"/>
            <w:tcMar>
              <w:top w:w="16" w:type="dxa"/>
              <w:left w:w="16" w:type="dxa"/>
              <w:right w:w="16" w:type="dxa"/>
            </w:tcMar>
            <w:vAlign w:val="center"/>
          </w:tcPr>
          <w:p w14:paraId="3B2528D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建设性质</w:t>
            </w:r>
          </w:p>
        </w:tc>
        <w:tc>
          <w:tcPr>
            <w:tcW w:w="1852" w:type="dxa"/>
            <w:vAlign w:val="center"/>
          </w:tcPr>
          <w:p w14:paraId="0F094515">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新建（迁建）</w:t>
            </w:r>
          </w:p>
          <w:p w14:paraId="13FD4CFC">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改建</w:t>
            </w:r>
          </w:p>
          <w:p w14:paraId="3CE8F250">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扩建</w:t>
            </w:r>
          </w:p>
          <w:p w14:paraId="00EC8E46">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技术改造</w:t>
            </w:r>
          </w:p>
        </w:tc>
        <w:tc>
          <w:tcPr>
            <w:tcW w:w="2002" w:type="dxa"/>
            <w:vAlign w:val="center"/>
          </w:tcPr>
          <w:p w14:paraId="73E33D0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建设项目</w:t>
            </w:r>
          </w:p>
          <w:p w14:paraId="333165C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申报情形</w:t>
            </w:r>
          </w:p>
        </w:tc>
        <w:tc>
          <w:tcPr>
            <w:tcW w:w="2947" w:type="dxa"/>
            <w:vAlign w:val="center"/>
          </w:tcPr>
          <w:p w14:paraId="0EA529F2">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sym w:font="Wingdings 2" w:char="0052"/>
            </w:r>
            <w:r>
              <w:rPr>
                <w:rFonts w:hint="default" w:ascii="Times New Roman" w:hAnsi="Times New Roman" w:eastAsia="宋体" w:cs="Times New Roman"/>
                <w:color w:val="000000" w:themeColor="text1"/>
                <w:sz w:val="24"/>
                <w:highlight w:val="none"/>
                <w14:textFill>
                  <w14:solidFill>
                    <w14:schemeClr w14:val="tx1"/>
                  </w14:solidFill>
                </w14:textFill>
              </w:rPr>
              <w:t xml:space="preserve">首次申报项目             </w:t>
            </w:r>
          </w:p>
          <w:p w14:paraId="3564A7FD">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□不予批准后再次申报项目</w:t>
            </w:r>
          </w:p>
          <w:p w14:paraId="51E8D45B">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 xml:space="preserve">□超五年重新审核项目     </w:t>
            </w:r>
          </w:p>
          <w:p w14:paraId="7BCAA9FC">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□重大变动重新报批项目</w:t>
            </w:r>
          </w:p>
        </w:tc>
      </w:tr>
      <w:tr w14:paraId="049586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069" w:type="dxa"/>
            <w:tcMar>
              <w:top w:w="16" w:type="dxa"/>
              <w:left w:w="16" w:type="dxa"/>
              <w:right w:w="16" w:type="dxa"/>
            </w:tcMar>
            <w:vAlign w:val="center"/>
          </w:tcPr>
          <w:p w14:paraId="07D15F2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项目审批（核准/</w:t>
            </w:r>
          </w:p>
          <w:p w14:paraId="488E77B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备案）部门（选填）</w:t>
            </w:r>
          </w:p>
        </w:tc>
        <w:tc>
          <w:tcPr>
            <w:tcW w:w="1852" w:type="dxa"/>
            <w:vAlign w:val="center"/>
          </w:tcPr>
          <w:p w14:paraId="588E20F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无</w:t>
            </w:r>
          </w:p>
        </w:tc>
        <w:tc>
          <w:tcPr>
            <w:tcW w:w="2002" w:type="dxa"/>
            <w:vAlign w:val="center"/>
          </w:tcPr>
          <w:p w14:paraId="2B51FAF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项目审批（核准/</w:t>
            </w:r>
          </w:p>
          <w:p w14:paraId="516234B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备案）文号（选填）</w:t>
            </w:r>
          </w:p>
        </w:tc>
        <w:tc>
          <w:tcPr>
            <w:tcW w:w="2947" w:type="dxa"/>
            <w:vAlign w:val="center"/>
          </w:tcPr>
          <w:p w14:paraId="74B40C1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无</w:t>
            </w:r>
          </w:p>
        </w:tc>
      </w:tr>
      <w:tr w14:paraId="3C6FD8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069" w:type="dxa"/>
            <w:shd w:val="clear" w:color="auto" w:fill="FFFFFF" w:themeFill="background1"/>
            <w:tcMar>
              <w:top w:w="16" w:type="dxa"/>
              <w:left w:w="16" w:type="dxa"/>
              <w:right w:w="16" w:type="dxa"/>
            </w:tcMar>
            <w:vAlign w:val="center"/>
          </w:tcPr>
          <w:p w14:paraId="6FA1FA1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总投资（万元）</w:t>
            </w:r>
          </w:p>
        </w:tc>
        <w:tc>
          <w:tcPr>
            <w:tcW w:w="1852" w:type="dxa"/>
            <w:shd w:val="clear" w:color="auto" w:fill="FFFFFF" w:themeFill="background1"/>
            <w:vAlign w:val="center"/>
          </w:tcPr>
          <w:p w14:paraId="442452C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300</w:t>
            </w:r>
          </w:p>
        </w:tc>
        <w:tc>
          <w:tcPr>
            <w:tcW w:w="2002" w:type="dxa"/>
            <w:tcMar>
              <w:top w:w="16" w:type="dxa"/>
              <w:left w:w="16" w:type="dxa"/>
              <w:right w:w="16" w:type="dxa"/>
            </w:tcMar>
            <w:vAlign w:val="center"/>
          </w:tcPr>
          <w:p w14:paraId="1E3A511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环保投资（万元）</w:t>
            </w:r>
          </w:p>
        </w:tc>
        <w:tc>
          <w:tcPr>
            <w:tcW w:w="2947" w:type="dxa"/>
            <w:vAlign w:val="center"/>
          </w:tcPr>
          <w:p w14:paraId="1A42065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24</w:t>
            </w:r>
          </w:p>
        </w:tc>
      </w:tr>
      <w:tr w14:paraId="575A22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8" w:hRule="atLeast"/>
          <w:jc w:val="center"/>
        </w:trPr>
        <w:tc>
          <w:tcPr>
            <w:tcW w:w="2069" w:type="dxa"/>
            <w:tcMar>
              <w:top w:w="16" w:type="dxa"/>
              <w:left w:w="16" w:type="dxa"/>
              <w:right w:w="16" w:type="dxa"/>
            </w:tcMar>
            <w:vAlign w:val="center"/>
          </w:tcPr>
          <w:p w14:paraId="447464A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环保投资占比（%）</w:t>
            </w:r>
          </w:p>
        </w:tc>
        <w:tc>
          <w:tcPr>
            <w:tcW w:w="1852" w:type="dxa"/>
            <w:vAlign w:val="center"/>
          </w:tcPr>
          <w:p w14:paraId="0DD5F77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8</w:t>
            </w:r>
          </w:p>
        </w:tc>
        <w:tc>
          <w:tcPr>
            <w:tcW w:w="2002" w:type="dxa"/>
            <w:tcMar>
              <w:top w:w="16" w:type="dxa"/>
              <w:left w:w="16" w:type="dxa"/>
              <w:right w:w="16" w:type="dxa"/>
            </w:tcMar>
            <w:vAlign w:val="center"/>
          </w:tcPr>
          <w:p w14:paraId="5FB39F9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施工工期</w:t>
            </w:r>
          </w:p>
        </w:tc>
        <w:tc>
          <w:tcPr>
            <w:tcW w:w="2947" w:type="dxa"/>
            <w:vAlign w:val="center"/>
          </w:tcPr>
          <w:p w14:paraId="4492785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202</w:t>
            </w:r>
            <w:r>
              <w:rPr>
                <w:rFonts w:hint="eastAsia" w:cs="Times New Roman"/>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年</w:t>
            </w:r>
            <w:r>
              <w:rPr>
                <w:rFonts w:hint="eastAsia" w:cs="Times New Roman"/>
                <w:color w:val="000000" w:themeColor="text1"/>
                <w:sz w:val="24"/>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月-202</w:t>
            </w:r>
            <w:r>
              <w:rPr>
                <w:rFonts w:hint="eastAsia" w:cs="Times New Roman"/>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年</w:t>
            </w:r>
            <w:r>
              <w:rPr>
                <w:rFonts w:hint="eastAsia" w:cs="Times New Roman"/>
                <w:color w:val="000000" w:themeColor="text1"/>
                <w:sz w:val="24"/>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月</w:t>
            </w:r>
          </w:p>
        </w:tc>
      </w:tr>
      <w:tr w14:paraId="1C94AA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069" w:type="dxa"/>
            <w:tcMar>
              <w:top w:w="16" w:type="dxa"/>
              <w:left w:w="16" w:type="dxa"/>
              <w:right w:w="16" w:type="dxa"/>
            </w:tcMar>
            <w:vAlign w:val="center"/>
          </w:tcPr>
          <w:p w14:paraId="2DCEFE9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是否开工建设</w:t>
            </w:r>
          </w:p>
        </w:tc>
        <w:tc>
          <w:tcPr>
            <w:tcW w:w="1852" w:type="dxa"/>
            <w:vAlign w:val="center"/>
          </w:tcPr>
          <w:p w14:paraId="509C150E">
            <w:pPr>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否</w:t>
            </w:r>
          </w:p>
          <w:p w14:paraId="48F819F9">
            <w:pPr>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是</w:t>
            </w:r>
          </w:p>
        </w:tc>
        <w:tc>
          <w:tcPr>
            <w:tcW w:w="2002" w:type="dxa"/>
            <w:shd w:val="clear" w:color="auto" w:fill="auto"/>
            <w:tcMar>
              <w:top w:w="16" w:type="dxa"/>
              <w:left w:w="16" w:type="dxa"/>
              <w:right w:w="16" w:type="dxa"/>
            </w:tcMar>
            <w:vAlign w:val="center"/>
          </w:tcPr>
          <w:p w14:paraId="7AFB10E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pacing w:val="-6"/>
                <w:sz w:val="24"/>
                <w:highlight w:val="none"/>
                <w14:textFill>
                  <w14:solidFill>
                    <w14:schemeClr w14:val="tx1"/>
                  </w14:solidFill>
                </w14:textFill>
              </w:rPr>
            </w:pPr>
            <w:r>
              <w:rPr>
                <w:rFonts w:hint="default" w:ascii="Times New Roman" w:hAnsi="Times New Roman" w:eastAsia="宋体" w:cs="Times New Roman"/>
                <w:color w:val="000000" w:themeColor="text1"/>
                <w:spacing w:val="-6"/>
                <w:sz w:val="24"/>
                <w:highlight w:val="none"/>
                <w14:textFill>
                  <w14:solidFill>
                    <w14:schemeClr w14:val="tx1"/>
                  </w14:solidFill>
                </w14:textFill>
              </w:rPr>
              <w:t>用地（用海）</w:t>
            </w:r>
          </w:p>
          <w:p w14:paraId="0AC44FC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pacing w:val="-6"/>
                <w:sz w:val="24"/>
                <w:highlight w:val="none"/>
                <w14:textFill>
                  <w14:solidFill>
                    <w14:schemeClr w14:val="tx1"/>
                  </w14:solidFill>
                </w14:textFill>
              </w:rPr>
              <w:t>面积（m</w:t>
            </w:r>
            <w:r>
              <w:rPr>
                <w:rFonts w:hint="default" w:ascii="Times New Roman" w:hAnsi="Times New Roman" w:eastAsia="宋体" w:cs="Times New Roman"/>
                <w:color w:val="000000" w:themeColor="text1"/>
                <w:spacing w:val="-6"/>
                <w:sz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pacing w:val="-6"/>
                <w:sz w:val="24"/>
                <w:highlight w:val="none"/>
                <w14:textFill>
                  <w14:solidFill>
                    <w14:schemeClr w14:val="tx1"/>
                  </w14:solidFill>
                </w14:textFill>
              </w:rPr>
              <w:t>）</w:t>
            </w:r>
          </w:p>
        </w:tc>
        <w:tc>
          <w:tcPr>
            <w:tcW w:w="2947" w:type="dxa"/>
            <w:shd w:val="clear" w:color="auto" w:fill="auto"/>
            <w:vAlign w:val="center"/>
          </w:tcPr>
          <w:p w14:paraId="40F9BE3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不新增用地</w:t>
            </w:r>
          </w:p>
        </w:tc>
      </w:tr>
      <w:tr w14:paraId="40839D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16" w:hRule="atLeast"/>
          <w:jc w:val="center"/>
        </w:trPr>
        <w:tc>
          <w:tcPr>
            <w:tcW w:w="2069" w:type="dxa"/>
            <w:vAlign w:val="center"/>
          </w:tcPr>
          <w:p w14:paraId="1DB57520">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专项评价设置情况</w:t>
            </w:r>
          </w:p>
        </w:tc>
        <w:tc>
          <w:tcPr>
            <w:tcW w:w="6801" w:type="dxa"/>
            <w:gridSpan w:val="3"/>
            <w:shd w:val="clear" w:color="auto" w:fill="auto"/>
            <w:vAlign w:val="center"/>
          </w:tcPr>
          <w:p w14:paraId="0EA21DCD">
            <w:pPr>
              <w:pStyle w:val="12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根据《建设项目环境影响报告表编制技术指南（污染影响类）（试行）》，土壤、声环境不开展专项评价，地下水原则上不开展专项评价，涉及集中式饮用水水源和热水、矿泉水、温泉等特殊地下水资源保护区的开展地下水专项评价工作。本项目不涉及集中式饮用水水源和热水、矿泉水、温泉等特殊地下水资源保护区，项目专项设置情况参照下表。</w:t>
            </w:r>
          </w:p>
          <w:p w14:paraId="4D21C02D">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表1-1 专项评价设置情况一览表</w:t>
            </w:r>
          </w:p>
          <w:tbl>
            <w:tblPr>
              <w:tblStyle w:val="36"/>
              <w:tblW w:w="4983"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535"/>
              <w:gridCol w:w="3150"/>
            </w:tblGrid>
            <w:tr w14:paraId="3CDFFC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68" w:type="pct"/>
                  <w:tcBorders>
                    <w:tl2br w:val="nil"/>
                    <w:tr2bl w:val="nil"/>
                  </w:tcBorders>
                  <w:noWrap w:val="0"/>
                  <w:vAlign w:val="center"/>
                </w:tcPr>
                <w:p w14:paraId="447FFD7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专项评价类别</w:t>
                  </w:r>
                </w:p>
              </w:tc>
              <w:tc>
                <w:tcPr>
                  <w:tcW w:w="1931" w:type="pct"/>
                  <w:tcBorders>
                    <w:tl2br w:val="nil"/>
                    <w:tr2bl w:val="nil"/>
                  </w:tcBorders>
                  <w:noWrap w:val="0"/>
                  <w:vAlign w:val="center"/>
                </w:tcPr>
                <w:p w14:paraId="381E5DE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设置原则</w:t>
                  </w:r>
                </w:p>
              </w:tc>
              <w:tc>
                <w:tcPr>
                  <w:tcW w:w="2399" w:type="pct"/>
                  <w:tcBorders>
                    <w:tl2br w:val="nil"/>
                    <w:tr2bl w:val="nil"/>
                  </w:tcBorders>
                  <w:noWrap w:val="0"/>
                  <w:vAlign w:val="center"/>
                </w:tcPr>
                <w:p w14:paraId="45D0E14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本项目设置情况</w:t>
                  </w:r>
                </w:p>
              </w:tc>
            </w:tr>
            <w:tr w14:paraId="271A30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668" w:type="pct"/>
                  <w:tcBorders>
                    <w:tl2br w:val="nil"/>
                    <w:tr2bl w:val="nil"/>
                  </w:tcBorders>
                  <w:noWrap w:val="0"/>
                  <w:vAlign w:val="center"/>
                </w:tcPr>
                <w:p w14:paraId="252AD93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大气</w:t>
                  </w:r>
                </w:p>
              </w:tc>
              <w:tc>
                <w:tcPr>
                  <w:tcW w:w="1931" w:type="pct"/>
                  <w:tcBorders>
                    <w:tl2br w:val="nil"/>
                    <w:tr2bl w:val="nil"/>
                  </w:tcBorders>
                  <w:noWrap w:val="0"/>
                  <w:vAlign w:val="center"/>
                </w:tcPr>
                <w:p w14:paraId="2F11F0D1">
                  <w:pPr>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排放废气含有毒有害污染物</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①</w:t>
                  </w:r>
                  <w:r>
                    <w:rPr>
                      <w:rFonts w:hint="default" w:ascii="Times New Roman" w:hAnsi="Times New Roman" w:eastAsia="宋体" w:cs="Times New Roman"/>
                      <w:color w:val="000000" w:themeColor="text1"/>
                      <w:sz w:val="21"/>
                      <w:szCs w:val="21"/>
                      <w:highlight w:val="none"/>
                      <w14:textFill>
                        <w14:solidFill>
                          <w14:schemeClr w14:val="tx1"/>
                        </w14:solidFill>
                      </w14:textFill>
                    </w:rPr>
                    <w:t>、二噁英、苯并[a]芘、氰化物、氯气且厂界外500米范围内有环境空气保护目标</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②</w:t>
                  </w:r>
                  <w:r>
                    <w:rPr>
                      <w:rFonts w:hint="default" w:ascii="Times New Roman" w:hAnsi="Times New Roman" w:eastAsia="宋体" w:cs="Times New Roman"/>
                      <w:color w:val="000000" w:themeColor="text1"/>
                      <w:sz w:val="21"/>
                      <w:szCs w:val="21"/>
                      <w:highlight w:val="none"/>
                      <w14:textFill>
                        <w14:solidFill>
                          <w14:schemeClr w14:val="tx1"/>
                        </w14:solidFill>
                      </w14:textFill>
                    </w:rPr>
                    <w:t>的建设项目</w:t>
                  </w:r>
                </w:p>
              </w:tc>
              <w:tc>
                <w:tcPr>
                  <w:tcW w:w="2399" w:type="pct"/>
                  <w:tcBorders>
                    <w:tl2br w:val="nil"/>
                    <w:tr2bl w:val="nil"/>
                  </w:tcBorders>
                  <w:noWrap w:val="0"/>
                  <w:vAlign w:val="center"/>
                </w:tcPr>
                <w:p w14:paraId="65D6EE0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根据《排污许可申请与核发技术规范 工业窑炉》（HJ1121-2020）中主要污染物项目中汞适用于以煤为燃料的工业窑炉，本项目燃料为生物质，燃料元素分析无汞含量数据，根据《直接法测定固体生物质燃料中汞的试验研究》（煤质技术，2020年）可知，生物质汞含量为15.47ng/g。由于生物质燃料汞含量极低的特点，本项目不进行汞及其化合物的污染源强核算。废气污染物主要为颗粒物，烟尘、SO</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和NOx，不涉及有毒有害污染物、二噁英、苯并芘、氰化物、氯气，所以不需要设置大气专项评价。</w:t>
                  </w:r>
                </w:p>
              </w:tc>
            </w:tr>
            <w:tr w14:paraId="4B3E60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58" w:hRule="atLeast"/>
              </w:trPr>
              <w:tc>
                <w:tcPr>
                  <w:tcW w:w="668" w:type="pct"/>
                  <w:tcBorders>
                    <w:tl2br w:val="nil"/>
                    <w:tr2bl w:val="nil"/>
                  </w:tcBorders>
                  <w:noWrap w:val="0"/>
                  <w:vAlign w:val="center"/>
                </w:tcPr>
                <w:p w14:paraId="69D4335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地表水</w:t>
                  </w:r>
                </w:p>
              </w:tc>
              <w:tc>
                <w:tcPr>
                  <w:tcW w:w="1931" w:type="pct"/>
                  <w:tcBorders>
                    <w:tl2br w:val="nil"/>
                    <w:tr2bl w:val="nil"/>
                  </w:tcBorders>
                  <w:noWrap w:val="0"/>
                  <w:vAlign w:val="center"/>
                </w:tcPr>
                <w:p w14:paraId="6610F92E">
                  <w:pPr>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新增工业废水直排建设项目（槽罐车外送污水处理厂的除外）；新增废水直排的污水集中处理厂</w:t>
                  </w:r>
                </w:p>
              </w:tc>
              <w:tc>
                <w:tcPr>
                  <w:tcW w:w="2399" w:type="pct"/>
                  <w:tcBorders>
                    <w:tl2br w:val="nil"/>
                    <w:tr2bl w:val="nil"/>
                  </w:tcBorders>
                  <w:noWrap w:val="0"/>
                  <w:vAlign w:val="center"/>
                </w:tcPr>
                <w:p w14:paraId="5204656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本项目废水为生活污水，生活污水排入厂区防渗旱厕，定期清掏，外运堆肥，不需设置地表水专项评价。</w:t>
                  </w:r>
                </w:p>
              </w:tc>
            </w:tr>
            <w:tr w14:paraId="09A5F4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668" w:type="pct"/>
                  <w:tcBorders>
                    <w:tl2br w:val="nil"/>
                    <w:tr2bl w:val="nil"/>
                  </w:tcBorders>
                  <w:noWrap w:val="0"/>
                  <w:vAlign w:val="center"/>
                </w:tcPr>
                <w:p w14:paraId="5793C71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环境风险</w:t>
                  </w:r>
                </w:p>
              </w:tc>
              <w:tc>
                <w:tcPr>
                  <w:tcW w:w="1931" w:type="pct"/>
                  <w:tcBorders>
                    <w:tl2br w:val="nil"/>
                    <w:tr2bl w:val="nil"/>
                  </w:tcBorders>
                  <w:noWrap w:val="0"/>
                  <w:vAlign w:val="center"/>
                </w:tcPr>
                <w:p w14:paraId="15ACA3B9">
                  <w:pPr>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有毒有害和易燃易爆危险物质存储量超过临界量</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③</w:t>
                  </w:r>
                  <w:r>
                    <w:rPr>
                      <w:rFonts w:hint="default" w:ascii="Times New Roman" w:hAnsi="Times New Roman" w:eastAsia="宋体" w:cs="Times New Roman"/>
                      <w:color w:val="000000" w:themeColor="text1"/>
                      <w:sz w:val="21"/>
                      <w:szCs w:val="21"/>
                      <w:highlight w:val="none"/>
                      <w14:textFill>
                        <w14:solidFill>
                          <w14:schemeClr w14:val="tx1"/>
                        </w14:solidFill>
                      </w14:textFill>
                    </w:rPr>
                    <w:t>的建设项目</w:t>
                  </w:r>
                </w:p>
              </w:tc>
              <w:tc>
                <w:tcPr>
                  <w:tcW w:w="2399" w:type="pct"/>
                  <w:tcBorders>
                    <w:tl2br w:val="nil"/>
                    <w:tr2bl w:val="nil"/>
                  </w:tcBorders>
                  <w:noWrap w:val="0"/>
                  <w:vAlign w:val="center"/>
                </w:tcPr>
                <w:p w14:paraId="33ECE78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本项目不属于有毒有害和易燃易爆危险物质存储量超过临界量的建设项目</w:t>
                  </w:r>
                </w:p>
              </w:tc>
            </w:tr>
            <w:tr w14:paraId="22CC28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59" w:hRule="atLeast"/>
              </w:trPr>
              <w:tc>
                <w:tcPr>
                  <w:tcW w:w="668" w:type="pct"/>
                  <w:tcBorders>
                    <w:tl2br w:val="nil"/>
                    <w:tr2bl w:val="nil"/>
                  </w:tcBorders>
                  <w:noWrap w:val="0"/>
                  <w:vAlign w:val="center"/>
                </w:tcPr>
                <w:p w14:paraId="1BD23FE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生态</w:t>
                  </w:r>
                </w:p>
              </w:tc>
              <w:tc>
                <w:tcPr>
                  <w:tcW w:w="1931" w:type="pct"/>
                  <w:tcBorders>
                    <w:tl2br w:val="nil"/>
                    <w:tr2bl w:val="nil"/>
                  </w:tcBorders>
                  <w:noWrap w:val="0"/>
                  <w:vAlign w:val="center"/>
                </w:tcPr>
                <w:p w14:paraId="02C2144E">
                  <w:pPr>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取水口下游500米范围内有重要水生生物的自然产卵场、索饵场、越冬场和洄游通道的新增河道取水的污染类建设项目</w:t>
                  </w:r>
                </w:p>
              </w:tc>
              <w:tc>
                <w:tcPr>
                  <w:tcW w:w="2399" w:type="pct"/>
                  <w:tcBorders>
                    <w:tl2br w:val="nil"/>
                    <w:tr2bl w:val="nil"/>
                  </w:tcBorders>
                  <w:noWrap w:val="0"/>
                  <w:vAlign w:val="center"/>
                </w:tcPr>
                <w:p w14:paraId="5017454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本项目不涉及河道取水，不需设置</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生态专项评价</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p>
              </w:tc>
            </w:tr>
            <w:tr w14:paraId="434CF4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19" w:hRule="atLeast"/>
              </w:trPr>
              <w:tc>
                <w:tcPr>
                  <w:tcW w:w="668" w:type="pct"/>
                  <w:tcBorders>
                    <w:tl2br w:val="nil"/>
                    <w:tr2bl w:val="nil"/>
                  </w:tcBorders>
                  <w:noWrap w:val="0"/>
                  <w:vAlign w:val="center"/>
                </w:tcPr>
                <w:p w14:paraId="6EEE75C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海洋</w:t>
                  </w:r>
                </w:p>
              </w:tc>
              <w:tc>
                <w:tcPr>
                  <w:tcW w:w="1931" w:type="pct"/>
                  <w:tcBorders>
                    <w:tl2br w:val="nil"/>
                    <w:tr2bl w:val="nil"/>
                  </w:tcBorders>
                  <w:noWrap w:val="0"/>
                  <w:vAlign w:val="center"/>
                </w:tcPr>
                <w:p w14:paraId="36AA301F">
                  <w:pPr>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直接向海排放污染物的海洋工程建设项目</w:t>
                  </w:r>
                </w:p>
              </w:tc>
              <w:tc>
                <w:tcPr>
                  <w:tcW w:w="2399" w:type="pct"/>
                  <w:tcBorders>
                    <w:tl2br w:val="nil"/>
                    <w:tr2bl w:val="nil"/>
                  </w:tcBorders>
                  <w:noWrap w:val="0"/>
                  <w:vAlign w:val="center"/>
                </w:tcPr>
                <w:p w14:paraId="2676C01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本项目不涉及海洋，不需设置海洋</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专项评价</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p>
              </w:tc>
            </w:tr>
            <w:tr w14:paraId="7301A8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63" w:hRule="atLeast"/>
              </w:trPr>
              <w:tc>
                <w:tcPr>
                  <w:tcW w:w="5000" w:type="pct"/>
                  <w:gridSpan w:val="3"/>
                  <w:tcBorders>
                    <w:tl2br w:val="nil"/>
                    <w:tr2bl w:val="nil"/>
                  </w:tcBorders>
                  <w:noWrap w:val="0"/>
                  <w:vAlign w:val="center"/>
                </w:tcPr>
                <w:p w14:paraId="030F4CE1">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注：①废气中有毒有害污染物指纳入《有毒有害大气污染物名录》的污染物（不包括物排放标准的污染物）。</w:t>
                  </w:r>
                </w:p>
                <w:p w14:paraId="7C057456">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②环境空气保护目标指自然保护区、风景名胜区、居住区、文化区和农村地区中人群较集中的区域。</w:t>
                  </w:r>
                </w:p>
                <w:p w14:paraId="3FC521A0">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③临界量及其计算方法参考《建设项目环境风险评价技术导则》（HJ 169）附录B、附录C。</w:t>
                  </w:r>
                </w:p>
              </w:tc>
            </w:tr>
          </w:tbl>
          <w:p w14:paraId="69F2BAC8">
            <w:pPr>
              <w:keepNext w:val="0"/>
              <w:keepLines w:val="0"/>
              <w:suppressLineNumbers w:val="0"/>
              <w:spacing w:before="0" w:beforeAutospacing="0" w:after="0" w:afterAutospacing="0" w:line="500" w:lineRule="exact"/>
              <w:ind w:left="0" w:right="0" w:firstLine="420" w:firstLineChars="200"/>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根据上表分析可知，本项目无需开展专项评价工作。</w:t>
            </w:r>
          </w:p>
        </w:tc>
      </w:tr>
      <w:tr w14:paraId="0E7F6F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2069" w:type="dxa"/>
            <w:vAlign w:val="center"/>
          </w:tcPr>
          <w:p w14:paraId="60720545">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规划情况</w:t>
            </w:r>
          </w:p>
        </w:tc>
        <w:tc>
          <w:tcPr>
            <w:tcW w:w="6801" w:type="dxa"/>
            <w:gridSpan w:val="3"/>
            <w:vAlign w:val="center"/>
          </w:tcPr>
          <w:p w14:paraId="054A65F2">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无</w:t>
            </w:r>
          </w:p>
        </w:tc>
      </w:tr>
      <w:tr w14:paraId="1F7C96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069" w:type="dxa"/>
            <w:vAlign w:val="center"/>
          </w:tcPr>
          <w:p w14:paraId="60B822F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规划环境影响</w:t>
            </w:r>
          </w:p>
          <w:p w14:paraId="03668D5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评价情况</w:t>
            </w:r>
          </w:p>
        </w:tc>
        <w:tc>
          <w:tcPr>
            <w:tcW w:w="6801" w:type="dxa"/>
            <w:gridSpan w:val="3"/>
            <w:vAlign w:val="center"/>
          </w:tcPr>
          <w:p w14:paraId="12FF2681">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无</w:t>
            </w:r>
          </w:p>
        </w:tc>
      </w:tr>
      <w:tr w14:paraId="55359E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69" w:type="dxa"/>
            <w:vAlign w:val="center"/>
          </w:tcPr>
          <w:p w14:paraId="582A3F7A">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规划及规划环境影响评价符合性分析</w:t>
            </w:r>
          </w:p>
        </w:tc>
        <w:tc>
          <w:tcPr>
            <w:tcW w:w="6801" w:type="dxa"/>
            <w:gridSpan w:val="3"/>
            <w:vAlign w:val="center"/>
          </w:tcPr>
          <w:p w14:paraId="5EC55E58">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无</w:t>
            </w:r>
          </w:p>
        </w:tc>
      </w:tr>
      <w:tr w14:paraId="234DE6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069" w:type="dxa"/>
            <w:vAlign w:val="center"/>
          </w:tcPr>
          <w:p w14:paraId="576561CD">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其他符合性分析</w:t>
            </w:r>
          </w:p>
        </w:tc>
        <w:tc>
          <w:tcPr>
            <w:tcW w:w="6801" w:type="dxa"/>
            <w:gridSpan w:val="3"/>
            <w:vAlign w:val="center"/>
          </w:tcPr>
          <w:p w14:paraId="4B6710DC">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highlight w:val="none"/>
                <w14:textFill>
                  <w14:solidFill>
                    <w14:schemeClr w14:val="tx1"/>
                  </w14:solidFill>
                </w14:textFill>
              </w:rPr>
              <w:t>、产业政策相符性</w:t>
            </w:r>
          </w:p>
          <w:p w14:paraId="164EC36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本项目属于农产品初加工及热力生产和供应项目，项目建设1台</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600</w:t>
            </w:r>
            <w:r>
              <w:rPr>
                <w:rFonts w:hint="default" w:ascii="Times New Roman" w:hAnsi="Times New Roman" w:eastAsia="宋体" w:cs="Times New Roman"/>
                <w:color w:val="000000" w:themeColor="text1"/>
                <w:sz w:val="24"/>
                <w:highlight w:val="none"/>
                <w14:textFill>
                  <w14:solidFill>
                    <w14:schemeClr w14:val="tx1"/>
                  </w14:solidFill>
                </w14:textFill>
              </w:rPr>
              <w:t>万kcal燃生物质成型燃料热风炉，根据《产业结构调整指导目录》</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（2024年本）</w:t>
            </w:r>
            <w:r>
              <w:rPr>
                <w:rFonts w:hint="default" w:ascii="Times New Roman" w:hAnsi="Times New Roman" w:eastAsia="宋体" w:cs="Times New Roman"/>
                <w:color w:val="000000" w:themeColor="text1"/>
                <w:sz w:val="24"/>
                <w:highlight w:val="none"/>
                <w14:textFill>
                  <w14:solidFill>
                    <w14:schemeClr w14:val="tx1"/>
                  </w14:solidFill>
                </w14:textFill>
              </w:rPr>
              <w:t>，本项目不属于国家</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“鼓励类”、“限制类”和“淘汰类”</w:t>
            </w:r>
            <w:r>
              <w:rPr>
                <w:rFonts w:hint="default" w:ascii="Times New Roman" w:hAnsi="Times New Roman" w:eastAsia="宋体" w:cs="Times New Roman"/>
                <w:color w:val="000000" w:themeColor="text1"/>
                <w:sz w:val="24"/>
                <w:highlight w:val="none"/>
                <w14:textFill>
                  <w14:solidFill>
                    <w14:schemeClr w14:val="tx1"/>
                  </w14:solidFill>
                </w14:textFill>
              </w:rPr>
              <w:t>项目，</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为允许类。</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项目不属于《产业结构调整指导目录（2024年本）》中的“鼓励类”、“限制类”和“淘汰类”项目。项目所用设备无《产业结构调整指导目录(2024年本)》中限制、淘汰类设备。项目符合国家产业政策及有关部门的相关行业规定，项目实施后可以促进当地的经济发展。因此本项目的建设符合</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国家有关法律、法规和政策规定</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p>
          <w:p w14:paraId="2210BA89">
            <w:pPr>
              <w:keepNext w:val="0"/>
              <w:keepLines w:val="0"/>
              <w:numPr>
                <w:ilvl w:val="0"/>
                <w:numId w:val="0"/>
              </w:numPr>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t>2、与生态环境分区管控要求符合性分析</w:t>
            </w:r>
          </w:p>
          <w:p w14:paraId="687E9407">
            <w:pPr>
              <w:pStyle w:val="121"/>
              <w:keepNext w:val="0"/>
              <w:keepLines w:val="0"/>
              <w:numPr>
                <w:ilvl w:val="0"/>
                <w:numId w:val="0"/>
              </w:numPr>
              <w:suppressLineNumbers w:val="0"/>
              <w:spacing w:before="0" w:beforeAutospacing="0" w:after="0" w:afterAutospacing="0"/>
              <w:ind w:left="0" w:right="0" w:firstLine="480" w:firstLineChars="200"/>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4"/>
                <w:szCs w:val="20"/>
                <w:highlight w:val="none"/>
                <w:lang w:bidi="ar"/>
                <w14:textFill>
                  <w14:solidFill>
                    <w14:schemeClr w14:val="tx1"/>
                  </w14:solidFill>
                </w14:textFill>
              </w:rPr>
              <w:t>根据《黑龙江省人民政府关于实施“三线一单”生态环境分区管控的意见》（黑政发〔2020〕14号）和《</w:t>
            </w:r>
            <w:r>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t>鸡西</w:t>
            </w:r>
            <w:r>
              <w:rPr>
                <w:rFonts w:hint="default" w:ascii="Times New Roman" w:hAnsi="Times New Roman" w:eastAsia="宋体" w:cs="Times New Roman"/>
                <w:color w:val="000000" w:themeColor="text1"/>
                <w:sz w:val="24"/>
                <w:szCs w:val="20"/>
                <w:highlight w:val="none"/>
                <w:lang w:bidi="ar"/>
                <w14:textFill>
                  <w14:solidFill>
                    <w14:schemeClr w14:val="tx1"/>
                  </w14:solidFill>
                </w14:textFill>
              </w:rPr>
              <w:t>市人民政府关于实施“三线一单”生态环境分区管控的意见》（</w:t>
            </w:r>
            <w:r>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t>鸡政发</w:t>
            </w:r>
            <w:r>
              <w:rPr>
                <w:rFonts w:hint="default" w:ascii="Times New Roman" w:hAnsi="Times New Roman" w:eastAsia="宋体" w:cs="Times New Roman"/>
                <w:color w:val="000000" w:themeColor="text1"/>
                <w:sz w:val="24"/>
                <w:szCs w:val="20"/>
                <w:highlight w:val="none"/>
                <w:lang w:bidi="ar"/>
                <w14:textFill>
                  <w14:solidFill>
                    <w14:schemeClr w14:val="tx1"/>
                  </w14:solidFill>
                </w14:textFill>
              </w:rPr>
              <w:t>〔2021〕</w:t>
            </w:r>
            <w:r>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t>7</w:t>
            </w:r>
            <w:r>
              <w:rPr>
                <w:rFonts w:hint="default" w:ascii="Times New Roman" w:hAnsi="Times New Roman" w:eastAsia="宋体" w:cs="Times New Roman"/>
                <w:color w:val="000000" w:themeColor="text1"/>
                <w:sz w:val="24"/>
                <w:szCs w:val="20"/>
                <w:highlight w:val="none"/>
                <w:lang w:bidi="ar"/>
                <w14:textFill>
                  <w14:solidFill>
                    <w14:schemeClr w14:val="tx1"/>
                  </w14:solidFill>
                </w14:textFill>
              </w:rPr>
              <w:t>号）、</w:t>
            </w:r>
            <w:r>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t>《鸡西市生态环境准入清单》（2023年版）</w:t>
            </w:r>
            <w:r>
              <w:rPr>
                <w:rFonts w:hint="default" w:ascii="Times New Roman" w:hAnsi="Times New Roman" w:eastAsia="宋体" w:cs="Times New Roman"/>
                <w:color w:val="000000" w:themeColor="text1"/>
                <w:sz w:val="24"/>
                <w:szCs w:val="20"/>
                <w:highlight w:val="none"/>
                <w:lang w:bidi="ar"/>
                <w14:textFill>
                  <w14:solidFill>
                    <w14:schemeClr w14:val="tx1"/>
                  </w14:solidFill>
                </w14:textFill>
              </w:rPr>
              <w:t>等文件，本项目位于</w:t>
            </w:r>
            <w:r>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t>黑龙江省鸡西市虎林市庆丰农场九队</w:t>
            </w:r>
            <w:r>
              <w:rPr>
                <w:rFonts w:hint="default" w:ascii="Times New Roman" w:hAnsi="Times New Roman" w:eastAsia="宋体" w:cs="Times New Roman"/>
                <w:snapToGrid w:val="0"/>
                <w:color w:val="000000" w:themeColor="text1"/>
                <w:kern w:val="0"/>
                <w:sz w:val="24"/>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t>根据黑龙江省生态分区管控数据应用平台出具的《黑龙江省牡丹江农垦双合粮食仓储有限公司</w:t>
            </w:r>
            <w:r>
              <w:rPr>
                <w:rFonts w:hint="eastAsia" w:ascii="Times New Roman" w:hAnsi="Times New Roman" w:cs="Times New Roman"/>
                <w:color w:val="000000" w:themeColor="text1"/>
                <w:sz w:val="24"/>
                <w:szCs w:val="20"/>
                <w:highlight w:val="none"/>
                <w:lang w:val="en-US" w:eastAsia="zh-CN" w:bidi="ar"/>
                <w14:textFill>
                  <w14:solidFill>
                    <w14:schemeClr w14:val="tx1"/>
                  </w14:solidFill>
                </w14:textFill>
              </w:rPr>
              <w:t>建设</w:t>
            </w:r>
            <w:r>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t>项目生态环境分区管控分析报告》可知，本项目属于</w:t>
            </w:r>
            <w:r>
              <w:rPr>
                <w:rFonts w:hint="eastAsia" w:ascii="Times New Roman" w:hAnsi="Times New Roman" w:eastAsia="宋体" w:cs="Times New Roman"/>
                <w:color w:val="000000" w:themeColor="text1"/>
                <w:sz w:val="24"/>
                <w:szCs w:val="20"/>
                <w:highlight w:val="none"/>
                <w:lang w:val="en-US" w:eastAsia="zh-CN" w:bidi="ar"/>
                <w14:textFill>
                  <w14:solidFill>
                    <w14:schemeClr w14:val="tx1"/>
                  </w14:solidFill>
                </w14:textFill>
              </w:rPr>
              <w:t>虎林</w:t>
            </w:r>
            <w:r>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t>市</w:t>
            </w:r>
            <w:r>
              <w:rPr>
                <w:rFonts w:hint="eastAsia" w:ascii="Times New Roman" w:hAnsi="Times New Roman" w:cs="Times New Roman"/>
                <w:color w:val="000000" w:themeColor="text1"/>
                <w:sz w:val="24"/>
                <w:szCs w:val="20"/>
                <w:highlight w:val="none"/>
                <w:lang w:val="en-US" w:eastAsia="zh-CN" w:bidi="ar"/>
                <w14:textFill>
                  <w14:solidFill>
                    <w14:schemeClr w14:val="tx1"/>
                  </w14:solidFill>
                </w14:textFill>
              </w:rPr>
              <w:t>其他区域</w:t>
            </w:r>
            <w:r>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t>，环境管控编码为“ZH230381</w:t>
            </w:r>
            <w:r>
              <w:rPr>
                <w:rFonts w:hint="eastAsia" w:ascii="Times New Roman" w:hAnsi="Times New Roman" w:cs="Times New Roman"/>
                <w:color w:val="000000" w:themeColor="text1"/>
                <w:sz w:val="24"/>
                <w:szCs w:val="20"/>
                <w:highlight w:val="none"/>
                <w:lang w:val="en-US" w:eastAsia="zh-CN" w:bidi="ar"/>
                <w14:textFill>
                  <w14:solidFill>
                    <w14:schemeClr w14:val="tx1"/>
                  </w14:solidFill>
                </w14:textFill>
              </w:rPr>
              <w:t>3</w:t>
            </w:r>
            <w:r>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t>0002”，属于“</w:t>
            </w:r>
            <w:r>
              <w:rPr>
                <w:rFonts w:hint="eastAsia" w:ascii="Times New Roman" w:hAnsi="Times New Roman" w:cs="Times New Roman"/>
                <w:color w:val="000000" w:themeColor="text1"/>
                <w:sz w:val="24"/>
                <w:szCs w:val="20"/>
                <w:highlight w:val="none"/>
                <w:lang w:val="en-US" w:eastAsia="zh-CN" w:bidi="ar"/>
                <w14:textFill>
                  <w14:solidFill>
                    <w14:schemeClr w14:val="tx1"/>
                  </w14:solidFill>
                </w14:textFill>
              </w:rPr>
              <w:t>一般</w:t>
            </w:r>
            <w:r>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t>管控单元”。本项目与环境管控单元叠加情况见</w:t>
            </w:r>
            <w:r>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fldChar w:fldCharType="begin"/>
            </w:r>
            <w:r>
              <w:rPr>
                <w:rFonts w:hint="default"/>
                <w:color w:val="000000" w:themeColor="text1"/>
                <w:szCs w:val="20"/>
                <w14:textFill>
                  <w14:solidFill>
                    <w14:schemeClr w14:val="tx1"/>
                  </w14:solidFill>
                </w14:textFill>
              </w:rPr>
              <w:instrText xml:space="preserve"> REF _Ref28136 \h  \* MERGEFORMAT</w:instrText>
            </w:r>
            <w:r>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fldChar w:fldCharType="separate"/>
            </w:r>
            <w:r>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fldChar w:fldCharType="end"/>
            </w:r>
            <w:r>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t>图1-1、图1-2。</w:t>
            </w:r>
          </w:p>
          <w:p w14:paraId="2CE0498B">
            <w:pPr>
              <w:pStyle w:val="121"/>
              <w:keepNext w:val="0"/>
              <w:keepLines w:val="0"/>
              <w:numPr>
                <w:ilvl w:val="0"/>
                <w:numId w:val="4"/>
              </w:numPr>
              <w:suppressLineNumbers w:val="0"/>
              <w:spacing w:before="0" w:beforeAutospacing="0" w:after="0" w:afterAutospacing="0"/>
              <w:ind w:left="0" w:right="0" w:firstLine="480" w:firstLineChars="200"/>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t>“一图 ”</w:t>
            </w:r>
          </w:p>
          <w:p w14:paraId="366256CC">
            <w:pPr>
              <w:pStyle w:val="121"/>
              <w:keepNext w:val="0"/>
              <w:keepLines w:val="0"/>
              <w:widowControl w:val="0"/>
              <w:numPr>
                <w:ilvl w:val="0"/>
                <w:numId w:val="0"/>
              </w:numPr>
              <w:suppressLineNumbers w:val="0"/>
              <w:spacing w:before="0" w:beforeAutospacing="0" w:after="0" w:afterAutospacing="0" w:line="360" w:lineRule="auto"/>
              <w:ind w:left="0" w:right="0" w:rightChars="0"/>
              <w:jc w:val="both"/>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pPr>
          </w:p>
          <w:p w14:paraId="402575F6">
            <w:pPr>
              <w:pStyle w:val="121"/>
              <w:keepNext w:val="0"/>
              <w:keepLines w:val="0"/>
              <w:widowControl w:val="0"/>
              <w:numPr>
                <w:ilvl w:val="0"/>
                <w:numId w:val="0"/>
              </w:numPr>
              <w:suppressLineNumbers w:val="0"/>
              <w:spacing w:before="0" w:beforeAutospacing="0" w:after="0" w:afterAutospacing="0" w:line="360" w:lineRule="auto"/>
              <w:ind w:left="0" w:right="0" w:rightChars="0"/>
              <w:jc w:val="both"/>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pPr>
          </w:p>
          <w:p w14:paraId="1B57ECA1">
            <w:pPr>
              <w:pStyle w:val="121"/>
              <w:keepNext w:val="0"/>
              <w:keepLines w:val="0"/>
              <w:widowControl w:val="0"/>
              <w:numPr>
                <w:ilvl w:val="0"/>
                <w:numId w:val="0"/>
              </w:numPr>
              <w:suppressLineNumbers w:val="0"/>
              <w:spacing w:before="0" w:beforeAutospacing="0" w:after="0" w:afterAutospacing="0" w:line="360" w:lineRule="auto"/>
              <w:ind w:left="0" w:right="0" w:rightChars="0"/>
              <w:jc w:val="both"/>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pPr>
          </w:p>
          <w:p w14:paraId="64BC9F3E">
            <w:pPr>
              <w:pStyle w:val="121"/>
              <w:keepNext w:val="0"/>
              <w:keepLines w:val="0"/>
              <w:widowControl w:val="0"/>
              <w:numPr>
                <w:ilvl w:val="0"/>
                <w:numId w:val="0"/>
              </w:numPr>
              <w:suppressLineNumbers w:val="0"/>
              <w:spacing w:before="0" w:beforeAutospacing="0" w:after="0" w:afterAutospacing="0" w:line="360" w:lineRule="auto"/>
              <w:ind w:left="0" w:right="0" w:rightChars="0"/>
              <w:jc w:val="both"/>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pPr>
          </w:p>
          <w:p w14:paraId="4C7E5970">
            <w:pPr>
              <w:pStyle w:val="121"/>
              <w:keepNext w:val="0"/>
              <w:keepLines w:val="0"/>
              <w:widowControl w:val="0"/>
              <w:numPr>
                <w:ilvl w:val="0"/>
                <w:numId w:val="0"/>
              </w:numPr>
              <w:suppressLineNumbers w:val="0"/>
              <w:spacing w:before="0" w:beforeAutospacing="0" w:after="0" w:afterAutospacing="0" w:line="360" w:lineRule="auto"/>
              <w:ind w:left="0" w:right="0" w:rightChars="0"/>
              <w:jc w:val="both"/>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pPr>
          </w:p>
          <w:p w14:paraId="3B017965">
            <w:pPr>
              <w:pStyle w:val="121"/>
              <w:keepNext w:val="0"/>
              <w:keepLines w:val="0"/>
              <w:widowControl w:val="0"/>
              <w:numPr>
                <w:ilvl w:val="0"/>
                <w:numId w:val="0"/>
              </w:numPr>
              <w:suppressLineNumbers w:val="0"/>
              <w:spacing w:before="0" w:beforeAutospacing="0" w:after="0" w:afterAutospacing="0" w:line="360" w:lineRule="auto"/>
              <w:ind w:left="0" w:right="0" w:rightChars="0"/>
              <w:jc w:val="both"/>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pPr>
          </w:p>
          <w:p w14:paraId="6EDA9AE2">
            <w:pPr>
              <w:pStyle w:val="121"/>
              <w:keepNext w:val="0"/>
              <w:keepLines w:val="0"/>
              <w:widowControl w:val="0"/>
              <w:numPr>
                <w:ilvl w:val="0"/>
                <w:numId w:val="0"/>
              </w:numPr>
              <w:suppressLineNumbers w:val="0"/>
              <w:spacing w:before="0" w:beforeAutospacing="0" w:after="0" w:afterAutospacing="0" w:line="360" w:lineRule="auto"/>
              <w:ind w:left="0" w:right="0" w:rightChars="0"/>
              <w:jc w:val="both"/>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pPr>
          </w:p>
          <w:p w14:paraId="2FEFBB6A">
            <w:pPr>
              <w:pStyle w:val="121"/>
              <w:keepNext w:val="0"/>
              <w:keepLines w:val="0"/>
              <w:numPr>
                <w:ilvl w:val="0"/>
                <w:numId w:val="0"/>
              </w:numPr>
              <w:suppressLineNumbers w:val="0"/>
              <w:spacing w:before="0" w:beforeAutospacing="0" w:after="0" w:afterAutospacing="0"/>
              <w:ind w:left="0" w:right="0"/>
              <w:jc w:val="cente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pPr>
            <w:r>
              <w:rPr>
                <w:rFonts w:hint="default"/>
                <w:color w:val="000000" w:themeColor="text1"/>
                <w:szCs w:val="20"/>
                <w:highlight w:val="none"/>
                <w14:textFill>
                  <w14:solidFill>
                    <w14:schemeClr w14:val="tx1"/>
                  </w14:solidFill>
                </w14:textFill>
              </w:rPr>
              <w:drawing>
                <wp:inline distT="0" distB="0" distL="114300" distR="114300">
                  <wp:extent cx="4178300" cy="2362200"/>
                  <wp:effectExtent l="0" t="0" r="12700" b="0"/>
                  <wp:docPr id="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pic:cNvPicPr>
                            <a:picLocks noChangeAspect="1"/>
                          </pic:cNvPicPr>
                        </pic:nvPicPr>
                        <pic:blipFill>
                          <a:blip r:embed="rId13"/>
                          <a:stretch>
                            <a:fillRect/>
                          </a:stretch>
                        </pic:blipFill>
                        <pic:spPr>
                          <a:xfrm>
                            <a:off x="0" y="0"/>
                            <a:ext cx="4178300" cy="2362200"/>
                          </a:xfrm>
                          <a:prstGeom prst="rect">
                            <a:avLst/>
                          </a:prstGeom>
                          <a:noFill/>
                          <a:ln>
                            <a:noFill/>
                          </a:ln>
                        </pic:spPr>
                      </pic:pic>
                    </a:graphicData>
                  </a:graphic>
                </wp:inline>
              </w:drawing>
            </w:r>
          </w:p>
          <w:p w14:paraId="65479ACE">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color w:val="000000" w:themeColor="text1"/>
                <w:szCs w:val="21"/>
                <w:highlight w:val="none"/>
                <w14:textFill>
                  <w14:solidFill>
                    <w14:schemeClr w14:val="tx1"/>
                  </w14:solidFill>
                </w14:textFill>
              </w:rPr>
            </w:pPr>
            <w:r>
              <w:rPr>
                <w:rFonts w:hint="default" w:ascii="Times New Roman" w:hAnsi="Times New Roman" w:cs="Times New Roman"/>
                <w:b/>
                <w:bCs/>
                <w:color w:val="000000" w:themeColor="text1"/>
                <w:szCs w:val="21"/>
                <w:highlight w:val="none"/>
                <w14:textFill>
                  <w14:solidFill>
                    <w14:schemeClr w14:val="tx1"/>
                  </w14:solidFill>
                </w14:textFill>
              </w:rPr>
              <w:t>图1-</w:t>
            </w:r>
            <w:r>
              <w:rPr>
                <w:rFonts w:hint="default" w:ascii="Times New Roman" w:hAnsi="Times New Roman" w:cs="Times New Roman"/>
                <w:b/>
                <w:bCs/>
                <w:color w:val="000000" w:themeColor="text1"/>
                <w:szCs w:val="21"/>
                <w:highlight w:val="none"/>
                <w:lang w:val="en-US" w:eastAsia="zh-CN"/>
                <w14:textFill>
                  <w14:solidFill>
                    <w14:schemeClr w14:val="tx1"/>
                  </w14:solidFill>
                </w14:textFill>
              </w:rPr>
              <w:t>1</w:t>
            </w:r>
            <w:r>
              <w:rPr>
                <w:rFonts w:hint="default" w:ascii="Times New Roman" w:hAnsi="Times New Roman" w:cs="Times New Roman"/>
                <w:b/>
                <w:bCs/>
                <w:color w:val="000000" w:themeColor="text1"/>
                <w:szCs w:val="21"/>
                <w:highlight w:val="none"/>
                <w14:textFill>
                  <w14:solidFill>
                    <w14:schemeClr w14:val="tx1"/>
                  </w14:solidFill>
                </w14:textFill>
              </w:rPr>
              <w:t xml:space="preserve">  本项目与环境管控单元对照分析示意图</w:t>
            </w:r>
          </w:p>
          <w:p w14:paraId="133D78DE">
            <w:pPr>
              <w:pStyle w:val="10"/>
              <w:keepNext w:val="0"/>
              <w:keepLines w:val="0"/>
              <w:suppressLineNumbers w:val="0"/>
              <w:spacing w:before="0" w:beforeAutospacing="0" w:after="0" w:afterAutospacing="0" w:line="240" w:lineRule="auto"/>
              <w:ind w:left="0" w:right="0"/>
              <w:jc w:val="center"/>
              <w:rPr>
                <w:rFonts w:hint="eastAsia" w:ascii="Times New Roman" w:hAnsi="Times New Roman" w:eastAsia="华文中宋" w:cs="Times New Roman"/>
                <w:color w:val="000000" w:themeColor="text1"/>
                <w:sz w:val="15"/>
                <w:szCs w:val="15"/>
                <w:highlight w:val="none"/>
                <w:lang w:eastAsia="zh-CN"/>
                <w14:textFill>
                  <w14:solidFill>
                    <w14:schemeClr w14:val="tx1"/>
                  </w14:solidFill>
                </w14:textFill>
              </w:rPr>
            </w:pPr>
            <w:r>
              <w:rPr>
                <w:rFonts w:hint="default"/>
                <w:color w:val="000000" w:themeColor="text1"/>
                <w:highlight w:val="none"/>
                <w14:textFill>
                  <w14:solidFill>
                    <w14:schemeClr w14:val="tx1"/>
                  </w14:solidFill>
                </w14:textFill>
              </w:rPr>
              <w:drawing>
                <wp:inline distT="0" distB="0" distL="114300" distR="114300">
                  <wp:extent cx="4180205" cy="2303145"/>
                  <wp:effectExtent l="0" t="0" r="10795" b="1905"/>
                  <wp:docPr id="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pic:cNvPicPr>
                            <a:picLocks noChangeAspect="1"/>
                          </pic:cNvPicPr>
                        </pic:nvPicPr>
                        <pic:blipFill>
                          <a:blip r:embed="rId14"/>
                          <a:stretch>
                            <a:fillRect/>
                          </a:stretch>
                        </pic:blipFill>
                        <pic:spPr>
                          <a:xfrm>
                            <a:off x="0" y="0"/>
                            <a:ext cx="4180205" cy="2303145"/>
                          </a:xfrm>
                          <a:prstGeom prst="rect">
                            <a:avLst/>
                          </a:prstGeom>
                          <a:noFill/>
                          <a:ln>
                            <a:noFill/>
                          </a:ln>
                        </pic:spPr>
                      </pic:pic>
                    </a:graphicData>
                  </a:graphic>
                </wp:inline>
              </w:drawing>
            </w:r>
          </w:p>
          <w:p w14:paraId="3EB84835">
            <w:pPr>
              <w:keepNext w:val="0"/>
              <w:keepLines w:val="0"/>
              <w:suppressLineNumbers w:val="0"/>
              <w:snapToGrid w:val="0"/>
              <w:spacing w:before="0" w:beforeAutospacing="0" w:after="0" w:afterAutospacing="0"/>
              <w:ind w:left="0" w:right="0"/>
              <w:jc w:val="center"/>
              <w:rPr>
                <w:rFonts w:hint="default" w:ascii="Times New Roman" w:hAnsi="Times New Roman" w:eastAsia="宋体" w:cs="Times New Roman"/>
                <w:b/>
                <w:bCs/>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Cs w:val="21"/>
                <w:highlight w:val="none"/>
                <w:lang w:val="en-US" w:eastAsia="zh-CN"/>
                <w14:textFill>
                  <w14:solidFill>
                    <w14:schemeClr w14:val="tx1"/>
                  </w14:solidFill>
                </w14:textFill>
              </w:rPr>
              <w:t>图1-2项目与地下水环境管控单元叠加图</w:t>
            </w:r>
          </w:p>
          <w:p w14:paraId="586C5451">
            <w:pPr>
              <w:keepNext w:val="0"/>
              <w:keepLines w:val="0"/>
              <w:suppressLineNumbers w:val="0"/>
              <w:spacing w:before="0" w:beforeAutospacing="0" w:after="0" w:afterAutospacing="0" w:line="360" w:lineRule="auto"/>
              <w:ind w:left="420" w:leftChars="200" w:right="0"/>
              <w:rPr>
                <w:rFonts w:hint="default" w:ascii="Times New Roman" w:hAnsi="Times New Roman" w:eastAsia="宋体" w:cs="Times New Roman"/>
                <w:color w:val="000000" w:themeColor="text1"/>
                <w:kern w:val="2"/>
                <w:sz w:val="24"/>
                <w:szCs w:val="20"/>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0"/>
                <w:highlight w:val="none"/>
                <w:lang w:val="en-US" w:eastAsia="zh-CN" w:bidi="ar"/>
                <w14:textFill>
                  <w14:solidFill>
                    <w14:schemeClr w14:val="tx1"/>
                  </w14:solidFill>
                </w14:textFill>
              </w:rPr>
              <w:t>（2）“一表”</w:t>
            </w:r>
          </w:p>
          <w:p w14:paraId="017998D3">
            <w:pPr>
              <w:keepNext w:val="0"/>
              <w:keepLines w:val="0"/>
              <w:suppressLineNumbers w:val="0"/>
              <w:snapToGrid w:val="0"/>
              <w:spacing w:before="0" w:beforeAutospacing="0" w:after="0" w:afterAutospacing="0"/>
              <w:ind w:left="0" w:right="0"/>
              <w:jc w:val="center"/>
              <w:rPr>
                <w:rFonts w:hint="default" w:ascii="Times New Roman" w:hAnsi="Times New Roman" w:eastAsia="宋体" w:cs="Times New Roman"/>
                <w:b/>
                <w:bCs/>
                <w:color w:val="000000" w:themeColor="text1"/>
                <w:szCs w:val="21"/>
                <w:highlight w:val="none"/>
                <w14:textFill>
                  <w14:solidFill>
                    <w14:schemeClr w14:val="tx1"/>
                  </w14:solidFill>
                </w14:textFill>
              </w:rPr>
            </w:pPr>
            <w:r>
              <w:rPr>
                <w:rFonts w:hint="default" w:ascii="Times New Roman" w:hAnsi="Times New Roman" w:eastAsia="宋体" w:cs="Times New Roman"/>
                <w:b/>
                <w:bCs/>
                <w:color w:val="000000" w:themeColor="text1"/>
                <w:szCs w:val="21"/>
                <w:highlight w:val="none"/>
                <w14:textFill>
                  <w14:solidFill>
                    <w14:schemeClr w14:val="tx1"/>
                  </w14:solidFill>
                </w14:textFill>
              </w:rPr>
              <w:t>表1-2    本项目与生态环境分区管控符合性分析表</w:t>
            </w:r>
          </w:p>
          <w:tbl>
            <w:tblPr>
              <w:tblStyle w:val="35"/>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290"/>
              <w:gridCol w:w="237"/>
              <w:gridCol w:w="2550"/>
              <w:gridCol w:w="504"/>
              <w:gridCol w:w="1673"/>
            </w:tblGrid>
            <w:tr w14:paraId="560C9F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5000" w:type="pct"/>
                  <w:gridSpan w:val="6"/>
                  <w:noWrap w:val="0"/>
                  <w:vAlign w:val="center"/>
                </w:tcPr>
                <w:p w14:paraId="7203715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color w:val="000000" w:themeColor="text1"/>
                      <w:spacing w:val="8"/>
                      <w:sz w:val="20"/>
                      <w:szCs w:val="20"/>
                      <w:highlight w:val="none"/>
                      <w14:textFill>
                        <w14:solidFill>
                          <w14:schemeClr w14:val="tx1"/>
                        </w14:solidFill>
                      </w14:textFill>
                    </w:rPr>
                    <w:t>一、生态保护红线</w:t>
                  </w:r>
                </w:p>
              </w:tc>
            </w:tr>
            <w:tr w14:paraId="5022C7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227" w:type="pct"/>
                  <w:gridSpan w:val="2"/>
                  <w:noWrap w:val="0"/>
                  <w:vAlign w:val="center"/>
                </w:tcPr>
                <w:p w14:paraId="58C50F97">
                  <w:pPr>
                    <w:keepNext w:val="0"/>
                    <w:keepLines w:val="0"/>
                    <w:widowControl/>
                    <w:suppressLineNumbers w:val="0"/>
                    <w:spacing w:before="0" w:beforeAutospacing="0" w:after="0" w:afterAutospacing="0" w:line="240" w:lineRule="auto"/>
                    <w:ind w:left="0" w:right="0"/>
                    <w:jc w:val="center"/>
                    <w:rPr>
                      <w:rFonts w:hint="default"/>
                      <w:color w:val="000000" w:themeColor="text1"/>
                      <w:spacing w:val="8"/>
                      <w:sz w:val="20"/>
                      <w:szCs w:val="20"/>
                      <w:highlight w:val="none"/>
                      <w14:textFill>
                        <w14:solidFill>
                          <w14:schemeClr w14:val="tx1"/>
                        </w14:solidFill>
                      </w14:textFill>
                    </w:rPr>
                  </w:pPr>
                  <w:r>
                    <w:rPr>
                      <w:rFonts w:hint="default"/>
                      <w:color w:val="000000" w:themeColor="text1"/>
                      <w:spacing w:val="7"/>
                      <w:sz w:val="20"/>
                      <w:szCs w:val="20"/>
                      <w:highlight w:val="none"/>
                      <w14:textFill>
                        <w14:solidFill>
                          <w14:schemeClr w14:val="tx1"/>
                        </w14:solidFill>
                      </w14:textFill>
                    </w:rPr>
                    <w:t>管控单元类别</w:t>
                  </w:r>
                </w:p>
              </w:tc>
              <w:tc>
                <w:tcPr>
                  <w:tcW w:w="3772" w:type="pct"/>
                  <w:gridSpan w:val="4"/>
                  <w:noWrap w:val="0"/>
                  <w:vAlign w:val="center"/>
                </w:tcPr>
                <w:p w14:paraId="1BFEEA4A">
                  <w:pPr>
                    <w:keepNext w:val="0"/>
                    <w:keepLines w:val="0"/>
                    <w:widowControl/>
                    <w:suppressLineNumbers w:val="0"/>
                    <w:spacing w:before="0" w:beforeAutospacing="0" w:after="0" w:afterAutospacing="0" w:line="240" w:lineRule="auto"/>
                    <w:ind w:left="0" w:right="0"/>
                    <w:jc w:val="center"/>
                    <w:rPr>
                      <w:rFonts w:hint="default"/>
                      <w:color w:val="000000" w:themeColor="text1"/>
                      <w:spacing w:val="8"/>
                      <w:sz w:val="20"/>
                      <w:szCs w:val="20"/>
                      <w:highlight w:val="none"/>
                      <w14:textFill>
                        <w14:solidFill>
                          <w14:schemeClr w14:val="tx1"/>
                        </w14:solidFill>
                      </w14:textFill>
                    </w:rPr>
                  </w:pPr>
                  <w:r>
                    <w:rPr>
                      <w:rFonts w:hint="default"/>
                      <w:color w:val="000000" w:themeColor="text1"/>
                      <w:spacing w:val="7"/>
                      <w:sz w:val="20"/>
                      <w:szCs w:val="20"/>
                      <w:highlight w:val="none"/>
                      <w14:textFill>
                        <w14:solidFill>
                          <w14:schemeClr w14:val="tx1"/>
                        </w14:solidFill>
                      </w14:textFill>
                    </w:rPr>
                    <w:t>一般管控区</w:t>
                  </w:r>
                </w:p>
              </w:tc>
            </w:tr>
            <w:tr w14:paraId="176C0F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1227" w:type="pct"/>
                  <w:gridSpan w:val="2"/>
                  <w:noWrap w:val="0"/>
                  <w:vAlign w:val="center"/>
                </w:tcPr>
                <w:p w14:paraId="11F0AF29">
                  <w:pPr>
                    <w:keepNext w:val="0"/>
                    <w:keepLines w:val="0"/>
                    <w:widowControl/>
                    <w:suppressLineNumbers w:val="0"/>
                    <w:spacing w:before="0" w:beforeAutospacing="0" w:after="0" w:afterAutospacing="0" w:line="240" w:lineRule="auto"/>
                    <w:ind w:left="0" w:right="0"/>
                    <w:jc w:val="center"/>
                    <w:rPr>
                      <w:rFonts w:hint="default"/>
                      <w:color w:val="000000" w:themeColor="text1"/>
                      <w:spacing w:val="7"/>
                      <w:sz w:val="20"/>
                      <w:szCs w:val="20"/>
                      <w:highlight w:val="none"/>
                      <w14:textFill>
                        <w14:solidFill>
                          <w14:schemeClr w14:val="tx1"/>
                        </w14:solidFill>
                      </w14:textFill>
                    </w:rPr>
                  </w:pPr>
                  <w:r>
                    <w:rPr>
                      <w:rFonts w:hint="default"/>
                      <w:color w:val="000000" w:themeColor="text1"/>
                      <w:spacing w:val="7"/>
                      <w:sz w:val="20"/>
                      <w:szCs w:val="20"/>
                      <w:highlight w:val="none"/>
                      <w14:textFill>
                        <w14:solidFill>
                          <w14:schemeClr w14:val="tx1"/>
                        </w14:solidFill>
                      </w14:textFill>
                    </w:rPr>
                    <w:t>管控要求</w:t>
                  </w:r>
                </w:p>
              </w:tc>
              <w:tc>
                <w:tcPr>
                  <w:tcW w:w="3772" w:type="pct"/>
                  <w:gridSpan w:val="4"/>
                  <w:noWrap w:val="0"/>
                  <w:vAlign w:val="center"/>
                </w:tcPr>
                <w:p w14:paraId="5CAE522D">
                  <w:pPr>
                    <w:keepNext w:val="0"/>
                    <w:keepLines w:val="0"/>
                    <w:widowControl/>
                    <w:suppressLineNumbers w:val="0"/>
                    <w:spacing w:before="0" w:beforeAutospacing="0" w:after="0" w:afterAutospacing="0" w:line="240" w:lineRule="auto"/>
                    <w:ind w:left="0" w:right="0"/>
                    <w:jc w:val="center"/>
                    <w:rPr>
                      <w:rFonts w:hint="default"/>
                      <w:color w:val="000000" w:themeColor="text1"/>
                      <w:spacing w:val="7"/>
                      <w:sz w:val="20"/>
                      <w:szCs w:val="20"/>
                      <w:highlight w:val="none"/>
                      <w14:textFill>
                        <w14:solidFill>
                          <w14:schemeClr w14:val="tx1"/>
                        </w14:solidFill>
                      </w14:textFill>
                    </w:rPr>
                  </w:pPr>
                  <w:r>
                    <w:rPr>
                      <w:rFonts w:hint="default"/>
                      <w:color w:val="000000" w:themeColor="text1"/>
                      <w:spacing w:val="7"/>
                      <w:sz w:val="20"/>
                      <w:szCs w:val="20"/>
                      <w:highlight w:val="none"/>
                      <w14:textFill>
                        <w14:solidFill>
                          <w14:schemeClr w14:val="tx1"/>
                        </w14:solidFill>
                      </w14:textFill>
                    </w:rPr>
                    <w:t>生态空间包括生态保护红线和一般生态空间，生态保护红线及一般生态空间均属于优先保护区，其余区域属于一般管控区。</w:t>
                  </w:r>
                </w:p>
              </w:tc>
            </w:tr>
            <w:tr w14:paraId="360665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227" w:type="pct"/>
                  <w:gridSpan w:val="2"/>
                  <w:noWrap w:val="0"/>
                  <w:vAlign w:val="center"/>
                </w:tcPr>
                <w:p w14:paraId="6199A5C1">
                  <w:pPr>
                    <w:keepNext w:val="0"/>
                    <w:keepLines w:val="0"/>
                    <w:widowControl/>
                    <w:suppressLineNumbers w:val="0"/>
                    <w:spacing w:before="0" w:beforeAutospacing="0" w:after="0" w:afterAutospacing="0" w:line="240" w:lineRule="auto"/>
                    <w:ind w:left="0" w:right="0"/>
                    <w:jc w:val="center"/>
                    <w:rPr>
                      <w:rFonts w:hint="default"/>
                      <w:color w:val="000000" w:themeColor="text1"/>
                      <w:spacing w:val="7"/>
                      <w:sz w:val="20"/>
                      <w:szCs w:val="20"/>
                      <w:highlight w:val="none"/>
                      <w14:textFill>
                        <w14:solidFill>
                          <w14:schemeClr w14:val="tx1"/>
                        </w14:solidFill>
                      </w14:textFill>
                    </w:rPr>
                  </w:pPr>
                  <w:r>
                    <w:rPr>
                      <w:rFonts w:hint="default"/>
                      <w:color w:val="000000" w:themeColor="text1"/>
                      <w:spacing w:val="7"/>
                      <w:sz w:val="20"/>
                      <w:szCs w:val="20"/>
                      <w:highlight w:val="none"/>
                      <w14:textFill>
                        <w14:solidFill>
                          <w14:schemeClr w14:val="tx1"/>
                        </w14:solidFill>
                      </w14:textFill>
                    </w:rPr>
                    <w:t>符合性分析</w:t>
                  </w:r>
                </w:p>
              </w:tc>
              <w:tc>
                <w:tcPr>
                  <w:tcW w:w="3772" w:type="pct"/>
                  <w:gridSpan w:val="4"/>
                  <w:noWrap w:val="0"/>
                  <w:vAlign w:val="center"/>
                </w:tcPr>
                <w:p w14:paraId="3C136362">
                  <w:pPr>
                    <w:keepNext w:val="0"/>
                    <w:keepLines w:val="0"/>
                    <w:widowControl/>
                    <w:suppressLineNumbers w:val="0"/>
                    <w:spacing w:before="0" w:beforeAutospacing="0" w:after="0" w:afterAutospacing="0" w:line="240" w:lineRule="auto"/>
                    <w:ind w:left="0" w:right="0"/>
                    <w:jc w:val="center"/>
                    <w:rPr>
                      <w:rFonts w:hint="default"/>
                      <w:color w:val="000000" w:themeColor="text1"/>
                      <w:spacing w:val="7"/>
                      <w:sz w:val="20"/>
                      <w:szCs w:val="20"/>
                      <w:highlight w:val="none"/>
                      <w14:textFill>
                        <w14:solidFill>
                          <w14:schemeClr w14:val="tx1"/>
                        </w14:solidFill>
                      </w14:textFill>
                    </w:rPr>
                  </w:pPr>
                  <w:r>
                    <w:rPr>
                      <w:rFonts w:hint="default"/>
                      <w:color w:val="000000" w:themeColor="text1"/>
                      <w:spacing w:val="7"/>
                      <w:sz w:val="20"/>
                      <w:szCs w:val="20"/>
                      <w:highlight w:val="none"/>
                      <w14:textFill>
                        <w14:solidFill>
                          <w14:schemeClr w14:val="tx1"/>
                        </w14:solidFill>
                      </w14:textFill>
                    </w:rPr>
                    <w:t>本项目位于</w:t>
                  </w:r>
                  <w:r>
                    <w:rPr>
                      <w:rFonts w:hint="default"/>
                      <w:color w:val="000000" w:themeColor="text1"/>
                      <w:spacing w:val="7"/>
                      <w:sz w:val="20"/>
                      <w:szCs w:val="20"/>
                      <w:highlight w:val="none"/>
                      <w:lang w:eastAsia="zh-CN"/>
                      <w14:textFill>
                        <w14:solidFill>
                          <w14:schemeClr w14:val="tx1"/>
                        </w14:solidFill>
                      </w14:textFill>
                    </w:rPr>
                    <w:t>黑龙江省鸡西市虎林市庆丰农场九队</w:t>
                  </w:r>
                  <w:r>
                    <w:rPr>
                      <w:rFonts w:hint="default"/>
                      <w:color w:val="000000" w:themeColor="text1"/>
                      <w:spacing w:val="7"/>
                      <w:sz w:val="20"/>
                      <w:szCs w:val="20"/>
                      <w:highlight w:val="none"/>
                      <w:lang w:val="en-US" w:eastAsia="zh-CN"/>
                      <w14:textFill>
                        <w14:solidFill>
                          <w14:schemeClr w14:val="tx1"/>
                        </w14:solidFill>
                      </w14:textFill>
                    </w:rPr>
                    <w:t>，利用现有闲置场地进行建设，不新增占地面积</w:t>
                  </w:r>
                  <w:r>
                    <w:rPr>
                      <w:rFonts w:hint="default"/>
                      <w:color w:val="000000" w:themeColor="text1"/>
                      <w:spacing w:val="7"/>
                      <w:sz w:val="20"/>
                      <w:szCs w:val="20"/>
                      <w:highlight w:val="none"/>
                      <w14:textFill>
                        <w14:solidFill>
                          <w14:schemeClr w14:val="tx1"/>
                        </w14:solidFill>
                      </w14:textFill>
                    </w:rPr>
                    <w:t>，周边无自然保护区、风景旅游区、文物保护区及珍稀动物保护区等敏感因素。</w:t>
                  </w:r>
                  <w:r>
                    <w:rPr>
                      <w:rFonts w:hint="default"/>
                      <w:color w:val="000000" w:themeColor="text1"/>
                      <w:spacing w:val="7"/>
                      <w:sz w:val="20"/>
                      <w:szCs w:val="20"/>
                      <w:highlight w:val="none"/>
                      <w:lang w:val="en-US" w:eastAsia="zh-CN"/>
                      <w14:textFill>
                        <w14:solidFill>
                          <w14:schemeClr w14:val="tx1"/>
                        </w14:solidFill>
                      </w14:textFill>
                    </w:rPr>
                    <w:t>本项目与生态红线无交集、不在生态保护红线范围内。</w:t>
                  </w:r>
                </w:p>
              </w:tc>
            </w:tr>
            <w:tr w14:paraId="046437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5000" w:type="pct"/>
                  <w:gridSpan w:val="6"/>
                  <w:noWrap w:val="0"/>
                  <w:vAlign w:val="center"/>
                </w:tcPr>
                <w:p w14:paraId="71BA3B60">
                  <w:pPr>
                    <w:keepNext w:val="0"/>
                    <w:keepLines w:val="0"/>
                    <w:widowControl/>
                    <w:suppressLineNumbers w:val="0"/>
                    <w:spacing w:before="0" w:beforeAutospacing="0" w:after="0" w:afterAutospacing="0" w:line="240" w:lineRule="auto"/>
                    <w:ind w:left="0" w:right="0"/>
                    <w:jc w:val="center"/>
                    <w:rPr>
                      <w:rFonts w:hint="default"/>
                      <w:color w:val="000000" w:themeColor="text1"/>
                      <w:spacing w:val="7"/>
                      <w:sz w:val="20"/>
                      <w:szCs w:val="20"/>
                      <w:highlight w:val="none"/>
                      <w14:textFill>
                        <w14:solidFill>
                          <w14:schemeClr w14:val="tx1"/>
                        </w14:solidFill>
                      </w14:textFill>
                    </w:rPr>
                  </w:pPr>
                  <w:r>
                    <w:rPr>
                      <w:rFonts w:hint="default"/>
                      <w:color w:val="000000" w:themeColor="text1"/>
                      <w:spacing w:val="7"/>
                      <w:sz w:val="20"/>
                      <w:szCs w:val="20"/>
                      <w:highlight w:val="none"/>
                      <w14:textFill>
                        <w14:solidFill>
                          <w14:schemeClr w14:val="tx1"/>
                        </w14:solidFill>
                      </w14:textFill>
                    </w:rPr>
                    <w:t>二、环境质量底线</w:t>
                  </w:r>
                </w:p>
              </w:tc>
            </w:tr>
            <w:tr w14:paraId="06124A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34" w:hRule="atLeast"/>
                <w:jc w:val="center"/>
              </w:trPr>
              <w:tc>
                <w:tcPr>
                  <w:tcW w:w="1227" w:type="pct"/>
                  <w:gridSpan w:val="2"/>
                  <w:noWrap w:val="0"/>
                  <w:vAlign w:val="center"/>
                </w:tcPr>
                <w:p w14:paraId="26D93253">
                  <w:pPr>
                    <w:keepNext w:val="0"/>
                    <w:keepLines w:val="0"/>
                    <w:widowControl/>
                    <w:suppressLineNumbers w:val="0"/>
                    <w:spacing w:before="0" w:beforeAutospacing="0" w:after="0" w:afterAutospacing="0" w:line="240" w:lineRule="auto"/>
                    <w:ind w:left="0" w:right="0"/>
                    <w:jc w:val="center"/>
                    <w:rPr>
                      <w:rFonts w:hint="default"/>
                      <w:color w:val="000000" w:themeColor="text1"/>
                      <w:spacing w:val="7"/>
                      <w:sz w:val="20"/>
                      <w:szCs w:val="20"/>
                      <w:highlight w:val="none"/>
                      <w14:textFill>
                        <w14:solidFill>
                          <w14:schemeClr w14:val="tx1"/>
                        </w14:solidFill>
                      </w14:textFill>
                    </w:rPr>
                  </w:pPr>
                  <w:r>
                    <w:rPr>
                      <w:rFonts w:hint="default"/>
                      <w:color w:val="000000" w:themeColor="text1"/>
                      <w:spacing w:val="7"/>
                      <w:sz w:val="20"/>
                      <w:szCs w:val="20"/>
                      <w:highlight w:val="none"/>
                      <w14:textFill>
                        <w14:solidFill>
                          <w14:schemeClr w14:val="tx1"/>
                        </w14:solidFill>
                      </w14:textFill>
                    </w:rPr>
                    <w:t>符合性分析</w:t>
                  </w:r>
                </w:p>
              </w:tc>
              <w:tc>
                <w:tcPr>
                  <w:tcW w:w="3772" w:type="pct"/>
                  <w:gridSpan w:val="4"/>
                  <w:noWrap w:val="0"/>
                  <w:vAlign w:val="center"/>
                </w:tcPr>
                <w:p w14:paraId="0C934BB0">
                  <w:pPr>
                    <w:keepNext w:val="0"/>
                    <w:keepLines w:val="0"/>
                    <w:widowControl/>
                    <w:suppressLineNumbers w:val="0"/>
                    <w:spacing w:before="0" w:beforeAutospacing="0" w:after="0" w:afterAutospacing="0" w:line="240" w:lineRule="auto"/>
                    <w:ind w:left="0" w:right="0"/>
                    <w:jc w:val="center"/>
                    <w:rPr>
                      <w:rFonts w:hint="default"/>
                      <w:color w:val="000000" w:themeColor="text1"/>
                      <w:spacing w:val="7"/>
                      <w:sz w:val="20"/>
                      <w:szCs w:val="20"/>
                      <w:highlight w:val="none"/>
                      <w14:textFill>
                        <w14:solidFill>
                          <w14:schemeClr w14:val="tx1"/>
                        </w14:solidFill>
                      </w14:textFill>
                    </w:rPr>
                  </w:pPr>
                  <w:r>
                    <w:rPr>
                      <w:rFonts w:hint="default"/>
                      <w:color w:val="000000" w:themeColor="text1"/>
                      <w:spacing w:val="7"/>
                      <w:sz w:val="20"/>
                      <w:szCs w:val="20"/>
                      <w:highlight w:val="none"/>
                      <w:lang w:val="en-US" w:eastAsia="zh-CN"/>
                      <w14:textFill>
                        <w14:solidFill>
                          <w14:schemeClr w14:val="tx1"/>
                        </w14:solidFill>
                      </w14:textFill>
                    </w:rPr>
                    <w:t>根据“生态环境分区管控分析报告”本项目所在地区属于大气环境一般管控区</w:t>
                  </w:r>
                  <w:r>
                    <w:rPr>
                      <w:rFonts w:hint="eastAsia"/>
                      <w:color w:val="000000" w:themeColor="text1"/>
                      <w:spacing w:val="7"/>
                      <w:sz w:val="20"/>
                      <w:szCs w:val="20"/>
                      <w:highlight w:val="none"/>
                      <w:lang w:val="en-US" w:eastAsia="zh-CN"/>
                      <w14:textFill>
                        <w14:solidFill>
                          <w14:schemeClr w14:val="tx1"/>
                        </w14:solidFill>
                      </w14:textFill>
                    </w:rPr>
                    <w:t>。</w:t>
                  </w:r>
                  <w:r>
                    <w:rPr>
                      <w:rFonts w:hint="default"/>
                      <w:color w:val="000000" w:themeColor="text1"/>
                      <w:spacing w:val="7"/>
                      <w:sz w:val="20"/>
                      <w:szCs w:val="20"/>
                      <w:highlight w:val="none"/>
                      <w:lang w:val="en-US" w:eastAsia="zh-CN"/>
                      <w14:textFill>
                        <w14:solidFill>
                          <w14:schemeClr w14:val="tx1"/>
                        </w14:solidFill>
                      </w14:textFill>
                    </w:rPr>
                    <w:t>根据《2025年黑龙江省生态环境质量状况》，鸡西市空气质量级别达二级标准，达标天数为350天（95.9%）。根据补充监测结果，本项目所在范围内的 TSP 的环境空气质量现状均满足《环境空气质量标准》（GB3095-2026）二级标准要求。本项目所在区域地表水为穆棱河，根据《2025年黑龙江省生态环境质量状况》可知，鸡西市参与国家考核计算的断面共个， Ⅰ~Ⅲ类水质比例为75.0%，无劣V类水质断面。与上年同期相比，Ⅰ~Ⅲ类水质比例保持不变，均无劣V类水质断面。兴凯湖和小兴凯湖水质状况均为轻度污染。根据《2025年黑龙江省生态环境质量状况》数据可知，鸡西市区域昼间声环境质量为二级，等效声级为 53.2dB（A）；道路交通昼间声环境质量为一级，等效声级为 64.7dB（A）；功能区昼间达标率 87.7% ，功能区夜间达标率 97.6% 。综上所述，本项目建设不会改变所在区域环境质量功能，本项目符合环境质量底线</w:t>
                  </w:r>
                  <w:r>
                    <w:rPr>
                      <w:rFonts w:hint="eastAsia"/>
                      <w:color w:val="000000" w:themeColor="text1"/>
                      <w:spacing w:val="5"/>
                      <w:sz w:val="20"/>
                      <w:szCs w:val="20"/>
                      <w:highlight w:val="none"/>
                      <w:u w:val="none" w:color="auto"/>
                      <w:lang w:val="en-US" w:eastAsia="zh-CN"/>
                      <w14:textFill>
                        <w14:solidFill>
                          <w14:schemeClr w14:val="tx1"/>
                        </w14:solidFill>
                      </w14:textFill>
                    </w:rPr>
                    <w:t>要求。</w:t>
                  </w:r>
                </w:p>
              </w:tc>
            </w:tr>
            <w:tr w14:paraId="20DA23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5000" w:type="pct"/>
                  <w:gridSpan w:val="6"/>
                  <w:noWrap w:val="0"/>
                  <w:vAlign w:val="center"/>
                </w:tcPr>
                <w:p w14:paraId="1B0F36FF">
                  <w:pPr>
                    <w:keepNext w:val="0"/>
                    <w:keepLines w:val="0"/>
                    <w:widowControl/>
                    <w:suppressLineNumbers w:val="0"/>
                    <w:spacing w:before="0" w:beforeAutospacing="0" w:after="0" w:afterAutospacing="0" w:line="240" w:lineRule="auto"/>
                    <w:ind w:left="0" w:right="0"/>
                    <w:jc w:val="center"/>
                    <w:rPr>
                      <w:rFonts w:hint="default"/>
                      <w:color w:val="000000" w:themeColor="text1"/>
                      <w:spacing w:val="7"/>
                      <w:sz w:val="20"/>
                      <w:szCs w:val="20"/>
                      <w:highlight w:val="none"/>
                      <w:lang w:val="en-US" w:eastAsia="zh-CN"/>
                      <w14:textFill>
                        <w14:solidFill>
                          <w14:schemeClr w14:val="tx1"/>
                        </w14:solidFill>
                      </w14:textFill>
                    </w:rPr>
                  </w:pPr>
                  <w:r>
                    <w:rPr>
                      <w:rFonts w:hint="default"/>
                      <w:color w:val="000000" w:themeColor="text1"/>
                      <w:spacing w:val="7"/>
                      <w:sz w:val="20"/>
                      <w:szCs w:val="20"/>
                      <w:highlight w:val="none"/>
                      <w:lang w:val="en-US" w:eastAsia="zh-CN"/>
                      <w14:textFill>
                        <w14:solidFill>
                          <w14:schemeClr w14:val="tx1"/>
                        </w14:solidFill>
                      </w14:textFill>
                    </w:rPr>
                    <w:t>地下水环境</w:t>
                  </w:r>
                </w:p>
              </w:tc>
            </w:tr>
            <w:tr w14:paraId="7DE477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007" w:type="pct"/>
                  <w:shd w:val="clear" w:color="auto" w:fill="auto"/>
                  <w:noWrap w:val="0"/>
                  <w:vAlign w:val="center"/>
                </w:tcPr>
                <w:p w14:paraId="00703E9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t>环境管控区名称</w:t>
                  </w:r>
                </w:p>
              </w:tc>
              <w:tc>
                <w:tcPr>
                  <w:tcW w:w="2721" w:type="pct"/>
                  <w:gridSpan w:val="4"/>
                  <w:shd w:val="clear" w:color="auto" w:fill="auto"/>
                  <w:noWrap w:val="0"/>
                  <w:vAlign w:val="center"/>
                </w:tcPr>
                <w:p w14:paraId="6B4556F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t>管控要求</w:t>
                  </w:r>
                </w:p>
              </w:tc>
              <w:tc>
                <w:tcPr>
                  <w:tcW w:w="1271" w:type="pct"/>
                  <w:shd w:val="clear" w:color="auto" w:fill="auto"/>
                  <w:noWrap w:val="0"/>
                  <w:vAlign w:val="center"/>
                </w:tcPr>
                <w:p w14:paraId="465A972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t>符合性</w:t>
                  </w:r>
                </w:p>
              </w:tc>
            </w:tr>
            <w:tr w14:paraId="75B0D0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007" w:type="pct"/>
                  <w:shd w:val="clear" w:color="auto" w:fill="auto"/>
                  <w:noWrap w:val="0"/>
                  <w:vAlign w:val="center"/>
                </w:tcPr>
                <w:p w14:paraId="5AC169C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t>虎林市地下水环境一</w:t>
                  </w:r>
                </w:p>
                <w:p w14:paraId="7BA8F9E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t>设管控区YS2303816310001</w:t>
                  </w:r>
                </w:p>
              </w:tc>
              <w:tc>
                <w:tcPr>
                  <w:tcW w:w="2721" w:type="pct"/>
                  <w:gridSpan w:val="4"/>
                  <w:shd w:val="clear" w:color="auto" w:fill="auto"/>
                  <w:noWrap w:val="0"/>
                  <w:vAlign w:val="center"/>
                </w:tcPr>
                <w:p w14:paraId="4AFF141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pacing w:val="7"/>
                      <w:sz w:val="20"/>
                      <w:szCs w:val="20"/>
                      <w:highlight w:val="none"/>
                      <w14:textFill>
                        <w14:solidFill>
                          <w14:schemeClr w14:val="tx1"/>
                        </w14:solidFill>
                      </w14:textFill>
                    </w:rPr>
                  </w:pPr>
                  <w:r>
                    <w:rPr>
                      <w:rFonts w:hint="default" w:ascii="Times New Roman" w:hAnsi="Times New Roman" w:eastAsia="宋体" w:cs="Times New Roman"/>
                      <w:b/>
                      <w:bCs/>
                      <w:color w:val="000000" w:themeColor="text1"/>
                      <w:spacing w:val="7"/>
                      <w:sz w:val="20"/>
                      <w:szCs w:val="20"/>
                      <w:highlight w:val="none"/>
                      <w14:textFill>
                        <w14:solidFill>
                          <w14:schemeClr w14:val="tx1"/>
                        </w14:solidFill>
                      </w14:textFill>
                    </w:rPr>
                    <w:t>环境风险管控</w:t>
                  </w:r>
                </w:p>
                <w:p w14:paraId="4728342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pacing w:val="7"/>
                      <w:sz w:val="20"/>
                      <w:szCs w:val="20"/>
                      <w:highlight w:val="none"/>
                      <w14:textFill>
                        <w14:solidFill>
                          <w14:schemeClr w14:val="tx1"/>
                        </w14:solidFill>
                      </w14:textFill>
                    </w:rPr>
                  </w:pPr>
                  <w:r>
                    <w:rPr>
                      <w:rFonts w:hint="default" w:ascii="Times New Roman" w:hAnsi="Times New Roman" w:eastAsia="宋体" w:cs="Times New Roman"/>
                      <w:color w:val="000000" w:themeColor="text1"/>
                      <w:spacing w:val="7"/>
                      <w:sz w:val="20"/>
                      <w:szCs w:val="20"/>
                      <w:highlight w:val="none"/>
                      <w14:textFill>
                        <w14:solidFill>
                          <w14:schemeClr w14:val="tx1"/>
                        </w14:solidFill>
                      </w14:textFill>
                    </w:rPr>
                    <w:t>1.土壤污染重点监管单位应当履行下列义务：（一）严格控制有毒有害物质排放，并按年度向生态环境主管部门报告排放情况；（二）建立土壤污染隐患排查制度，保证持续有效防止有毒有害物质渗漏、流失、扬散；（三）制定、实施自行监测方案，并将监测数据报生态环境主管部门。</w:t>
                  </w:r>
                </w:p>
                <w:p w14:paraId="168AFDF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pacing w:val="7"/>
                      <w:sz w:val="20"/>
                      <w:szCs w:val="20"/>
                      <w:highlight w:val="none"/>
                      <w14:textFill>
                        <w14:solidFill>
                          <w14:schemeClr w14:val="tx1"/>
                        </w14:solidFill>
                      </w14:textFill>
                    </w:rPr>
                  </w:pPr>
                  <w:r>
                    <w:rPr>
                      <w:rFonts w:hint="default" w:ascii="Times New Roman" w:hAnsi="Times New Roman" w:eastAsia="宋体" w:cs="Times New Roman"/>
                      <w:color w:val="000000" w:themeColor="text1"/>
                      <w:spacing w:val="7"/>
                      <w:sz w:val="20"/>
                      <w:szCs w:val="20"/>
                      <w:highlight w:val="none"/>
                      <w14:textFill>
                        <w14:solidFill>
                          <w14:schemeClr w14:val="tx1"/>
                        </w14:solidFill>
                      </w14:textFill>
                    </w:rPr>
                    <w:t>2.重点单位新、改、扩建项目地下储罐储存有毒有害物质的，应当在项目投入生产或者使用之前，将地下储罐的信息报所在地设区的市级生态环境主管部门备案。3.重点单位应当建立土壤和地下水污染隐患排查治理制度，定期对重点区域、重点设施开展隐患排查。发现污染隐患的，应当制定整改方案，及时采取技术、管理措施消除隐患。隐患排查、治理情况应当如实记录并建立档案。重点区域包括涉及有毒有害物质的生产区，原材料及固体废物的堆存区、储放区和转运区等；重点设施包括涉及有毒有害物质的地下储罐、地下管线，以及污染治理设施等。4.化学品生产企业以及工业集聚区、矿山开采区、尾矿库、危险废物处置场、垃圾填埋场等的运营、管理单位，应当采取防渗漏等措施，并建设地下水水质监测井进行监测，防止地下水污染。5.重点单位通过新、改、扩建项目的土壤和地下水环境现状调查，发现项目用地污染物含量超过国家或者地方有关建</w:t>
                  </w:r>
                </w:p>
                <w:p w14:paraId="55DCD02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7"/>
                      <w:sz w:val="20"/>
                      <w:szCs w:val="20"/>
                      <w:highlight w:val="none"/>
                      <w14:textFill>
                        <w14:solidFill>
                          <w14:schemeClr w14:val="tx1"/>
                        </w14:solidFill>
                      </w14:textFill>
                    </w:rPr>
                    <w:t>设用地土壤污染风险管控标准的，土地使用权人或者污染责任人应当参照污染地块土壤环境管理有关规定开展详细调查、风险评估、风险管控、治理与修复等活动。</w:t>
                  </w:r>
                </w:p>
              </w:tc>
              <w:tc>
                <w:tcPr>
                  <w:tcW w:w="1271" w:type="pct"/>
                  <w:shd w:val="clear" w:color="auto" w:fill="auto"/>
                  <w:noWrap w:val="0"/>
                  <w:vAlign w:val="center"/>
                </w:tcPr>
                <w:p w14:paraId="47F54C0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t>本项目农产品初加工及热力生产和供应项目，不属于土</w:t>
                  </w:r>
                </w:p>
                <w:p w14:paraId="5A8D3C3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t>壤污染重点监管单位，不涉及新、改、扩建项目地下储罐储存有毒有害物</w:t>
                  </w:r>
                </w:p>
                <w:p w14:paraId="1B4D4E5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t>质，不涉及新、改、扩建项目地下储罐储存有毒有害物质，不涉及化学品生产企业以及工业集聚区、矿山开采区、尾矿库、危险废物处置场、垃圾填埋场等的运营、管理单位。符合道</w:t>
                  </w:r>
                </w:p>
                <w:p w14:paraId="324D1A7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t>外区地下水环境一般管控区要求。</w:t>
                  </w:r>
                </w:p>
              </w:tc>
            </w:tr>
            <w:tr w14:paraId="790967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5000" w:type="pct"/>
                  <w:gridSpan w:val="6"/>
                  <w:shd w:val="clear" w:color="auto" w:fill="auto"/>
                  <w:noWrap w:val="0"/>
                  <w:vAlign w:val="top"/>
                </w:tcPr>
                <w:p w14:paraId="19B562C1">
                  <w:pPr>
                    <w:keepNext w:val="0"/>
                    <w:keepLines w:val="0"/>
                    <w:widowControl/>
                    <w:suppressLineNumbers w:val="0"/>
                    <w:spacing w:before="0" w:beforeAutospacing="0" w:after="0" w:afterAutospacing="0" w:line="240" w:lineRule="auto"/>
                    <w:ind w:left="0" w:right="0"/>
                    <w:jc w:val="center"/>
                    <w:rPr>
                      <w:rFonts w:hint="default"/>
                      <w:color w:val="000000" w:themeColor="text1"/>
                      <w:spacing w:val="8"/>
                      <w:sz w:val="20"/>
                      <w:szCs w:val="20"/>
                      <w:highlight w:val="none"/>
                      <w14:textFill>
                        <w14:solidFill>
                          <w14:schemeClr w14:val="tx1"/>
                        </w14:solidFill>
                      </w14:textFill>
                    </w:rPr>
                  </w:pPr>
                  <w:r>
                    <w:rPr>
                      <w:rFonts w:hint="default"/>
                      <w:color w:val="000000" w:themeColor="text1"/>
                      <w:spacing w:val="8"/>
                      <w:sz w:val="20"/>
                      <w:szCs w:val="20"/>
                      <w:highlight w:val="none"/>
                      <w14:textFill>
                        <w14:solidFill>
                          <w14:schemeClr w14:val="tx1"/>
                        </w14:solidFill>
                      </w14:textFill>
                    </w:rPr>
                    <w:t>三、资源利用上线</w:t>
                  </w:r>
                </w:p>
              </w:tc>
            </w:tr>
            <w:tr w14:paraId="533159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007" w:type="pct"/>
                  <w:shd w:val="clear" w:color="auto" w:fill="auto"/>
                  <w:noWrap w:val="0"/>
                  <w:vAlign w:val="center"/>
                </w:tcPr>
                <w:p w14:paraId="467803E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pacing w:val="8"/>
                      <w:sz w:val="20"/>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8"/>
                      <w:sz w:val="20"/>
                      <w:szCs w:val="20"/>
                      <w:highlight w:val="none"/>
                      <w:lang w:val="en-US" w:eastAsia="zh-CN"/>
                      <w14:textFill>
                        <w14:solidFill>
                          <w14:schemeClr w14:val="tx1"/>
                        </w14:solidFill>
                      </w14:textFill>
                    </w:rPr>
                    <w:t>自然资源</w:t>
                  </w:r>
                </w:p>
                <w:p w14:paraId="64683F5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pacing w:val="8"/>
                      <w:sz w:val="20"/>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8"/>
                      <w:sz w:val="20"/>
                      <w:szCs w:val="20"/>
                      <w:highlight w:val="none"/>
                      <w:lang w:val="en-US" w:eastAsia="zh-CN"/>
                      <w14:textFill>
                        <w14:solidFill>
                          <w14:schemeClr w14:val="tx1"/>
                        </w14:solidFill>
                      </w14:textFill>
                    </w:rPr>
                    <w:t>一般管控区</w:t>
                  </w:r>
                </w:p>
              </w:tc>
              <w:tc>
                <w:tcPr>
                  <w:tcW w:w="3992" w:type="pct"/>
                  <w:gridSpan w:val="5"/>
                  <w:shd w:val="clear" w:color="auto" w:fill="auto"/>
                  <w:noWrap w:val="0"/>
                  <w:vAlign w:val="center"/>
                </w:tcPr>
                <w:p w14:paraId="3F953B5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pacing w:val="8"/>
                      <w:sz w:val="20"/>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8"/>
                      <w:sz w:val="20"/>
                      <w:szCs w:val="20"/>
                      <w:highlight w:val="none"/>
                      <w:lang w:val="en-US" w:eastAsia="zh-CN"/>
                      <w14:textFill>
                        <w14:solidFill>
                          <w14:schemeClr w14:val="tx1"/>
                        </w14:solidFill>
                      </w14:textFill>
                    </w:rPr>
                    <w:t>本项目所在区域属于自然资源一般管控区，项目生产过程不用水，生活水源由厂区内自打水井提供，不属于高水耗，高能耗行业；供电电源为当地供电电网，资源消耗量相对于区域资源利用总量较小。生产用热由燃生物质热风炉供给，燃料为生物质颗粒、不消耗煤炭资源。综上所述，本项目建设用电、用水、土地、燃料等资源利用均可满足项目需求，因此项目符合资源利用上线要求。</w:t>
                  </w:r>
                </w:p>
              </w:tc>
            </w:tr>
            <w:tr w14:paraId="29E60B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000" w:type="pct"/>
                  <w:gridSpan w:val="6"/>
                  <w:shd w:val="clear" w:color="auto" w:fill="auto"/>
                  <w:noWrap w:val="0"/>
                  <w:vAlign w:val="top"/>
                </w:tcPr>
                <w:p w14:paraId="31AA10A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7"/>
                      <w:sz w:val="20"/>
                      <w:szCs w:val="20"/>
                      <w:highlight w:val="none"/>
                      <w:lang w:val="en-US" w:eastAsia="zh-CN"/>
                      <w14:textFill>
                        <w14:solidFill>
                          <w14:schemeClr w14:val="tx1"/>
                        </w14:solidFill>
                      </w14:textFill>
                    </w:rPr>
                    <w:t>四、环境准入清单</w:t>
                  </w:r>
                </w:p>
              </w:tc>
            </w:tr>
            <w:tr w14:paraId="3844B7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007" w:type="pct"/>
                  <w:shd w:val="clear" w:color="auto" w:fill="auto"/>
                  <w:noWrap w:val="0"/>
                  <w:vAlign w:val="center"/>
                </w:tcPr>
                <w:p w14:paraId="2F6280F2">
                  <w:pPr>
                    <w:keepNext w:val="0"/>
                    <w:keepLines w:val="0"/>
                    <w:widowControl/>
                    <w:suppressLineNumbers w:val="0"/>
                    <w:spacing w:before="0" w:beforeAutospacing="0" w:after="0" w:afterAutospacing="0" w:line="240" w:lineRule="auto"/>
                    <w:ind w:left="0" w:right="0"/>
                    <w:jc w:val="center"/>
                    <w:rPr>
                      <w:rFonts w:hint="default"/>
                      <w:color w:val="000000" w:themeColor="text1"/>
                      <w:spacing w:val="8"/>
                      <w:sz w:val="20"/>
                      <w:szCs w:val="20"/>
                      <w:highlight w:val="none"/>
                      <w14:textFill>
                        <w14:solidFill>
                          <w14:schemeClr w14:val="tx1"/>
                        </w14:solidFill>
                      </w14:textFill>
                    </w:rPr>
                  </w:pPr>
                  <w:r>
                    <w:rPr>
                      <w:rFonts w:hint="default"/>
                      <w:color w:val="000000" w:themeColor="text1"/>
                      <w:spacing w:val="8"/>
                      <w:sz w:val="20"/>
                      <w:szCs w:val="20"/>
                      <w:highlight w:val="none"/>
                      <w14:textFill>
                        <w14:solidFill>
                          <w14:schemeClr w14:val="tx1"/>
                        </w14:solidFill>
                      </w14:textFill>
                    </w:rPr>
                    <w:t>环境管控单元</w:t>
                  </w:r>
                  <w:r>
                    <w:rPr>
                      <w:rFonts w:hint="default"/>
                      <w:color w:val="000000" w:themeColor="text1"/>
                      <w:spacing w:val="3"/>
                      <w:sz w:val="20"/>
                      <w:szCs w:val="20"/>
                      <w:highlight w:val="none"/>
                      <w14:textFill>
                        <w14:solidFill>
                          <w14:schemeClr w14:val="tx1"/>
                        </w14:solidFill>
                      </w14:textFill>
                    </w:rPr>
                    <w:t>名称</w:t>
                  </w:r>
                </w:p>
              </w:tc>
              <w:tc>
                <w:tcPr>
                  <w:tcW w:w="3992" w:type="pct"/>
                  <w:gridSpan w:val="5"/>
                  <w:shd w:val="clear" w:color="auto" w:fill="auto"/>
                  <w:noWrap w:val="0"/>
                  <w:vAlign w:val="center"/>
                </w:tcPr>
                <w:p w14:paraId="58A5DDBD">
                  <w:pPr>
                    <w:keepNext w:val="0"/>
                    <w:keepLines w:val="0"/>
                    <w:widowControl/>
                    <w:suppressLineNumbers w:val="0"/>
                    <w:spacing w:before="0" w:beforeAutospacing="0" w:after="0" w:afterAutospacing="0" w:line="240" w:lineRule="auto"/>
                    <w:ind w:left="0" w:right="0"/>
                    <w:jc w:val="center"/>
                    <w:rPr>
                      <w:rFonts w:hint="default"/>
                      <w:color w:val="000000" w:themeColor="text1"/>
                      <w:spacing w:val="8"/>
                      <w:sz w:val="20"/>
                      <w:szCs w:val="20"/>
                      <w:highlight w:val="none"/>
                      <w14:textFill>
                        <w14:solidFill>
                          <w14:schemeClr w14:val="tx1"/>
                        </w14:solidFill>
                      </w14:textFill>
                    </w:rPr>
                  </w:pPr>
                  <w:r>
                    <w:rPr>
                      <w:rFonts w:hint="default"/>
                      <w:color w:val="000000" w:themeColor="text1"/>
                      <w:spacing w:val="8"/>
                      <w:sz w:val="20"/>
                      <w:szCs w:val="20"/>
                      <w:highlight w:val="none"/>
                      <w:lang w:val="en-US" w:eastAsia="zh-CN"/>
                      <w14:textFill>
                        <w14:solidFill>
                          <w14:schemeClr w14:val="tx1"/>
                        </w14:solidFill>
                      </w14:textFill>
                    </w:rPr>
                    <w:t>虎林市</w:t>
                  </w:r>
                  <w:r>
                    <w:rPr>
                      <w:rFonts w:hint="eastAsia"/>
                      <w:color w:val="000000" w:themeColor="text1"/>
                      <w:spacing w:val="8"/>
                      <w:sz w:val="20"/>
                      <w:szCs w:val="20"/>
                      <w:highlight w:val="none"/>
                      <w:lang w:val="en-US" w:eastAsia="zh-CN"/>
                      <w14:textFill>
                        <w14:solidFill>
                          <w14:schemeClr w14:val="tx1"/>
                        </w14:solidFill>
                      </w14:textFill>
                    </w:rPr>
                    <w:t>其他区域</w:t>
                  </w:r>
                </w:p>
              </w:tc>
            </w:tr>
            <w:tr w14:paraId="63B492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007" w:type="pct"/>
                  <w:shd w:val="clear" w:color="auto" w:fill="auto"/>
                  <w:noWrap w:val="0"/>
                  <w:vAlign w:val="center"/>
                </w:tcPr>
                <w:p w14:paraId="1C114999">
                  <w:pPr>
                    <w:keepNext w:val="0"/>
                    <w:keepLines w:val="0"/>
                    <w:widowControl/>
                    <w:suppressLineNumbers w:val="0"/>
                    <w:spacing w:before="0" w:beforeAutospacing="0" w:after="0" w:afterAutospacing="0" w:line="240" w:lineRule="auto"/>
                    <w:ind w:left="0" w:right="0"/>
                    <w:jc w:val="center"/>
                    <w:rPr>
                      <w:rFonts w:hint="default"/>
                      <w:color w:val="000000" w:themeColor="text1"/>
                      <w:spacing w:val="8"/>
                      <w:sz w:val="20"/>
                      <w:szCs w:val="20"/>
                      <w:highlight w:val="none"/>
                      <w14:textFill>
                        <w14:solidFill>
                          <w14:schemeClr w14:val="tx1"/>
                        </w14:solidFill>
                      </w14:textFill>
                    </w:rPr>
                  </w:pPr>
                  <w:r>
                    <w:rPr>
                      <w:rFonts w:hint="default"/>
                      <w:color w:val="000000" w:themeColor="text1"/>
                      <w:spacing w:val="8"/>
                      <w:sz w:val="20"/>
                      <w:szCs w:val="20"/>
                      <w:highlight w:val="none"/>
                      <w14:textFill>
                        <w14:solidFill>
                          <w14:schemeClr w14:val="tx1"/>
                        </w14:solidFill>
                      </w14:textFill>
                    </w:rPr>
                    <w:t>环境管控单元</w:t>
                  </w:r>
                  <w:r>
                    <w:rPr>
                      <w:rFonts w:hint="default"/>
                      <w:color w:val="000000" w:themeColor="text1"/>
                      <w:spacing w:val="3"/>
                      <w:sz w:val="20"/>
                      <w:szCs w:val="20"/>
                      <w:highlight w:val="none"/>
                      <w14:textFill>
                        <w14:solidFill>
                          <w14:schemeClr w14:val="tx1"/>
                        </w14:solidFill>
                      </w14:textFill>
                    </w:rPr>
                    <w:t>编码</w:t>
                  </w:r>
                </w:p>
              </w:tc>
              <w:tc>
                <w:tcPr>
                  <w:tcW w:w="3992" w:type="pct"/>
                  <w:gridSpan w:val="5"/>
                  <w:shd w:val="clear" w:color="auto" w:fill="auto"/>
                  <w:noWrap w:val="0"/>
                  <w:vAlign w:val="center"/>
                </w:tcPr>
                <w:p w14:paraId="0A5C6BC0">
                  <w:pPr>
                    <w:keepNext w:val="0"/>
                    <w:keepLines w:val="0"/>
                    <w:widowControl/>
                    <w:suppressLineNumbers w:val="0"/>
                    <w:spacing w:before="0" w:beforeAutospacing="0" w:after="0" w:afterAutospacing="0" w:line="240" w:lineRule="auto"/>
                    <w:ind w:left="0" w:right="0"/>
                    <w:jc w:val="center"/>
                    <w:rPr>
                      <w:rFonts w:hint="default"/>
                      <w:color w:val="000000" w:themeColor="text1"/>
                      <w:spacing w:val="8"/>
                      <w:sz w:val="20"/>
                      <w:szCs w:val="20"/>
                      <w:highlight w:val="none"/>
                      <w14:textFill>
                        <w14:solidFill>
                          <w14:schemeClr w14:val="tx1"/>
                        </w14:solidFill>
                      </w14:textFill>
                    </w:rPr>
                  </w:pPr>
                  <w:r>
                    <w:rPr>
                      <w:rFonts w:hint="default"/>
                      <w:color w:val="000000" w:themeColor="text1"/>
                      <w:spacing w:val="8"/>
                      <w:sz w:val="20"/>
                      <w:szCs w:val="20"/>
                      <w:highlight w:val="none"/>
                      <w14:textFill>
                        <w14:solidFill>
                          <w14:schemeClr w14:val="tx1"/>
                        </w14:solidFill>
                      </w14:textFill>
                    </w:rPr>
                    <w:t>ZH230381</w:t>
                  </w:r>
                  <w:r>
                    <w:rPr>
                      <w:rFonts w:hint="eastAsia"/>
                      <w:color w:val="000000" w:themeColor="text1"/>
                      <w:spacing w:val="8"/>
                      <w:sz w:val="20"/>
                      <w:szCs w:val="20"/>
                      <w:highlight w:val="none"/>
                      <w:lang w:val="en-US" w:eastAsia="zh-CN"/>
                      <w14:textFill>
                        <w14:solidFill>
                          <w14:schemeClr w14:val="tx1"/>
                        </w14:solidFill>
                      </w14:textFill>
                    </w:rPr>
                    <w:t>3</w:t>
                  </w:r>
                  <w:r>
                    <w:rPr>
                      <w:rFonts w:hint="default"/>
                      <w:color w:val="000000" w:themeColor="text1"/>
                      <w:spacing w:val="8"/>
                      <w:sz w:val="20"/>
                      <w:szCs w:val="20"/>
                      <w:highlight w:val="none"/>
                      <w14:textFill>
                        <w14:solidFill>
                          <w14:schemeClr w14:val="tx1"/>
                        </w14:solidFill>
                      </w14:textFill>
                    </w:rPr>
                    <w:t>0002</w:t>
                  </w:r>
                </w:p>
              </w:tc>
            </w:tr>
            <w:tr w14:paraId="1789A7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007" w:type="pct"/>
                  <w:shd w:val="clear" w:color="auto" w:fill="auto"/>
                  <w:noWrap w:val="0"/>
                  <w:vAlign w:val="center"/>
                </w:tcPr>
                <w:p w14:paraId="001334F5">
                  <w:pPr>
                    <w:keepNext w:val="0"/>
                    <w:keepLines w:val="0"/>
                    <w:widowControl/>
                    <w:suppressLineNumbers w:val="0"/>
                    <w:spacing w:before="0" w:beforeAutospacing="0" w:after="0" w:afterAutospacing="0" w:line="240" w:lineRule="auto"/>
                    <w:ind w:left="0" w:right="0"/>
                    <w:jc w:val="center"/>
                    <w:rPr>
                      <w:rFonts w:hint="default"/>
                      <w:color w:val="000000" w:themeColor="text1"/>
                      <w:spacing w:val="8"/>
                      <w:sz w:val="20"/>
                      <w:szCs w:val="20"/>
                      <w:highlight w:val="none"/>
                      <w14:textFill>
                        <w14:solidFill>
                          <w14:schemeClr w14:val="tx1"/>
                        </w14:solidFill>
                      </w14:textFill>
                    </w:rPr>
                  </w:pPr>
                  <w:r>
                    <w:rPr>
                      <w:rFonts w:hint="default"/>
                      <w:color w:val="000000" w:themeColor="text1"/>
                      <w:spacing w:val="7"/>
                      <w:sz w:val="20"/>
                      <w:szCs w:val="20"/>
                      <w:highlight w:val="none"/>
                      <w14:textFill>
                        <w14:solidFill>
                          <w14:schemeClr w14:val="tx1"/>
                        </w14:solidFill>
                      </w14:textFill>
                    </w:rPr>
                    <w:t>管控单元类别</w:t>
                  </w:r>
                </w:p>
              </w:tc>
              <w:tc>
                <w:tcPr>
                  <w:tcW w:w="3992" w:type="pct"/>
                  <w:gridSpan w:val="5"/>
                  <w:shd w:val="clear" w:color="auto" w:fill="auto"/>
                  <w:noWrap w:val="0"/>
                  <w:vAlign w:val="center"/>
                </w:tcPr>
                <w:p w14:paraId="1702B2D2">
                  <w:pPr>
                    <w:keepNext w:val="0"/>
                    <w:keepLines w:val="0"/>
                    <w:widowControl/>
                    <w:suppressLineNumbers w:val="0"/>
                    <w:spacing w:before="0" w:beforeAutospacing="0" w:after="0" w:afterAutospacing="0" w:line="240" w:lineRule="auto"/>
                    <w:ind w:left="0" w:right="0"/>
                    <w:jc w:val="center"/>
                    <w:rPr>
                      <w:rFonts w:hint="default"/>
                      <w:color w:val="000000" w:themeColor="text1"/>
                      <w:spacing w:val="8"/>
                      <w:sz w:val="20"/>
                      <w:szCs w:val="20"/>
                      <w:highlight w:val="none"/>
                      <w14:textFill>
                        <w14:solidFill>
                          <w14:schemeClr w14:val="tx1"/>
                        </w14:solidFill>
                      </w14:textFill>
                    </w:rPr>
                  </w:pPr>
                  <w:r>
                    <w:rPr>
                      <w:rFonts w:hint="eastAsia"/>
                      <w:color w:val="000000" w:themeColor="text1"/>
                      <w:spacing w:val="8"/>
                      <w:sz w:val="20"/>
                      <w:szCs w:val="20"/>
                      <w:highlight w:val="none"/>
                      <w:lang w:val="en-US" w:eastAsia="zh-CN"/>
                      <w14:textFill>
                        <w14:solidFill>
                          <w14:schemeClr w14:val="tx1"/>
                        </w14:solidFill>
                      </w14:textFill>
                    </w:rPr>
                    <w:t>一般</w:t>
                  </w:r>
                  <w:r>
                    <w:rPr>
                      <w:rFonts w:hint="default"/>
                      <w:color w:val="000000" w:themeColor="text1"/>
                      <w:spacing w:val="8"/>
                      <w:sz w:val="20"/>
                      <w:szCs w:val="20"/>
                      <w:highlight w:val="none"/>
                      <w14:textFill>
                        <w14:solidFill>
                          <w14:schemeClr w14:val="tx1"/>
                        </w14:solidFill>
                      </w14:textFill>
                    </w:rPr>
                    <w:t>管控单元</w:t>
                  </w:r>
                </w:p>
              </w:tc>
            </w:tr>
            <w:tr w14:paraId="1415B8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3345" w:type="pct"/>
                  <w:gridSpan w:val="4"/>
                  <w:shd w:val="clear" w:color="auto" w:fill="auto"/>
                  <w:noWrap w:val="0"/>
                  <w:vAlign w:val="center"/>
                </w:tcPr>
                <w:p w14:paraId="1155B78D">
                  <w:pPr>
                    <w:keepNext w:val="0"/>
                    <w:keepLines w:val="0"/>
                    <w:widowControl/>
                    <w:suppressLineNumbers w:val="0"/>
                    <w:spacing w:before="0" w:beforeAutospacing="0" w:after="0" w:afterAutospacing="0" w:line="240" w:lineRule="auto"/>
                    <w:ind w:left="0" w:right="0"/>
                    <w:jc w:val="center"/>
                    <w:rPr>
                      <w:rFonts w:hint="eastAsia"/>
                      <w:color w:val="000000" w:themeColor="text1"/>
                      <w:spacing w:val="8"/>
                      <w:sz w:val="20"/>
                      <w:szCs w:val="20"/>
                      <w:highlight w:val="none"/>
                      <w:lang w:val="en-US" w:eastAsia="zh-CN"/>
                      <w14:textFill>
                        <w14:solidFill>
                          <w14:schemeClr w14:val="tx1"/>
                        </w14:solidFill>
                      </w14:textFill>
                    </w:rPr>
                  </w:pPr>
                  <w:r>
                    <w:rPr>
                      <w:rFonts w:hint="default"/>
                      <w:color w:val="000000" w:themeColor="text1"/>
                      <w:spacing w:val="7"/>
                      <w:sz w:val="20"/>
                      <w:szCs w:val="20"/>
                      <w:highlight w:val="none"/>
                      <w14:textFill>
                        <w14:solidFill>
                          <w14:schemeClr w14:val="tx1"/>
                        </w14:solidFill>
                      </w14:textFill>
                    </w:rPr>
                    <w:t>管控要求</w:t>
                  </w:r>
                </w:p>
              </w:tc>
              <w:tc>
                <w:tcPr>
                  <w:tcW w:w="1654" w:type="pct"/>
                  <w:gridSpan w:val="2"/>
                  <w:shd w:val="clear" w:color="auto" w:fill="auto"/>
                  <w:noWrap w:val="0"/>
                  <w:vAlign w:val="center"/>
                </w:tcPr>
                <w:p w14:paraId="0007750C">
                  <w:pPr>
                    <w:keepNext w:val="0"/>
                    <w:keepLines w:val="0"/>
                    <w:widowControl/>
                    <w:suppressLineNumbers w:val="0"/>
                    <w:spacing w:before="0" w:beforeAutospacing="0" w:after="0" w:afterAutospacing="0" w:line="240" w:lineRule="auto"/>
                    <w:ind w:left="0" w:right="0"/>
                    <w:jc w:val="center"/>
                    <w:rPr>
                      <w:rFonts w:hint="default"/>
                      <w:color w:val="000000" w:themeColor="text1"/>
                      <w:spacing w:val="7"/>
                      <w:sz w:val="20"/>
                      <w:szCs w:val="20"/>
                      <w:highlight w:val="none"/>
                      <w14:textFill>
                        <w14:solidFill>
                          <w14:schemeClr w14:val="tx1"/>
                        </w14:solidFill>
                      </w14:textFill>
                    </w:rPr>
                  </w:pPr>
                  <w:r>
                    <w:rPr>
                      <w:rFonts w:hint="default"/>
                      <w:color w:val="000000" w:themeColor="text1"/>
                      <w:spacing w:val="7"/>
                      <w:sz w:val="20"/>
                      <w:szCs w:val="20"/>
                      <w:highlight w:val="none"/>
                      <w14:textFill>
                        <w14:solidFill>
                          <w14:schemeClr w14:val="tx1"/>
                        </w14:solidFill>
                      </w14:textFill>
                    </w:rPr>
                    <w:t>符合性分析</w:t>
                  </w:r>
                </w:p>
              </w:tc>
            </w:tr>
            <w:tr w14:paraId="76C247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408" w:type="pct"/>
                  <w:gridSpan w:val="3"/>
                  <w:shd w:val="clear" w:color="auto" w:fill="auto"/>
                  <w:noWrap w:val="0"/>
                  <w:vAlign w:val="center"/>
                </w:tcPr>
                <w:p w14:paraId="369876C5">
                  <w:pPr>
                    <w:keepNext w:val="0"/>
                    <w:keepLines w:val="0"/>
                    <w:widowControl/>
                    <w:suppressLineNumbers w:val="0"/>
                    <w:spacing w:before="0" w:beforeAutospacing="0" w:after="0" w:afterAutospacing="0" w:line="240" w:lineRule="auto"/>
                    <w:ind w:left="0" w:right="0"/>
                    <w:jc w:val="center"/>
                    <w:rPr>
                      <w:rFonts w:hint="default"/>
                      <w:color w:val="000000" w:themeColor="text1"/>
                      <w:spacing w:val="7"/>
                      <w:sz w:val="20"/>
                      <w:szCs w:val="20"/>
                      <w:highlight w:val="none"/>
                      <w14:textFill>
                        <w14:solidFill>
                          <w14:schemeClr w14:val="tx1"/>
                        </w14:solidFill>
                      </w14:textFill>
                    </w:rPr>
                  </w:pPr>
                  <w:r>
                    <w:rPr>
                      <w:rFonts w:hint="default"/>
                      <w:color w:val="000000" w:themeColor="text1"/>
                      <w:spacing w:val="7"/>
                      <w:sz w:val="20"/>
                      <w:szCs w:val="20"/>
                      <w:highlight w:val="none"/>
                      <w14:textFill>
                        <w14:solidFill>
                          <w14:schemeClr w14:val="tx1"/>
                        </w14:solidFill>
                      </w14:textFill>
                    </w:rPr>
                    <w:t>空间布局约束</w:t>
                  </w:r>
                </w:p>
              </w:tc>
              <w:tc>
                <w:tcPr>
                  <w:tcW w:w="1937" w:type="pct"/>
                  <w:shd w:val="clear" w:color="auto" w:fill="auto"/>
                  <w:noWrap w:val="0"/>
                  <w:vAlign w:val="center"/>
                </w:tcPr>
                <w:p w14:paraId="23FF2630">
                  <w:pPr>
                    <w:keepNext w:val="0"/>
                    <w:keepLines w:val="0"/>
                    <w:widowControl/>
                    <w:suppressLineNumbers w:val="0"/>
                    <w:spacing w:before="0" w:beforeAutospacing="0" w:after="0" w:afterAutospacing="0" w:line="240" w:lineRule="auto"/>
                    <w:ind w:left="0" w:right="0"/>
                    <w:jc w:val="center"/>
                    <w:rPr>
                      <w:rFonts w:hint="default"/>
                      <w:color w:val="000000" w:themeColor="text1"/>
                      <w:spacing w:val="7"/>
                      <w:sz w:val="20"/>
                      <w:szCs w:val="20"/>
                      <w:highlight w:val="none"/>
                      <w14:textFill>
                        <w14:solidFill>
                          <w14:schemeClr w14:val="tx1"/>
                        </w14:solidFill>
                      </w14:textFill>
                    </w:rPr>
                  </w:pPr>
                  <w:r>
                    <w:rPr>
                      <w:rFonts w:hint="eastAsia"/>
                      <w:color w:val="000000" w:themeColor="text1"/>
                      <w:spacing w:val="7"/>
                      <w:sz w:val="20"/>
                      <w:szCs w:val="20"/>
                      <w:highlight w:val="none"/>
                      <w:lang w:val="en-US" w:eastAsia="zh-CN"/>
                      <w14:textFill>
                        <w14:solidFill>
                          <w14:schemeClr w14:val="tx1"/>
                        </w14:solidFill>
                      </w14:textFill>
                    </w:rPr>
                    <w:t>1.</w:t>
                  </w:r>
                  <w:r>
                    <w:rPr>
                      <w:rFonts w:hint="default"/>
                      <w:color w:val="000000" w:themeColor="text1"/>
                      <w:spacing w:val="7"/>
                      <w:sz w:val="20"/>
                      <w:szCs w:val="20"/>
                      <w:highlight w:val="none"/>
                      <w:lang w:val="en-US" w:eastAsia="zh-CN"/>
                      <w14:textFill>
                        <w14:solidFill>
                          <w14:schemeClr w14:val="tx1"/>
                        </w14:solidFill>
                      </w14:textFill>
                    </w:rPr>
                    <w:t>引导工业项目向开发区集中，促进产业集聚、资源集约、绿色发展。2.强化节能环保标准约束，严格行业规范、准入管理和节能审查，对电力、钢铁、建材、有色、化工、石油石化、船舶、煤炭、印染、造纸、制革、染料、焦化、电镀等行业中，环保、能耗、安全等不达标或生产、使用淘汰类产品的企业和产能，要依法依规有序退出。</w:t>
                  </w:r>
                </w:p>
              </w:tc>
              <w:tc>
                <w:tcPr>
                  <w:tcW w:w="1654" w:type="pct"/>
                  <w:gridSpan w:val="2"/>
                  <w:shd w:val="clear" w:color="auto" w:fill="auto"/>
                  <w:noWrap w:val="0"/>
                  <w:vAlign w:val="center"/>
                </w:tcPr>
                <w:p w14:paraId="27B8B346">
                  <w:pPr>
                    <w:keepNext w:val="0"/>
                    <w:keepLines w:val="0"/>
                    <w:widowControl/>
                    <w:suppressLineNumbers w:val="0"/>
                    <w:spacing w:before="0" w:beforeAutospacing="0" w:after="0" w:afterAutospacing="0" w:line="240" w:lineRule="auto"/>
                    <w:ind w:left="0" w:right="0"/>
                    <w:jc w:val="center"/>
                    <w:rPr>
                      <w:rFonts w:hint="default"/>
                      <w:color w:val="000000" w:themeColor="text1"/>
                      <w:spacing w:val="7"/>
                      <w:sz w:val="20"/>
                      <w:szCs w:val="20"/>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本项目属于农产品初加工项目，项目生物质热风炉使用生物质成型颗粒燃料，</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不属于电力、钢铁、建材、有色、化工、石油石化、船舶、煤炭、印染、造纸、制革、染料、焦化、电镀等</w:t>
                  </w:r>
                  <w:r>
                    <w:rPr>
                      <w:rFonts w:hint="eastAsia" w:cs="Times New Roman"/>
                      <w:color w:val="000000" w:themeColor="text1"/>
                      <w:sz w:val="21"/>
                      <w:szCs w:val="21"/>
                      <w:highlight w:val="none"/>
                      <w:lang w:val="en-US" w:eastAsia="zh-CN"/>
                      <w14:textFill>
                        <w14:solidFill>
                          <w14:schemeClr w14:val="tx1"/>
                        </w14:solidFill>
                      </w14:textFill>
                    </w:rPr>
                    <w:t>行业</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严格落实本报告提出的环保措施后，本项目污染物均可达标排放</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382CDE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408" w:type="pct"/>
                  <w:gridSpan w:val="3"/>
                  <w:shd w:val="clear" w:color="auto" w:fill="auto"/>
                  <w:noWrap w:val="0"/>
                  <w:vAlign w:val="center"/>
                </w:tcPr>
                <w:p w14:paraId="573696ED">
                  <w:pPr>
                    <w:keepNext w:val="0"/>
                    <w:keepLines w:val="0"/>
                    <w:widowControl/>
                    <w:suppressLineNumbers w:val="0"/>
                    <w:spacing w:before="0" w:beforeAutospacing="0" w:after="0" w:afterAutospacing="0" w:line="240" w:lineRule="auto"/>
                    <w:ind w:left="0" w:leftChars="0" w:right="0" w:rightChars="0"/>
                    <w:jc w:val="center"/>
                    <w:rPr>
                      <w:rFonts w:hint="default"/>
                      <w:color w:val="000000" w:themeColor="text1"/>
                      <w:spacing w:val="7"/>
                      <w:sz w:val="20"/>
                      <w:szCs w:val="20"/>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污染物排放管控</w:t>
                  </w:r>
                </w:p>
              </w:tc>
              <w:tc>
                <w:tcPr>
                  <w:tcW w:w="1937" w:type="pct"/>
                  <w:shd w:val="clear" w:color="auto" w:fill="auto"/>
                  <w:noWrap w:val="0"/>
                  <w:vAlign w:val="center"/>
                </w:tcPr>
                <w:p w14:paraId="40E56600">
                  <w:pPr>
                    <w:keepNext w:val="0"/>
                    <w:keepLines w:val="0"/>
                    <w:widowControl/>
                    <w:suppressLineNumbers w:val="0"/>
                    <w:spacing w:before="0" w:beforeAutospacing="0" w:after="0" w:afterAutospacing="0" w:line="240" w:lineRule="auto"/>
                    <w:ind w:left="0" w:right="0"/>
                    <w:jc w:val="center"/>
                    <w:rPr>
                      <w:rFonts w:hint="eastAsia" w:eastAsia="宋体"/>
                      <w:color w:val="000000" w:themeColor="text1"/>
                      <w:spacing w:val="7"/>
                      <w:sz w:val="20"/>
                      <w:szCs w:val="20"/>
                      <w:highlight w:val="none"/>
                      <w:lang w:val="en-US" w:eastAsia="zh-CN"/>
                      <w14:textFill>
                        <w14:solidFill>
                          <w14:schemeClr w14:val="tx1"/>
                        </w14:solidFill>
                      </w14:textFill>
                    </w:rPr>
                  </w:pPr>
                  <w:r>
                    <w:rPr>
                      <w:rFonts w:hint="eastAsia"/>
                      <w:color w:val="000000" w:themeColor="text1"/>
                      <w:spacing w:val="7"/>
                      <w:sz w:val="20"/>
                      <w:szCs w:val="20"/>
                      <w:highlight w:val="none"/>
                      <w:lang w:val="en-US" w:eastAsia="zh-CN"/>
                      <w14:textFill>
                        <w14:solidFill>
                          <w14:schemeClr w14:val="tx1"/>
                        </w14:solidFill>
                      </w14:textFill>
                    </w:rPr>
                    <w:t>/</w:t>
                  </w:r>
                </w:p>
              </w:tc>
              <w:tc>
                <w:tcPr>
                  <w:tcW w:w="1654" w:type="pct"/>
                  <w:gridSpan w:val="2"/>
                  <w:shd w:val="clear" w:color="auto" w:fill="auto"/>
                  <w:noWrap w:val="0"/>
                  <w:vAlign w:val="center"/>
                </w:tcPr>
                <w:p w14:paraId="62A2D8AA">
                  <w:pPr>
                    <w:keepNext w:val="0"/>
                    <w:keepLines w:val="0"/>
                    <w:widowControl/>
                    <w:suppressLineNumbers w:val="0"/>
                    <w:spacing w:before="0" w:beforeAutospacing="0" w:after="0" w:afterAutospacing="0" w:line="240" w:lineRule="auto"/>
                    <w:ind w:left="0" w:right="0"/>
                    <w:jc w:val="center"/>
                    <w:rPr>
                      <w:rFonts w:hint="default"/>
                      <w:color w:val="000000" w:themeColor="text1"/>
                      <w:spacing w:val="7"/>
                      <w:sz w:val="20"/>
                      <w:szCs w:val="20"/>
                      <w:highlight w:val="none"/>
                      <w14:textFill>
                        <w14:solidFill>
                          <w14:schemeClr w14:val="tx1"/>
                        </w14:solidFill>
                      </w14:textFill>
                    </w:rPr>
                  </w:pPr>
                </w:p>
              </w:tc>
            </w:tr>
            <w:tr w14:paraId="3E5F64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408" w:type="pct"/>
                  <w:gridSpan w:val="3"/>
                  <w:shd w:val="clear" w:color="auto" w:fill="auto"/>
                  <w:noWrap w:val="0"/>
                  <w:vAlign w:val="center"/>
                </w:tcPr>
                <w:p w14:paraId="71276879">
                  <w:pPr>
                    <w:keepNext w:val="0"/>
                    <w:keepLines w:val="0"/>
                    <w:widowControl/>
                    <w:suppressLineNumbers w:val="0"/>
                    <w:spacing w:before="0" w:beforeAutospacing="0" w:after="0" w:afterAutospacing="0" w:line="240" w:lineRule="auto"/>
                    <w:ind w:left="0" w:leftChars="0" w:right="0" w:rightChars="0"/>
                    <w:jc w:val="center"/>
                    <w:rPr>
                      <w:rFonts w:hint="default"/>
                      <w:color w:val="000000" w:themeColor="text1"/>
                      <w:spacing w:val="7"/>
                      <w:sz w:val="20"/>
                      <w:szCs w:val="20"/>
                      <w:highlight w:val="none"/>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环境风险防控</w:t>
                  </w:r>
                </w:p>
              </w:tc>
              <w:tc>
                <w:tcPr>
                  <w:tcW w:w="1937" w:type="pct"/>
                  <w:shd w:val="clear" w:color="auto" w:fill="auto"/>
                  <w:noWrap w:val="0"/>
                  <w:vAlign w:val="center"/>
                </w:tcPr>
                <w:p w14:paraId="10B42983">
                  <w:pPr>
                    <w:keepNext w:val="0"/>
                    <w:keepLines w:val="0"/>
                    <w:widowControl/>
                    <w:suppressLineNumbers w:val="0"/>
                    <w:spacing w:before="0" w:beforeAutospacing="0" w:after="0" w:afterAutospacing="0" w:line="240" w:lineRule="auto"/>
                    <w:ind w:left="0" w:right="0"/>
                    <w:jc w:val="center"/>
                    <w:rPr>
                      <w:rFonts w:hint="eastAsia" w:eastAsia="宋体"/>
                      <w:color w:val="000000" w:themeColor="text1"/>
                      <w:spacing w:val="7"/>
                      <w:sz w:val="20"/>
                      <w:szCs w:val="20"/>
                      <w:highlight w:val="none"/>
                      <w:lang w:val="en-US" w:eastAsia="zh-CN"/>
                      <w14:textFill>
                        <w14:solidFill>
                          <w14:schemeClr w14:val="tx1"/>
                        </w14:solidFill>
                      </w14:textFill>
                    </w:rPr>
                  </w:pPr>
                  <w:r>
                    <w:rPr>
                      <w:rFonts w:hint="eastAsia"/>
                      <w:color w:val="000000" w:themeColor="text1"/>
                      <w:spacing w:val="7"/>
                      <w:sz w:val="20"/>
                      <w:szCs w:val="20"/>
                      <w:highlight w:val="none"/>
                      <w:lang w:val="en-US" w:eastAsia="zh-CN"/>
                      <w14:textFill>
                        <w14:solidFill>
                          <w14:schemeClr w14:val="tx1"/>
                        </w14:solidFill>
                      </w14:textFill>
                    </w:rPr>
                    <w:t>/</w:t>
                  </w:r>
                </w:p>
              </w:tc>
              <w:tc>
                <w:tcPr>
                  <w:tcW w:w="1654" w:type="pct"/>
                  <w:gridSpan w:val="2"/>
                  <w:shd w:val="clear" w:color="auto" w:fill="auto"/>
                  <w:noWrap w:val="0"/>
                  <w:vAlign w:val="center"/>
                </w:tcPr>
                <w:p w14:paraId="7E39C776">
                  <w:pPr>
                    <w:keepNext w:val="0"/>
                    <w:keepLines w:val="0"/>
                    <w:widowControl/>
                    <w:suppressLineNumbers w:val="0"/>
                    <w:spacing w:before="0" w:beforeAutospacing="0" w:after="0" w:afterAutospacing="0" w:line="240" w:lineRule="auto"/>
                    <w:ind w:left="0" w:right="0"/>
                    <w:jc w:val="center"/>
                    <w:rPr>
                      <w:rFonts w:hint="default"/>
                      <w:color w:val="000000" w:themeColor="text1"/>
                      <w:spacing w:val="7"/>
                      <w:sz w:val="20"/>
                      <w:szCs w:val="20"/>
                      <w:highlight w:val="none"/>
                      <w14:textFill>
                        <w14:solidFill>
                          <w14:schemeClr w14:val="tx1"/>
                        </w14:solidFill>
                      </w14:textFill>
                    </w:rPr>
                  </w:pPr>
                </w:p>
              </w:tc>
            </w:tr>
            <w:tr w14:paraId="7F49AE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408" w:type="pct"/>
                  <w:gridSpan w:val="3"/>
                  <w:shd w:val="clear" w:color="auto" w:fill="auto"/>
                  <w:noWrap w:val="0"/>
                  <w:vAlign w:val="center"/>
                </w:tcPr>
                <w:p w14:paraId="7DFEFFA2">
                  <w:pPr>
                    <w:keepNext w:val="0"/>
                    <w:keepLines w:val="0"/>
                    <w:widowControl/>
                    <w:suppressLineNumbers w:val="0"/>
                    <w:spacing w:before="0" w:beforeAutospacing="0" w:after="0" w:afterAutospacing="0" w:line="240" w:lineRule="auto"/>
                    <w:ind w:left="0" w:leftChars="0" w:right="0" w:rightChars="0"/>
                    <w:jc w:val="center"/>
                    <w:rPr>
                      <w:rFonts w:hint="default"/>
                      <w:color w:val="000000" w:themeColor="text1"/>
                      <w:spacing w:val="7"/>
                      <w:sz w:val="20"/>
                      <w:szCs w:val="20"/>
                      <w:highlight w:val="none"/>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资源开发效率要求</w:t>
                  </w:r>
                </w:p>
              </w:tc>
              <w:tc>
                <w:tcPr>
                  <w:tcW w:w="1937" w:type="pct"/>
                  <w:shd w:val="clear" w:color="auto" w:fill="auto"/>
                  <w:noWrap w:val="0"/>
                  <w:vAlign w:val="center"/>
                </w:tcPr>
                <w:p w14:paraId="4D810A2A">
                  <w:pPr>
                    <w:keepNext w:val="0"/>
                    <w:keepLines w:val="0"/>
                    <w:widowControl/>
                    <w:suppressLineNumbers w:val="0"/>
                    <w:spacing w:before="0" w:beforeAutospacing="0" w:after="0" w:afterAutospacing="0" w:line="240" w:lineRule="auto"/>
                    <w:ind w:left="0" w:right="0"/>
                    <w:jc w:val="center"/>
                    <w:rPr>
                      <w:rFonts w:hint="default"/>
                      <w:color w:val="000000" w:themeColor="text1"/>
                      <w:spacing w:val="7"/>
                      <w:sz w:val="20"/>
                      <w:szCs w:val="20"/>
                      <w:highlight w:val="none"/>
                      <w:lang w:val="en-US" w:eastAsia="zh-CN"/>
                      <w14:textFill>
                        <w14:solidFill>
                          <w14:schemeClr w14:val="tx1"/>
                        </w14:solidFill>
                      </w14:textFill>
                    </w:rPr>
                  </w:pPr>
                  <w:r>
                    <w:rPr>
                      <w:rFonts w:hint="eastAsia"/>
                      <w:color w:val="000000" w:themeColor="text1"/>
                      <w:spacing w:val="7"/>
                      <w:sz w:val="20"/>
                      <w:szCs w:val="20"/>
                      <w:highlight w:val="none"/>
                      <w:lang w:val="en-US" w:eastAsia="zh-CN"/>
                      <w14:textFill>
                        <w14:solidFill>
                          <w14:schemeClr w14:val="tx1"/>
                        </w14:solidFill>
                      </w14:textFill>
                    </w:rPr>
                    <w:t>/</w:t>
                  </w:r>
                </w:p>
              </w:tc>
              <w:tc>
                <w:tcPr>
                  <w:tcW w:w="1654" w:type="pct"/>
                  <w:gridSpan w:val="2"/>
                  <w:shd w:val="clear" w:color="auto" w:fill="auto"/>
                  <w:noWrap w:val="0"/>
                  <w:vAlign w:val="center"/>
                </w:tcPr>
                <w:p w14:paraId="0AF7846F">
                  <w:pPr>
                    <w:keepNext w:val="0"/>
                    <w:keepLines w:val="0"/>
                    <w:widowControl/>
                    <w:suppressLineNumbers w:val="0"/>
                    <w:spacing w:before="0" w:beforeAutospacing="0" w:after="0" w:afterAutospacing="0" w:line="240" w:lineRule="auto"/>
                    <w:ind w:left="0" w:right="0"/>
                    <w:jc w:val="center"/>
                    <w:rPr>
                      <w:rFonts w:hint="default"/>
                      <w:color w:val="000000" w:themeColor="text1"/>
                      <w:spacing w:val="7"/>
                      <w:sz w:val="20"/>
                      <w:szCs w:val="20"/>
                      <w:highlight w:val="none"/>
                      <w14:textFill>
                        <w14:solidFill>
                          <w14:schemeClr w14:val="tx1"/>
                        </w14:solidFill>
                      </w14:textFill>
                    </w:rPr>
                  </w:pPr>
                </w:p>
              </w:tc>
            </w:tr>
          </w:tbl>
          <w:p w14:paraId="3A4AD021">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snapToGrid w:val="0"/>
                <w:color w:val="000000" w:themeColor="text1"/>
                <w:kern w:val="0"/>
                <w:sz w:val="24"/>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4"/>
                <w:highlight w:val="none"/>
                <w14:textFill>
                  <w14:solidFill>
                    <w14:schemeClr w14:val="tx1"/>
                  </w14:solidFill>
                </w14:textFill>
              </w:rPr>
              <w:t>（3）“一说明”</w:t>
            </w:r>
          </w:p>
          <w:p w14:paraId="0BEDED38">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snapToGrid w:val="0"/>
                <w:color w:val="000000" w:themeColor="text1"/>
                <w:kern w:val="0"/>
                <w:sz w:val="24"/>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4"/>
                <w:highlight w:val="none"/>
                <w14:textFill>
                  <w14:solidFill>
                    <w14:schemeClr w14:val="tx1"/>
                  </w14:solidFill>
                </w14:textFill>
              </w:rPr>
              <w:t>根据《生态环境分区管控分析报告》（见附件</w:t>
            </w:r>
            <w:r>
              <w:rPr>
                <w:rFonts w:hint="eastAsia" w:cs="Times New Roman"/>
                <w:snapToGrid w:val="0"/>
                <w:color w:val="000000" w:themeColor="text1"/>
                <w:kern w:val="0"/>
                <w:sz w:val="24"/>
                <w:highlight w:val="none"/>
                <w:lang w:val="en-US" w:eastAsia="zh-CN"/>
                <w14:textFill>
                  <w14:solidFill>
                    <w14:schemeClr w14:val="tx1"/>
                  </w14:solidFill>
                </w14:textFill>
              </w:rPr>
              <w:t>6</w:t>
            </w:r>
            <w:r>
              <w:rPr>
                <w:rFonts w:hint="default" w:ascii="Times New Roman" w:hAnsi="Times New Roman" w:eastAsia="宋体" w:cs="Times New Roman"/>
                <w:snapToGrid w:val="0"/>
                <w:color w:val="000000" w:themeColor="text1"/>
                <w:kern w:val="0"/>
                <w:sz w:val="24"/>
                <w:highlight w:val="none"/>
                <w14:textFill>
                  <w14:solidFill>
                    <w14:schemeClr w14:val="tx1"/>
                  </w14:solidFill>
                </w14:textFill>
              </w:rPr>
              <w:t>），黑龙江省牡丹江农垦双合粮食仓储有限公司建设项目位置涉及鸡西市虎林市</w:t>
            </w:r>
            <w:r>
              <w:rPr>
                <w:rFonts w:hint="eastAsia" w:cs="Times New Roman"/>
                <w:snapToGrid w:val="0"/>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kern w:val="0"/>
                <w:sz w:val="24"/>
                <w:highlight w:val="none"/>
                <w14:textFill>
                  <w14:solidFill>
                    <w14:schemeClr w14:val="tx1"/>
                  </w14:solidFill>
                </w14:textFill>
              </w:rPr>
              <w:t>项目占地总面积小于0.01平方公里。与生态保护红线交集面积为0.00平方公里，占项目占地面积的0.00% 。与自然保护地整合优化方案数据交集面积为0.00平方公里，占项目占地面积的0.00% 。保护地涉及等类型。与自然保护地（现状管理数据）交集面积为0.00平方公里，占项目占地面积的0.00%。保护地涉及等类型。与饮用水水源保护区交集面积为0.00平方公里，占项目占地面积的0.00%</w:t>
            </w:r>
            <w:r>
              <w:rPr>
                <w:rFonts w:hint="eastAsia" w:cs="Times New Roman"/>
                <w:snapToGrid w:val="0"/>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kern w:val="0"/>
                <w:sz w:val="24"/>
                <w:highlight w:val="none"/>
                <w14:textFill>
                  <w14:solidFill>
                    <w14:schemeClr w14:val="tx1"/>
                  </w14:solidFill>
                </w14:textFill>
              </w:rPr>
              <w:t>与国家级水产种质资源保护区交集面积为0.00平方公里，占项目占地面积的0.00%。与环境管控单元优先保护单元交集面积为0.00平方公里，占项目占地面积的0.00%；与重点管控单元交集面积为0.0</w:t>
            </w:r>
            <w:r>
              <w:rPr>
                <w:rFonts w:hint="eastAsia" w:cs="Times New Roman"/>
                <w:snapToGrid w:val="0"/>
                <w:color w:val="000000" w:themeColor="text1"/>
                <w:kern w:val="0"/>
                <w:sz w:val="24"/>
                <w:highlight w:val="none"/>
                <w:lang w:val="en-US" w:eastAsia="zh-CN"/>
                <w14:textFill>
                  <w14:solidFill>
                    <w14:schemeClr w14:val="tx1"/>
                  </w14:solidFill>
                </w14:textFill>
              </w:rPr>
              <w:t>0</w:t>
            </w:r>
            <w:r>
              <w:rPr>
                <w:rFonts w:hint="default" w:ascii="Times New Roman" w:hAnsi="Times New Roman" w:eastAsia="宋体" w:cs="Times New Roman"/>
                <w:snapToGrid w:val="0"/>
                <w:color w:val="000000" w:themeColor="text1"/>
                <w:kern w:val="0"/>
                <w:sz w:val="24"/>
                <w:highlight w:val="none"/>
                <w14:textFill>
                  <w14:solidFill>
                    <w14:schemeClr w14:val="tx1"/>
                  </w14:solidFill>
                </w14:textFill>
              </w:rPr>
              <w:t>平方公里，占项目占地面积的0.00%；一般管控单元交集面积</w:t>
            </w:r>
            <w:r>
              <w:rPr>
                <w:rFonts w:hint="eastAsia" w:cs="Times New Roman"/>
                <w:snapToGrid w:val="0"/>
                <w:color w:val="000000" w:themeColor="text1"/>
                <w:kern w:val="0"/>
                <w:sz w:val="24"/>
                <w:highlight w:val="none"/>
                <w:lang w:val="en-US" w:eastAsia="zh-CN"/>
                <w14:textFill>
                  <w14:solidFill>
                    <w14:schemeClr w14:val="tx1"/>
                  </w14:solidFill>
                </w14:textFill>
              </w:rPr>
              <w:t>小于</w:t>
            </w:r>
            <w:r>
              <w:rPr>
                <w:rFonts w:hint="default" w:ascii="Times New Roman" w:hAnsi="Times New Roman" w:eastAsia="宋体" w:cs="Times New Roman"/>
                <w:snapToGrid w:val="0"/>
                <w:color w:val="000000" w:themeColor="text1"/>
                <w:kern w:val="0"/>
                <w:sz w:val="24"/>
                <w:highlight w:val="none"/>
                <w14:textFill>
                  <w14:solidFill>
                    <w14:schemeClr w14:val="tx1"/>
                  </w14:solidFill>
                </w14:textFill>
              </w:rPr>
              <w:t>0.0</w:t>
            </w:r>
            <w:r>
              <w:rPr>
                <w:rFonts w:hint="eastAsia" w:cs="Times New Roman"/>
                <w:snapToGrid w:val="0"/>
                <w:color w:val="000000" w:themeColor="text1"/>
                <w:kern w:val="0"/>
                <w:sz w:val="24"/>
                <w:highlight w:val="none"/>
                <w:lang w:val="en-US" w:eastAsia="zh-CN"/>
                <w14:textFill>
                  <w14:solidFill>
                    <w14:schemeClr w14:val="tx1"/>
                  </w14:solidFill>
                </w14:textFill>
              </w:rPr>
              <w:t>1</w:t>
            </w:r>
            <w:r>
              <w:rPr>
                <w:rFonts w:hint="default" w:ascii="Times New Roman" w:hAnsi="Times New Roman" w:eastAsia="宋体" w:cs="Times New Roman"/>
                <w:snapToGrid w:val="0"/>
                <w:color w:val="000000" w:themeColor="text1"/>
                <w:kern w:val="0"/>
                <w:sz w:val="24"/>
                <w:highlight w:val="none"/>
                <w14:textFill>
                  <w14:solidFill>
                    <w14:schemeClr w14:val="tx1"/>
                  </w14:solidFill>
                </w14:textFill>
              </w:rPr>
              <w:t>平方公里，占项目占地面积的</w:t>
            </w:r>
            <w:r>
              <w:rPr>
                <w:rFonts w:hint="eastAsia" w:cs="Times New Roman"/>
                <w:snapToGrid w:val="0"/>
                <w:color w:val="000000" w:themeColor="text1"/>
                <w:kern w:val="0"/>
                <w:sz w:val="24"/>
                <w:highlight w:val="none"/>
                <w:lang w:val="en-US" w:eastAsia="zh-CN"/>
                <w14:textFill>
                  <w14:solidFill>
                    <w14:schemeClr w14:val="tx1"/>
                  </w14:solidFill>
                </w14:textFill>
              </w:rPr>
              <w:t>10</w:t>
            </w:r>
            <w:r>
              <w:rPr>
                <w:rFonts w:hint="default" w:ascii="Times New Roman" w:hAnsi="Times New Roman" w:eastAsia="宋体" w:cs="Times New Roman"/>
                <w:snapToGrid w:val="0"/>
                <w:color w:val="000000" w:themeColor="text1"/>
                <w:kern w:val="0"/>
                <w:sz w:val="24"/>
                <w:highlight w:val="none"/>
                <w14:textFill>
                  <w14:solidFill>
                    <w14:schemeClr w14:val="tx1"/>
                  </w14:solidFill>
                </w14:textFill>
              </w:rPr>
              <w:t>0.00% 。与地下水环境优先保护区交集面积为0.00平方公里，占项目占地面积的0.00%；与地下水环境重点管控区交集面积为0.00平方公里，占项目占地面积的0.00%，与地下水环境一般管控区交集面积</w:t>
            </w:r>
            <w:r>
              <w:rPr>
                <w:rFonts w:hint="eastAsia" w:cs="Times New Roman"/>
                <w:snapToGrid w:val="0"/>
                <w:color w:val="000000" w:themeColor="text1"/>
                <w:kern w:val="0"/>
                <w:sz w:val="24"/>
                <w:highlight w:val="none"/>
                <w:lang w:val="en-US" w:eastAsia="zh-CN"/>
                <w14:textFill>
                  <w14:solidFill>
                    <w14:schemeClr w14:val="tx1"/>
                  </w14:solidFill>
                </w14:textFill>
              </w:rPr>
              <w:t>小于</w:t>
            </w:r>
            <w:r>
              <w:rPr>
                <w:rFonts w:hint="default" w:ascii="Times New Roman" w:hAnsi="Times New Roman" w:eastAsia="宋体" w:cs="Times New Roman"/>
                <w:snapToGrid w:val="0"/>
                <w:color w:val="000000" w:themeColor="text1"/>
                <w:kern w:val="0"/>
                <w:sz w:val="24"/>
                <w:highlight w:val="none"/>
                <w14:textFill>
                  <w14:solidFill>
                    <w14:schemeClr w14:val="tx1"/>
                  </w14:solidFill>
                </w14:textFill>
              </w:rPr>
              <w:t>0.0</w:t>
            </w:r>
            <w:r>
              <w:rPr>
                <w:rFonts w:hint="eastAsia" w:cs="Times New Roman"/>
                <w:snapToGrid w:val="0"/>
                <w:color w:val="000000" w:themeColor="text1"/>
                <w:kern w:val="0"/>
                <w:sz w:val="24"/>
                <w:highlight w:val="none"/>
                <w:lang w:val="en-US" w:eastAsia="zh-CN"/>
                <w14:textFill>
                  <w14:solidFill>
                    <w14:schemeClr w14:val="tx1"/>
                  </w14:solidFill>
                </w14:textFill>
              </w:rPr>
              <w:t>1</w:t>
            </w:r>
            <w:r>
              <w:rPr>
                <w:rFonts w:hint="default" w:ascii="Times New Roman" w:hAnsi="Times New Roman" w:eastAsia="宋体" w:cs="Times New Roman"/>
                <w:snapToGrid w:val="0"/>
                <w:color w:val="000000" w:themeColor="text1"/>
                <w:kern w:val="0"/>
                <w:sz w:val="24"/>
                <w:highlight w:val="none"/>
                <w14:textFill>
                  <w14:solidFill>
                    <w14:schemeClr w14:val="tx1"/>
                  </w14:solidFill>
                </w14:textFill>
              </w:rPr>
              <w:t>平方公里，占项目占地面100.00%。</w:t>
            </w:r>
          </w:p>
          <w:p w14:paraId="649C8BB5">
            <w:pPr>
              <w:keepNext w:val="0"/>
              <w:keepLines w:val="0"/>
              <w:numPr>
                <w:ilvl w:val="0"/>
                <w:numId w:val="0"/>
              </w:numPr>
              <w:suppressLineNumbers w:val="0"/>
              <w:wordWrap w:val="0"/>
              <w:spacing w:before="0" w:beforeAutospacing="0" w:after="0" w:afterAutospacing="0" w:line="360" w:lineRule="auto"/>
              <w:ind w:left="0" w:right="0" w:firstLine="480" w:firstLineChars="200"/>
              <w:rPr>
                <w:rFonts w:hint="default"/>
                <w:color w:val="000000" w:themeColor="text1"/>
                <w:sz w:val="24"/>
                <w:highlight w:val="none"/>
                <w:lang w:bidi="ar"/>
                <w14:textFill>
                  <w14:solidFill>
                    <w14:schemeClr w14:val="tx1"/>
                  </w14:solidFill>
                </w14:textFill>
              </w:rPr>
            </w:pPr>
            <w:r>
              <w:rPr>
                <w:rFonts w:hint="eastAsia"/>
                <w:color w:val="000000" w:themeColor="text1"/>
                <w:sz w:val="24"/>
                <w:highlight w:val="none"/>
                <w:lang w:eastAsia="zh-CN" w:bidi="ar"/>
                <w14:textFill>
                  <w14:solidFill>
                    <w14:schemeClr w14:val="tx1"/>
                  </w14:solidFill>
                </w14:textFill>
              </w:rPr>
              <w:t>（</w:t>
            </w:r>
            <w:r>
              <w:rPr>
                <w:rFonts w:hint="eastAsia"/>
                <w:color w:val="000000" w:themeColor="text1"/>
                <w:sz w:val="24"/>
                <w:highlight w:val="none"/>
                <w:lang w:val="en-US" w:eastAsia="zh-CN" w:bidi="ar"/>
                <w14:textFill>
                  <w14:solidFill>
                    <w14:schemeClr w14:val="tx1"/>
                  </w14:solidFill>
                </w14:textFill>
              </w:rPr>
              <w:t>4</w:t>
            </w:r>
            <w:r>
              <w:rPr>
                <w:rFonts w:hint="eastAsia"/>
                <w:color w:val="000000" w:themeColor="text1"/>
                <w:sz w:val="24"/>
                <w:highlight w:val="none"/>
                <w:lang w:eastAsia="zh-CN" w:bidi="ar"/>
                <w14:textFill>
                  <w14:solidFill>
                    <w14:schemeClr w14:val="tx1"/>
                  </w14:solidFill>
                </w14:textFill>
              </w:rPr>
              <w:t>）</w:t>
            </w:r>
            <w:r>
              <w:rPr>
                <w:rFonts w:hint="default"/>
                <w:color w:val="000000" w:themeColor="text1"/>
                <w:sz w:val="24"/>
                <w:highlight w:val="none"/>
                <w:lang w:bidi="ar"/>
                <w14:textFill>
                  <w14:solidFill>
                    <w14:schemeClr w14:val="tx1"/>
                  </w14:solidFill>
                </w14:textFill>
              </w:rPr>
              <w:t>项目符合性说明</w:t>
            </w:r>
          </w:p>
          <w:p w14:paraId="14DFA33B">
            <w:pPr>
              <w:keepNext w:val="0"/>
              <w:keepLines w:val="0"/>
              <w:suppressLineNumbers w:val="0"/>
              <w:wordWrap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color w:val="000000" w:themeColor="text1"/>
                <w:sz w:val="24"/>
                <w:szCs w:val="22"/>
                <w:highlight w:val="none"/>
                <w14:textFill>
                  <w14:solidFill>
                    <w14:schemeClr w14:val="tx1"/>
                  </w14:solidFill>
                </w14:textFill>
              </w:rPr>
              <w:t>根据《黑龙江省人民政府关于实施“三线一单”生态环境分区管控的意见》（黑政发〔2020〕14号）、《鸡西市人民政府关于实施“三线一单”生态环境分区管控的意见》（鸡政发〔2021〕7号）、</w:t>
            </w:r>
            <w:r>
              <w:rPr>
                <w:rFonts w:hint="eastAsia"/>
                <w:color w:val="000000" w:themeColor="text1"/>
                <w:sz w:val="24"/>
                <w:szCs w:val="22"/>
                <w:highlight w:val="none"/>
                <w:lang w:eastAsia="zh-CN"/>
                <w14:textFill>
                  <w14:solidFill>
                    <w14:schemeClr w14:val="tx1"/>
                  </w14:solidFill>
                </w14:textFill>
              </w:rPr>
              <w:t>《鸡西市生态环境准入清单》（2023年版）</w:t>
            </w:r>
            <w:r>
              <w:rPr>
                <w:rFonts w:hint="default"/>
                <w:color w:val="000000" w:themeColor="text1"/>
                <w:sz w:val="24"/>
                <w:szCs w:val="22"/>
                <w:highlight w:val="none"/>
                <w14:textFill>
                  <w14:solidFill>
                    <w14:schemeClr w14:val="tx1"/>
                  </w14:solidFill>
                </w14:textFill>
              </w:rPr>
              <w:t>等文件，并结合生态环境分区管控数据应用平台出具的分析报告，</w:t>
            </w:r>
            <w:r>
              <w:rPr>
                <w:rFonts w:hint="default"/>
                <w:color w:val="000000" w:themeColor="text1"/>
                <w:sz w:val="24"/>
                <w:highlight w:val="none"/>
                <w:lang w:bidi="ar"/>
                <w14:textFill>
                  <w14:solidFill>
                    <w14:schemeClr w14:val="tx1"/>
                  </w14:solidFill>
                </w14:textFill>
              </w:rPr>
              <w:t>本项目的建设符合</w:t>
            </w:r>
            <w:r>
              <w:rPr>
                <w:rFonts w:hint="default"/>
                <w:color w:val="000000" w:themeColor="text1"/>
                <w:sz w:val="24"/>
                <w:szCs w:val="22"/>
                <w:highlight w:val="none"/>
                <w14:textFill>
                  <w14:solidFill>
                    <w14:schemeClr w14:val="tx1"/>
                  </w14:solidFill>
                </w14:textFill>
              </w:rPr>
              <w:t>《黑龙江省人民政府关于实施“三线一单”生态环境分区管控的意见》（黑政发〔2020〕14号）、《鸡西市人民政府关于实施“三线一单”生态环境分区管控的意见》（鸡政发〔2021〕7号）、</w:t>
            </w:r>
            <w:r>
              <w:rPr>
                <w:rFonts w:hint="eastAsia"/>
                <w:color w:val="000000" w:themeColor="text1"/>
                <w:sz w:val="24"/>
                <w:szCs w:val="22"/>
                <w:highlight w:val="none"/>
                <w:lang w:eastAsia="zh-CN"/>
                <w14:textFill>
                  <w14:solidFill>
                    <w14:schemeClr w14:val="tx1"/>
                  </w14:solidFill>
                </w14:textFill>
              </w:rPr>
              <w:t>《鸡西市生态环境准入清单》（2023年版）</w:t>
            </w:r>
            <w:r>
              <w:rPr>
                <w:rFonts w:hint="default"/>
                <w:color w:val="000000" w:themeColor="text1"/>
                <w:sz w:val="24"/>
                <w:szCs w:val="22"/>
                <w:highlight w:val="none"/>
                <w14:textFill>
                  <w14:solidFill>
                    <w14:schemeClr w14:val="tx1"/>
                  </w14:solidFill>
                </w14:textFill>
              </w:rPr>
              <w:t>、</w:t>
            </w:r>
            <w:r>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t>《黑龙江省牡丹江农垦双合粮食仓储有限公司</w:t>
            </w:r>
            <w:r>
              <w:rPr>
                <w:rFonts w:hint="eastAsia" w:ascii="Times New Roman" w:hAnsi="Times New Roman" w:cs="Times New Roman"/>
                <w:color w:val="000000" w:themeColor="text1"/>
                <w:sz w:val="24"/>
                <w:szCs w:val="20"/>
                <w:highlight w:val="none"/>
                <w:lang w:val="en-US" w:eastAsia="zh-CN" w:bidi="ar"/>
                <w14:textFill>
                  <w14:solidFill>
                    <w14:schemeClr w14:val="tx1"/>
                  </w14:solidFill>
                </w14:textFill>
              </w:rPr>
              <w:t>建设</w:t>
            </w:r>
            <w:r>
              <w:rPr>
                <w:rFonts w:hint="default" w:ascii="Times New Roman" w:hAnsi="Times New Roman" w:eastAsia="宋体" w:cs="Times New Roman"/>
                <w:color w:val="000000" w:themeColor="text1"/>
                <w:sz w:val="24"/>
                <w:szCs w:val="20"/>
                <w:highlight w:val="none"/>
                <w:lang w:val="en-US" w:eastAsia="zh-CN" w:bidi="ar"/>
                <w14:textFill>
                  <w14:solidFill>
                    <w14:schemeClr w14:val="tx1"/>
                  </w14:solidFill>
                </w14:textFill>
              </w:rPr>
              <w:t>项目生态环境分区管控分析报告》</w:t>
            </w:r>
            <w:r>
              <w:rPr>
                <w:rFonts w:hint="default"/>
                <w:color w:val="000000" w:themeColor="text1"/>
                <w:sz w:val="24"/>
                <w:szCs w:val="22"/>
                <w:highlight w:val="none"/>
                <w14:textFill>
                  <w14:solidFill>
                    <w14:schemeClr w14:val="tx1"/>
                  </w14:solidFill>
                </w14:textFill>
              </w:rPr>
              <w:t>等文件提出的管控要求</w:t>
            </w:r>
            <w:r>
              <w:rPr>
                <w:rFonts w:hint="default"/>
                <w:color w:val="000000" w:themeColor="text1"/>
                <w:sz w:val="24"/>
                <w:highlight w:val="none"/>
                <w:lang w:bidi="ar"/>
                <w14:textFill>
                  <w14:solidFill>
                    <w14:schemeClr w14:val="tx1"/>
                  </w14:solidFill>
                </w14:textFill>
              </w:rPr>
              <w:t>。</w:t>
            </w:r>
          </w:p>
          <w:p w14:paraId="43824136">
            <w:pPr>
              <w:keepNext w:val="0"/>
              <w:keepLines w:val="0"/>
              <w:suppressLineNumbers w:val="0"/>
              <w:spacing w:before="0" w:beforeAutospacing="0" w:after="0" w:afterAutospacing="0" w:line="360" w:lineRule="auto"/>
              <w:ind w:left="0" w:right="0" w:firstLine="482"/>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t>3</w:t>
            </w:r>
            <w:r>
              <w:rPr>
                <w:rFonts w:hint="default" w:ascii="Times New Roman" w:hAnsi="Times New Roman" w:eastAsia="宋体" w:cs="Times New Roman"/>
                <w:b/>
                <w:color w:val="000000" w:themeColor="text1"/>
                <w:sz w:val="24"/>
                <w:highlight w:val="none"/>
                <w14:textFill>
                  <w14:solidFill>
                    <w14:schemeClr w14:val="tx1"/>
                  </w14:solidFill>
                </w14:textFill>
              </w:rPr>
              <w:t>、</w:t>
            </w:r>
            <w:r>
              <w:rPr>
                <w:rFonts w:hint="default" w:ascii="Times New Roman" w:hAnsi="Times New Roman" w:eastAsia="宋体" w:cs="Times New Roman"/>
                <w:b/>
                <w:bCs/>
                <w:color w:val="000000" w:themeColor="text1"/>
                <w:sz w:val="24"/>
                <w:highlight w:val="none"/>
                <w14:textFill>
                  <w14:solidFill>
                    <w14:schemeClr w14:val="tx1"/>
                  </w14:solidFill>
                </w14:textFill>
              </w:rPr>
              <w:t>与《黑龙江省大气污染防治条例》符合性分析</w:t>
            </w:r>
          </w:p>
          <w:p w14:paraId="3FC1F1BF">
            <w:pPr>
              <w:pStyle w:val="71"/>
              <w:keepNext w:val="0"/>
              <w:keepLines w:val="0"/>
              <w:suppressLineNumbers w:val="0"/>
              <w:spacing w:before="0" w:beforeAutospacing="0" w:after="0" w:afterAutospacing="0"/>
              <w:ind w:left="0" w:right="0" w:firstLine="48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根据黑龙江省人民代表大会常务委员会发布的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黑龙江省大气污染防治条例》（2017年1月20日），第三章 大气污染防治措施、第一节、燃煤污染防治措施，第二十九条各级人民政府应当调整能源结构，推广清洁能源的生产和使用，制定并组织实施煤炭消费总量控制规划，减少煤炭生产、使用、转化过程中的大气污染物排放。......第三十六条各级人民政府应当加强民用散煤管理，设区的市级人民政府可以制定具体的奖励或者补贴政策，推广供应和使用优质煤炭、洁净型煤和节能环保型炉灶。</w:t>
            </w:r>
          </w:p>
          <w:p w14:paraId="186938B6">
            <w:pPr>
              <w:pStyle w:val="71"/>
              <w:keepNext w:val="0"/>
              <w:keepLines w:val="0"/>
              <w:suppressLineNumbers w:val="0"/>
              <w:spacing w:before="0" w:beforeAutospacing="0" w:after="0" w:afterAutospacing="0"/>
              <w:ind w:left="0" w:right="0" w:firstLine="480"/>
              <w:rPr>
                <w:rFonts w:hint="default" w:ascii="Times New Roman" w:hAnsi="Times New Roman" w:eastAsia="宋体" w:cs="Times New Roman"/>
                <w:bCs/>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本项目采用燃生物质热风炉，燃料采用生物质成型燃料，符合《黑龙江省大气污染防治条例》中减少煤炭生产、使用、转化过程中的大气污染物排放的意见。本项目运营产生的废气、噪声、固废、废水等经采取有效措施后均可做到达标排放，对评价区周围环境影响不大，可被环境所接受</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7ECB5737">
            <w:pPr>
              <w:pStyle w:val="67"/>
              <w:keepNext w:val="0"/>
              <w:keepLines w:val="0"/>
              <w:suppressLineNumbers w:val="0"/>
              <w:spacing w:before="0" w:beforeAutospacing="0" w:after="0" w:afterAutospacing="0" w:line="360" w:lineRule="auto"/>
              <w:ind w:left="0" w:right="0" w:firstLine="482"/>
              <w:rPr>
                <w:rFonts w:hint="default" w:ascii="Times New Roman" w:hAnsi="Times New Roman" w:eastAsia="宋体" w:cs="Times New Roman"/>
                <w:b/>
                <w:bCs/>
                <w:color w:val="000000" w:themeColor="text1"/>
                <w:highlight w:val="none"/>
                <w14:textFill>
                  <w14:solidFill>
                    <w14:schemeClr w14:val="tx1"/>
                  </w14:solidFill>
                </w14:textFill>
              </w:rPr>
            </w:pPr>
            <w:r>
              <w:rPr>
                <w:rFonts w:hint="default" w:ascii="Times New Roman" w:hAnsi="Times New Roman" w:eastAsia="宋体" w:cs="Times New Roman"/>
                <w:b/>
                <w:color w:val="000000" w:themeColor="text1"/>
                <w:szCs w:val="24"/>
                <w:highlight w:val="none"/>
                <w:lang w:val="en-US" w:eastAsia="zh-CN"/>
                <w14:textFill>
                  <w14:solidFill>
                    <w14:schemeClr w14:val="tx1"/>
                  </w14:solidFill>
                </w14:textFill>
              </w:rPr>
              <w:t>4</w:t>
            </w:r>
            <w:r>
              <w:rPr>
                <w:rFonts w:hint="default" w:ascii="Times New Roman" w:hAnsi="Times New Roman" w:eastAsia="宋体" w:cs="Times New Roman"/>
                <w:b/>
                <w:color w:val="000000" w:themeColor="text1"/>
                <w:szCs w:val="24"/>
                <w:highlight w:val="none"/>
                <w14:textFill>
                  <w14:solidFill>
                    <w14:schemeClr w14:val="tx1"/>
                  </w14:solidFill>
                </w14:textFill>
              </w:rPr>
              <w:t>、</w:t>
            </w:r>
            <w:r>
              <w:rPr>
                <w:rFonts w:hint="default" w:ascii="Times New Roman" w:hAnsi="Times New Roman" w:eastAsia="宋体" w:cs="Times New Roman"/>
                <w:b/>
                <w:bCs/>
                <w:color w:val="000000" w:themeColor="text1"/>
                <w:highlight w:val="none"/>
                <w14:textFill>
                  <w14:solidFill>
                    <w14:schemeClr w14:val="tx1"/>
                  </w14:solidFill>
                </w14:textFill>
              </w:rPr>
              <w:t>与《工业炉窑大气污染综合治理方案》（环大气[2019]56号）符合性分析</w:t>
            </w:r>
          </w:p>
          <w:p w14:paraId="15F278A4">
            <w:pPr>
              <w:pStyle w:val="67"/>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本项目与《工业炉窑大气污染综合治理方案》（环大气[2019]56号文件）相符性分析如下。</w:t>
            </w:r>
          </w:p>
          <w:p w14:paraId="24A6683E">
            <w:pPr>
              <w:keepNext w:val="0"/>
              <w:keepLines w:val="0"/>
              <w:suppressLineNumbers w:val="0"/>
              <w:spacing w:before="0" w:beforeAutospacing="0" w:after="0" w:afterAutospacing="0" w:line="240" w:lineRule="auto"/>
              <w:ind w:left="0" w:right="0"/>
              <w:jc w:val="center"/>
              <w:textAlignment w:val="baseline"/>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表1-</w:t>
            </w:r>
            <w:r>
              <w:rPr>
                <w:rFonts w:hint="eastAsia"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3</w:t>
            </w: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《工业炉窑大气污染综合治理方案》相符性分析表</w:t>
            </w:r>
          </w:p>
          <w:tbl>
            <w:tblPr>
              <w:tblStyle w:val="36"/>
              <w:tblW w:w="653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3552"/>
              <w:gridCol w:w="2166"/>
              <w:gridCol w:w="813"/>
            </w:tblGrid>
            <w:tr w14:paraId="5087B9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48" w:hRule="atLeast"/>
                <w:jc w:val="center"/>
              </w:trPr>
              <w:tc>
                <w:tcPr>
                  <w:tcW w:w="3552" w:type="dxa"/>
                  <w:tcBorders>
                    <w:tl2br w:val="nil"/>
                    <w:tr2bl w:val="nil"/>
                  </w:tcBorders>
                  <w:vAlign w:val="center"/>
                </w:tcPr>
                <w:p w14:paraId="0E78258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方案内容</w:t>
                  </w:r>
                </w:p>
              </w:tc>
              <w:tc>
                <w:tcPr>
                  <w:tcW w:w="2166" w:type="dxa"/>
                  <w:tcBorders>
                    <w:tl2br w:val="nil"/>
                    <w:tr2bl w:val="nil"/>
                  </w:tcBorders>
                  <w:vAlign w:val="center"/>
                </w:tcPr>
                <w:p w14:paraId="59EFBE1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项目概况</w:t>
                  </w:r>
                </w:p>
              </w:tc>
              <w:tc>
                <w:tcPr>
                  <w:tcW w:w="813" w:type="dxa"/>
                  <w:tcBorders>
                    <w:tl2br w:val="nil"/>
                    <w:tr2bl w:val="nil"/>
                  </w:tcBorders>
                  <w:vAlign w:val="center"/>
                </w:tcPr>
                <w:p w14:paraId="7561528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符合性</w:t>
                  </w:r>
                </w:p>
              </w:tc>
            </w:tr>
            <w:tr w14:paraId="2EEF0C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826" w:hRule="atLeast"/>
                <w:jc w:val="center"/>
              </w:trPr>
              <w:tc>
                <w:tcPr>
                  <w:tcW w:w="3552" w:type="dxa"/>
                  <w:tcBorders>
                    <w:tl2br w:val="nil"/>
                    <w:tr2bl w:val="nil"/>
                  </w:tcBorders>
                  <w:vAlign w:val="center"/>
                </w:tcPr>
                <w:p w14:paraId="513115D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加大产业结构调整力度。严格建设项目环境准入。新建涉工业炉窑的建设项目</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原则上要入园区</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配套建设高效环保治理设施。重点区域严格控制涉工业炉窑建设项目</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严禁新增钢铁、焦化、电解铝、铸造、水泥和平板玻璃等产能；严格执行钢铁、水泥、平板玻璃等行业产能置换实施办法；原则上禁止新建燃料类煤气发生炉</w:t>
                  </w:r>
                </w:p>
              </w:tc>
              <w:tc>
                <w:tcPr>
                  <w:tcW w:w="2166" w:type="dxa"/>
                  <w:tcBorders>
                    <w:tl2br w:val="nil"/>
                    <w:tr2bl w:val="nil"/>
                  </w:tcBorders>
                  <w:vAlign w:val="center"/>
                </w:tcPr>
                <w:p w14:paraId="13F6FA1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本项目建设1台</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600万大卡的生物质热风炉</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不属于《工业炉窑大气污染综合治理方案》</w:t>
                  </w:r>
                  <w:r>
                    <w:rPr>
                      <w:rFonts w:hint="default" w:ascii="Times New Roman" w:hAnsi="Times New Roman" w:eastAsia="宋体" w:cs="Times New Roman"/>
                      <w:bCs/>
                      <w:color w:val="000000" w:themeColor="text1"/>
                      <w:sz w:val="21"/>
                      <w:szCs w:val="21"/>
                      <w:highlight w:val="none"/>
                      <w14:textFill>
                        <w14:solidFill>
                          <w14:schemeClr w14:val="tx1"/>
                        </w14:solidFill>
                      </w14:textFill>
                    </w:rPr>
                    <w:t>附件1工业炉窑分类表中农林产品、设备制造、金属制品、监测、化工等行业</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热风炉亦配套高效废气治理设施</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符合要求</w:t>
                  </w:r>
                </w:p>
              </w:tc>
              <w:tc>
                <w:tcPr>
                  <w:tcW w:w="813" w:type="dxa"/>
                  <w:tcBorders>
                    <w:tl2br w:val="nil"/>
                    <w:tr2bl w:val="nil"/>
                  </w:tcBorders>
                  <w:vAlign w:val="center"/>
                </w:tcPr>
                <w:p w14:paraId="7F07329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符合</w:t>
                  </w:r>
                </w:p>
              </w:tc>
            </w:tr>
            <w:tr w14:paraId="71A20D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255" w:hRule="atLeast"/>
                <w:jc w:val="center"/>
              </w:trPr>
              <w:tc>
                <w:tcPr>
                  <w:tcW w:w="3552" w:type="dxa"/>
                  <w:tcBorders>
                    <w:tl2br w:val="nil"/>
                    <w:tr2bl w:val="nil"/>
                  </w:tcBorders>
                  <w:vAlign w:val="center"/>
                </w:tcPr>
                <w:p w14:paraId="388A1D1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加快燃料清洁低碳化替代。对以煤、石油焦、渣油、重油等为燃料的工业炉窑</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加快使用清洁低碳能源以及利用工厂余热、电厂热力等进行替代。重点区域禁止掺烧高硫石油焦（硫含量大于3%）。玻璃行业全面禁止掺烧高硫石油焦</w:t>
                  </w:r>
                </w:p>
              </w:tc>
              <w:tc>
                <w:tcPr>
                  <w:tcW w:w="2166" w:type="dxa"/>
                  <w:tcBorders>
                    <w:tl2br w:val="nil"/>
                    <w:tr2bl w:val="nil"/>
                  </w:tcBorders>
                  <w:vAlign w:val="center"/>
                </w:tcPr>
                <w:p w14:paraId="7DA1E85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本项目采用成型生物质燃料作为燃料</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不使用煤、重油等高污染燃料</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符合要求</w:t>
                  </w:r>
                </w:p>
              </w:tc>
              <w:tc>
                <w:tcPr>
                  <w:tcW w:w="813" w:type="dxa"/>
                  <w:tcBorders>
                    <w:tl2br w:val="nil"/>
                    <w:tr2bl w:val="nil"/>
                  </w:tcBorders>
                  <w:vAlign w:val="center"/>
                </w:tcPr>
                <w:p w14:paraId="49E4762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符合</w:t>
                  </w:r>
                </w:p>
              </w:tc>
            </w:tr>
            <w:tr w14:paraId="190047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87" w:hRule="atLeast"/>
                <w:jc w:val="center"/>
              </w:trPr>
              <w:tc>
                <w:tcPr>
                  <w:tcW w:w="3552" w:type="dxa"/>
                  <w:tcBorders>
                    <w:tl2br w:val="nil"/>
                    <w:tr2bl w:val="nil"/>
                  </w:tcBorders>
                  <w:vAlign w:val="center"/>
                </w:tcPr>
                <w:p w14:paraId="15E54B2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实施污染深度治理。推进工业炉窑全面达标排放。已有行业排放标准的工业炉窑</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严格执行行业排放标准相关规定</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配套建设高效脱硫脱硝除尘设施</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确保稳定达标排放。已制定更严格地方排放标准的</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按地方标准执行。重点区域钢铁、水泥、焦化、石化、化工、有色等行业</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二氧化硫、氮氧化物、颗粒物、挥发性有机物（VOCs）排放全面执行大气污染物特别排放限值。已核发排污许可证的</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应严格执行许可要求</w:t>
                  </w:r>
                </w:p>
              </w:tc>
              <w:tc>
                <w:tcPr>
                  <w:tcW w:w="2166" w:type="dxa"/>
                  <w:tcBorders>
                    <w:tl2br w:val="nil"/>
                    <w:tr2bl w:val="nil"/>
                  </w:tcBorders>
                  <w:vAlign w:val="center"/>
                </w:tcPr>
                <w:p w14:paraId="6ECA84C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本项目生物质热风炉配套建有布袋除尘器</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热风炉烟气经除尘系统处理后排放</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烟气可以达标排放；本项目建成后将积极进行排污许可证申领工作</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取得后将严格按照排污许可要求进行项目运营管理</w:t>
                  </w:r>
                </w:p>
              </w:tc>
              <w:tc>
                <w:tcPr>
                  <w:tcW w:w="813" w:type="dxa"/>
                  <w:tcBorders>
                    <w:tl2br w:val="nil"/>
                    <w:tr2bl w:val="nil"/>
                  </w:tcBorders>
                  <w:vAlign w:val="center"/>
                </w:tcPr>
                <w:p w14:paraId="71BE9DD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符合</w:t>
                  </w:r>
                </w:p>
              </w:tc>
            </w:tr>
            <w:tr w14:paraId="29D194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3552" w:type="dxa"/>
                  <w:tcBorders>
                    <w:tl2br w:val="nil"/>
                    <w:tr2bl w:val="nil"/>
                  </w:tcBorders>
                  <w:vAlign w:val="center"/>
                </w:tcPr>
                <w:p w14:paraId="3A1F721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开展工业园区和产业集群综合整治。各地要加大涉工业炉窑类工业园区和产业集群的综合整治力度</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结合“三线一单”（生态保护红线、环境质量底线、资源利用上线和生态环境准入清单）、规划环评等要求</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进一步梳理确定园区和产业发展定位、规模及结构等。制定综合整治方案</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对标先进企业</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从生产工艺、产能规模、燃料类型、污染治理等方面提出明确要求</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提升产业发展质量和环保治理水平。按照统一标准、统一时间表的要求</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同步推进区域环境综合整治和企业升级改造。加强工业园区能源替代利用与资源共享</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积极推广集中供汽供热或建设清洁低碳能源中心等</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替代工业炉窑燃料用煤；充分利用园区内工厂余热、焦炉煤气等清洁低碳能源</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加强分质与梯级利用</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提高能源利用效率</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促进形成清洁低碳高效产业链</w:t>
                  </w:r>
                </w:p>
              </w:tc>
              <w:tc>
                <w:tcPr>
                  <w:tcW w:w="2166" w:type="dxa"/>
                  <w:tcBorders>
                    <w:tl2br w:val="nil"/>
                    <w:tr2bl w:val="nil"/>
                  </w:tcBorders>
                  <w:vAlign w:val="center"/>
                </w:tcPr>
                <w:p w14:paraId="525E70C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本项目属于农产品初加工项目及热力生产和供应</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热风炉属于工业炉窑</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但由于项目为区域粮食服务</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不属于《工业炉窑大气污染综合治理方案》中所列的行业</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《工业炉窑大气污染综合治理方案》主要针对钢铁、焦化、电解铝、铸造、水泥和平板玻璃等工业类高污染行业</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本项目作为农村特有的为粮食安全提供的烘干服务企业</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结合黑龙江省现有粮食烘干企业的情况</w:t>
                  </w:r>
                  <w:r>
                    <w:rPr>
                      <w:rFonts w:hint="default" w:ascii="Times New Roman" w:hAnsi="Times New Roman" w:cs="Times New Roman"/>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目前均未要求粮食烘干企业进驻工业园区</w:t>
                  </w:r>
                </w:p>
              </w:tc>
              <w:tc>
                <w:tcPr>
                  <w:tcW w:w="813" w:type="dxa"/>
                  <w:tcBorders>
                    <w:tl2br w:val="nil"/>
                    <w:tr2bl w:val="nil"/>
                  </w:tcBorders>
                  <w:vAlign w:val="center"/>
                </w:tcPr>
                <w:p w14:paraId="3FEF025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符合</w:t>
                  </w:r>
                </w:p>
              </w:tc>
            </w:tr>
          </w:tbl>
          <w:p w14:paraId="45F80064">
            <w:pPr>
              <w:pStyle w:val="56"/>
              <w:keepNext w:val="0"/>
              <w:keepLines w:val="0"/>
              <w:suppressLineNumbers w:val="0"/>
              <w:spacing w:before="0" w:beforeAutospacing="0" w:after="0" w:afterAutospacing="0" w:line="360" w:lineRule="auto"/>
              <w:ind w:left="0" w:right="0" w:firstLine="482"/>
              <w:rPr>
                <w:rFonts w:hint="default" w:ascii="Times New Roman" w:hAnsi="Times New Roman" w:eastAsia="宋体" w:cs="Times New Roman"/>
                <w:b/>
                <w:color w:val="000000" w:themeColor="text1"/>
                <w:szCs w:val="24"/>
                <w:highlight w:val="none"/>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highlight w:val="none"/>
                <w14:textFill>
                  <w14:solidFill>
                    <w14:schemeClr w14:val="tx1"/>
                  </w14:solidFill>
                </w14:textFill>
              </w:rPr>
              <w:t>、</w:t>
            </w:r>
            <w:r>
              <w:rPr>
                <w:rFonts w:hint="default" w:ascii="Times New Roman" w:hAnsi="Times New Roman" w:eastAsia="宋体" w:cs="Times New Roman"/>
                <w:b/>
                <w:color w:val="000000" w:themeColor="text1"/>
                <w:szCs w:val="24"/>
                <w:highlight w:val="none"/>
                <w14:textFill>
                  <w14:solidFill>
                    <w14:schemeClr w14:val="tx1"/>
                  </w14:solidFill>
                </w14:textFill>
              </w:rPr>
              <w:t>与《黑龙江省工业炉窑大气污染综合治理方案》（黑环发[2019]144号）符合性分析</w:t>
            </w:r>
          </w:p>
          <w:p w14:paraId="01758928">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对照《黑龙江省工业炉窑大气污染综合治理方案》（黑环发〔2019〕144号），本项目不属于钢铁、焦化、电解铝、铸造、水泥和平板玻璃等产能过剩行业，符合文件中“二、重点任务：（一）加大产业结构调整力度”中的相关要求。</w:t>
            </w:r>
          </w:p>
          <w:p w14:paraId="41900273">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本项目烘干塔热风炉燃用生物质成型燃料，不涉及燃煤及煤气发生炉设备，符合文件中“二、重点任务：（二）加快燃料清洁低碳化替代”中的相关要求。</w:t>
            </w:r>
          </w:p>
          <w:p w14:paraId="5F4CEEAB">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本项目烘干塔热风炉配套建设除尘系统及</w:t>
            </w:r>
            <w:r>
              <w:rPr>
                <w:rFonts w:hint="eastAsia" w:cs="Times New Roman"/>
                <w:color w:val="000000" w:themeColor="text1"/>
                <w:sz w:val="24"/>
                <w:highlight w:val="none"/>
                <w:lang w:val="en-US" w:eastAsia="zh-CN"/>
                <w14:textFill>
                  <w14:solidFill>
                    <w14:schemeClr w14:val="tx1"/>
                  </w14:solidFill>
                </w14:textFill>
              </w:rPr>
              <w:t>15</w:t>
            </w:r>
            <w:r>
              <w:rPr>
                <w:rFonts w:hint="default" w:ascii="Times New Roman" w:hAnsi="Times New Roman" w:eastAsia="宋体" w:cs="Times New Roman"/>
                <w:color w:val="000000" w:themeColor="text1"/>
                <w:sz w:val="24"/>
                <w:highlight w:val="none"/>
                <w14:textFill>
                  <w14:solidFill>
                    <w14:schemeClr w14:val="tx1"/>
                  </w14:solidFill>
                </w14:textFill>
              </w:rPr>
              <w:t>m</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烟囱</w:t>
            </w:r>
            <w:r>
              <w:rPr>
                <w:rFonts w:hint="default" w:ascii="Times New Roman" w:hAnsi="Times New Roman" w:eastAsia="宋体" w:cs="Times New Roman"/>
                <w:color w:val="000000" w:themeColor="text1"/>
                <w:sz w:val="24"/>
                <w:highlight w:val="none"/>
                <w14:textFill>
                  <w14:solidFill>
                    <w14:schemeClr w14:val="tx1"/>
                  </w14:solidFill>
                </w14:textFill>
              </w:rPr>
              <w:t>，可使热风炉烟气达标排放；本项目采取减小装卸高度、密闭输送等降尘措施；原粮筛分</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采用密闭式滚筒筛</w:t>
            </w:r>
            <w:r>
              <w:rPr>
                <w:rFonts w:hint="default" w:ascii="Times New Roman" w:hAnsi="Times New Roman" w:eastAsia="宋体" w:cs="Times New Roman"/>
                <w:color w:val="000000" w:themeColor="text1"/>
                <w:sz w:val="24"/>
                <w:highlight w:val="none"/>
                <w14:textFill>
                  <w14:solidFill>
                    <w14:schemeClr w14:val="tx1"/>
                  </w14:solidFill>
                </w14:textFill>
              </w:rPr>
              <w:t>；烘干塔塔体两侧排气孔设置折流挡板，塔顶排气孔设滤尘网，通过上述措施可使厂界颗粒物无组织达标排放，符合文件中“二、重点任务：（三）实施污染深度治理。推进工业炉窑全面达标排放。”中的相关要求。</w:t>
            </w:r>
          </w:p>
          <w:p w14:paraId="65D0815C">
            <w:pPr>
              <w:pStyle w:val="56"/>
              <w:keepNext w:val="0"/>
              <w:keepLines w:val="0"/>
              <w:suppressLineNumbers w:val="0"/>
              <w:spacing w:before="0" w:beforeAutospacing="0" w:after="0" w:afterAutospacing="0" w:line="360" w:lineRule="auto"/>
              <w:ind w:left="0" w:right="0" w:firstLine="482"/>
              <w:rPr>
                <w:rFonts w:hint="default" w:ascii="Times New Roman" w:hAnsi="Times New Roman" w:eastAsia="宋体" w:cs="Times New Roman"/>
                <w:color w:val="000000" w:themeColor="text1"/>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综上所述，本项目符合《黑龙江省工业炉窑大气污染综合治理方案》（黑环发[2019]144号）中的相关要求</w:t>
            </w:r>
            <w:r>
              <w:rPr>
                <w:rFonts w:hint="default" w:ascii="Times New Roman" w:hAnsi="Times New Roman" w:eastAsia="宋体" w:cs="Times New Roman"/>
                <w:color w:val="000000" w:themeColor="text1"/>
                <w:szCs w:val="24"/>
                <w:highlight w:val="none"/>
                <w:lang w:eastAsia="zh-CN"/>
                <w14:textFill>
                  <w14:solidFill>
                    <w14:schemeClr w14:val="tx1"/>
                  </w14:solidFill>
                </w14:textFill>
              </w:rPr>
              <w:t>。</w:t>
            </w:r>
          </w:p>
          <w:p w14:paraId="7E92F8F4">
            <w:pPr>
              <w:pStyle w:val="56"/>
              <w:keepNext w:val="0"/>
              <w:keepLines w:val="0"/>
              <w:numPr>
                <w:ilvl w:val="0"/>
                <w:numId w:val="5"/>
              </w:numPr>
              <w:suppressLineNumbers w:val="0"/>
              <w:spacing w:before="0" w:beforeAutospacing="0" w:after="0" w:afterAutospacing="0" w:line="360" w:lineRule="auto"/>
              <w:ind w:left="0" w:leftChars="0" w:right="0" w:firstLine="482" w:firstLineChars="200"/>
              <w:rPr>
                <w:rFonts w:hint="default" w:ascii="Times New Roman" w:hAnsi="Times New Roman" w:eastAsia="宋体" w:cs="Times New Roman"/>
                <w:b/>
                <w:bCs w:val="0"/>
                <w:color w:val="000000" w:themeColor="text1"/>
                <w:kern w:val="2"/>
                <w:sz w:val="24"/>
                <w:szCs w:val="24"/>
                <w:highlight w:val="none"/>
                <w:lang w:val="en-US" w:eastAsia="zh-CN"/>
                <w14:textFill>
                  <w14:solidFill>
                    <w14:schemeClr w14:val="tx1"/>
                  </w14:solidFill>
                </w14:textFill>
              </w:rPr>
            </w:pPr>
            <w:r>
              <w:rPr>
                <w:rFonts w:hint="default" w:ascii="Times New Roman" w:hAnsi="Times New Roman" w:eastAsia="宋体" w:cs="Times New Roman"/>
                <w:b/>
                <w:bCs w:val="0"/>
                <w:color w:val="000000" w:themeColor="text1"/>
                <w:kern w:val="2"/>
                <w:sz w:val="24"/>
                <w:szCs w:val="24"/>
                <w:highlight w:val="none"/>
                <w:lang w:val="en-US" w:eastAsia="zh-CN"/>
                <w14:textFill>
                  <w14:solidFill>
                    <w14:schemeClr w14:val="tx1"/>
                  </w14:solidFill>
                </w14:textFill>
              </w:rPr>
              <w:t>与《鸡西市空气质量持续改善行动计划贯彻落实方案》(鸡政发(2024)6号)符合性分析</w:t>
            </w:r>
          </w:p>
          <w:p w14:paraId="1DC95F84">
            <w:pPr>
              <w:pStyle w:val="56"/>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kern w:val="2"/>
                <w:sz w:val="24"/>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(四)</w:t>
            </w:r>
            <w:r>
              <w:rPr>
                <w:rFonts w:hint="default" w:ascii="Times New Roman" w:hAnsi="Times New Roman" w:eastAsia="宋体" w:cs="Times New Roman"/>
                <w:bCs/>
                <w:color w:val="000000" w:themeColor="text1"/>
                <w:kern w:val="2"/>
                <w:sz w:val="24"/>
                <w:szCs w:val="24"/>
                <w:highlight w:val="none"/>
                <w:lang w:val="en-US" w:eastAsia="zh-CN"/>
                <w14:textFill>
                  <w14:solidFill>
                    <w14:schemeClr w14:val="tx1"/>
                  </w14:solidFill>
                </w14:textFill>
              </w:rPr>
              <w:t>坚决遏制“两高一低”项目盲目上马。严格环境准入要求。新建、改扩建“两高一低”项目应符合产业政策和相关法定规划，满足总量控制、碳达峰目标、生态环境准入清单、生态环境分区管控、相关规划环评等要求，原则上采用清洁运输方式。涉及产能置换的项目，被置换产能及其配套设施同步关停后，新建项目方能投产。</w:t>
            </w:r>
          </w:p>
          <w:p w14:paraId="5D1DD84E">
            <w:pPr>
              <w:pStyle w:val="56"/>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kern w:val="2"/>
                <w:sz w:val="24"/>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lang w:val="en-US" w:eastAsia="zh-CN"/>
                <w14:textFill>
                  <w14:solidFill>
                    <w14:schemeClr w14:val="tx1"/>
                  </w14:solidFill>
                </w14:textFill>
              </w:rPr>
              <w:t>(五)加快重点行业落后产能淘汰退出。严格执行《产业结构调整指导目录》要求，加快退出淘汰类产能、工艺、装备，提高限制类产能、工艺、装备淘汰改造引导力度。</w:t>
            </w:r>
          </w:p>
          <w:p w14:paraId="70BAFAEE">
            <w:pPr>
              <w:pStyle w:val="56"/>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kern w:val="2"/>
                <w:sz w:val="24"/>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lang w:val="en-US" w:eastAsia="zh-CN"/>
                <w14:textFill>
                  <w14:solidFill>
                    <w14:schemeClr w14:val="tx1"/>
                  </w14:solidFill>
                </w14:textFill>
              </w:rPr>
              <w:t>(十)严格合理控制煤炭消费总量。全市原则上不再新增自备燃煤机组，按要求支持自备燃煤机组实施清洁能源替代。合理保障支撑电力稳定供应、电网安全运行、清洁能源大规模并网消纳的煤电项目及其用煤量。鼓励锅炉生产制造企业优化锅炉设计，应用新材料、新技术、新工艺，通过优化参数和燃料结构、采用新型热力循环等方式，从源头提高锅炉绿色低碳水平。到2025年</w:t>
            </w:r>
            <w:r>
              <w:rPr>
                <w:rFonts w:hint="eastAsia" w:cs="Times New Roman"/>
                <w:bCs/>
                <w:color w:val="000000" w:themeColor="text1"/>
                <w:kern w:val="2"/>
                <w:sz w:val="24"/>
                <w:szCs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kern w:val="2"/>
                <w:sz w:val="24"/>
                <w:szCs w:val="24"/>
                <w:highlight w:val="none"/>
                <w:lang w:val="en-US" w:eastAsia="zh-CN"/>
                <w14:textFill>
                  <w14:solidFill>
                    <w14:schemeClr w14:val="tx1"/>
                  </w14:solidFill>
                </w14:textFill>
              </w:rPr>
              <w:t>全市煤炭消费比重在2020年基础上下降4%左右。</w:t>
            </w:r>
          </w:p>
          <w:p w14:paraId="1A5EA215">
            <w:pPr>
              <w:pStyle w:val="56"/>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kern w:val="2"/>
                <w:sz w:val="24"/>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lang w:val="en-US" w:eastAsia="zh-CN"/>
                <w14:textFill>
                  <w14:solidFill>
                    <w14:schemeClr w14:val="tx1"/>
                  </w14:solidFill>
                </w14:textFill>
              </w:rPr>
              <w:t>本项目不属于“高耗能、高排放、低水平项目”，采用600万大卡燃生物质热风炉，使用生物质为燃料，本项目严格执行《产业结构调整指导目录》要求，符合《鸡西市空气质量持续改善行动计划贯彻落实方案》</w:t>
            </w:r>
            <w:r>
              <w:rPr>
                <w:rFonts w:hint="eastAsia" w:cs="Times New Roman"/>
                <w:bCs/>
                <w:color w:val="000000" w:themeColor="text1"/>
                <w:kern w:val="2"/>
                <w:sz w:val="24"/>
                <w:szCs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kern w:val="2"/>
                <w:sz w:val="24"/>
                <w:szCs w:val="24"/>
                <w:highlight w:val="none"/>
                <w:lang w:val="en-US" w:eastAsia="zh-CN"/>
                <w14:textFill>
                  <w14:solidFill>
                    <w14:schemeClr w14:val="tx1"/>
                  </w14:solidFill>
                </w14:textFill>
              </w:rPr>
              <w:t>鸡政发(2024)6号</w:t>
            </w:r>
            <w:r>
              <w:rPr>
                <w:rFonts w:hint="eastAsia" w:cs="Times New Roman"/>
                <w:bCs/>
                <w:color w:val="000000" w:themeColor="text1"/>
                <w:kern w:val="2"/>
                <w:sz w:val="24"/>
                <w:szCs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kern w:val="2"/>
                <w:sz w:val="24"/>
                <w:szCs w:val="24"/>
                <w:highlight w:val="none"/>
                <w:lang w:val="en-US" w:eastAsia="zh-CN"/>
                <w14:textFill>
                  <w14:solidFill>
                    <w14:schemeClr w14:val="tx1"/>
                  </w14:solidFill>
                </w14:textFill>
              </w:rPr>
              <w:t>。</w:t>
            </w:r>
          </w:p>
          <w:p w14:paraId="6BEFA5A6">
            <w:pPr>
              <w:pStyle w:val="56"/>
              <w:keepNext w:val="0"/>
              <w:keepLines w:val="0"/>
              <w:numPr>
                <w:ilvl w:val="0"/>
                <w:numId w:val="0"/>
              </w:numPr>
              <w:suppressLineNumbers w:val="0"/>
              <w:spacing w:before="0" w:beforeAutospacing="0" w:after="0" w:afterAutospacing="0" w:line="360" w:lineRule="auto"/>
              <w:ind w:left="0" w:right="0" w:firstLine="482" w:firstLineChars="200"/>
              <w:rPr>
                <w:rFonts w:hint="default" w:cs="Times New Roman"/>
                <w:b/>
                <w:color w:val="000000" w:themeColor="text1"/>
                <w:szCs w:val="24"/>
                <w:highlight w:val="none"/>
                <w:lang w:val="en-US" w:eastAsia="zh-CN"/>
                <w14:textFill>
                  <w14:solidFill>
                    <w14:schemeClr w14:val="tx1"/>
                  </w14:solidFill>
                </w14:textFill>
              </w:rPr>
            </w:pPr>
            <w:r>
              <w:rPr>
                <w:rFonts w:hint="eastAsia" w:cs="Times New Roman"/>
                <w:b/>
                <w:color w:val="000000" w:themeColor="text1"/>
                <w:szCs w:val="24"/>
                <w:highlight w:val="none"/>
                <w:lang w:val="en-US" w:eastAsia="zh-CN"/>
                <w14:textFill>
                  <w14:solidFill>
                    <w14:schemeClr w14:val="tx1"/>
                  </w14:solidFill>
                </w14:textFill>
              </w:rPr>
              <w:t>7、</w:t>
            </w:r>
            <w:r>
              <w:rPr>
                <w:rFonts w:hint="default" w:cs="Times New Roman"/>
                <w:b/>
                <w:color w:val="000000" w:themeColor="text1"/>
                <w:szCs w:val="24"/>
                <w:highlight w:val="none"/>
                <w:lang w:val="en-US" w:eastAsia="zh-CN"/>
                <w14:textFill>
                  <w14:solidFill>
                    <w14:schemeClr w14:val="tx1"/>
                  </w14:solidFill>
                </w14:textFill>
              </w:rPr>
              <w:t>本项目与《环境空气细颗粒物污染综合防治技术政策》符合性分析</w:t>
            </w:r>
          </w:p>
          <w:p w14:paraId="7FB78FF1">
            <w:pPr>
              <w:pStyle w:val="56"/>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根据《环境空气细颗粒物污染综合防治技术政策》</w:t>
            </w: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三、防治工业污染，对于排放细颗粒物的工业污染源，应按照生产工艺、排放方式和烟（废）气组成的特点，选取适用的污染防治技术。</w:t>
            </w: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工业污染源有组织排放的颗粒物，宜采取袋除尘、电除尘、电袋除尘等高效除尘技术，鼓励火电机组和大型燃煤锅炉采用湿式电除尘等新技术。本项目有组织排放颗粒物采用布袋除尘的除尘技术，符合政策要求。</w:t>
            </w:r>
          </w:p>
          <w:p w14:paraId="698A81E6">
            <w:pPr>
              <w:pStyle w:val="56"/>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根据《环境空气细颗粒物污染综合防治技术政策》， 细颗粒物污染防治技术简要说明中，一、工业污染防治技术，（一）有组织排放颗粒物（烟、粉尘）污染防治技术，包括袋式除尘、湿式电除尘技术、电袋复合除尘技术。（二）前体污染物（NO、SO</w:t>
            </w:r>
            <w:r>
              <w:rPr>
                <w:rFonts w:hint="default" w:ascii="Times New Roman" w:hAnsi="Times New Roman" w:eastAsia="宋体" w:cs="Times New Roman"/>
                <w:bCs/>
                <w:color w:val="000000" w:themeColor="text1"/>
                <w:kern w:val="2"/>
                <w:sz w:val="24"/>
                <w:szCs w:val="24"/>
                <w:highlight w:val="none"/>
                <w:vertAlign w:val="subscript"/>
                <w:lang w:val="en-US" w:eastAsia="zh-CN" w:bidi="ar-SA"/>
                <w14:textFill>
                  <w14:solidFill>
                    <w14:schemeClr w14:val="tx1"/>
                  </w14:solidFill>
                </w14:textFill>
              </w:rPr>
              <w:t>2</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、VOCs、NH</w:t>
            </w:r>
            <w:r>
              <w:rPr>
                <w:rFonts w:hint="default" w:ascii="Times New Roman" w:hAnsi="Times New Roman" w:eastAsia="宋体" w:cs="Times New Roman"/>
                <w:bCs/>
                <w:color w:val="000000" w:themeColor="text1"/>
                <w:kern w:val="2"/>
                <w:sz w:val="24"/>
                <w:szCs w:val="24"/>
                <w:highlight w:val="none"/>
                <w:vertAlign w:val="subscript"/>
                <w:lang w:val="en-US" w:eastAsia="zh-CN" w:bidi="ar-SA"/>
                <w14:textFill>
                  <w14:solidFill>
                    <w14:schemeClr w14:val="tx1"/>
                  </w14:solidFill>
                </w14:textFill>
              </w:rPr>
              <w:t>3</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等）净化技术，包括各种脱硫技术、氮氧化物的催化还原技术及烟气脱硝技术、挥发性有机物的燃烧净化与吸附回收技术、氨的水洗涤净化技术。（三）无组织排放颗粒物和前体污染物治理技术，包括适用于大气颗粒物及其前体物污染控制的密闭生产技术、粉状物料堆放场的遮风与抑尘技术。</w:t>
            </w:r>
          </w:p>
          <w:p w14:paraId="164942DA">
            <w:pPr>
              <w:pStyle w:val="56"/>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本项目有组织排放颗粒物采用布袋除尘的除尘技术，生物质灰及灰渣储存在热风炉房灰渣间内，灰渣间封闭，灰渣袋装储存，属于政策可行技术，符合政策要求。</w:t>
            </w:r>
          </w:p>
          <w:p w14:paraId="76B961D9">
            <w:pPr>
              <w:pStyle w:val="56"/>
              <w:keepNext w:val="0"/>
              <w:keepLines w:val="0"/>
              <w:numPr>
                <w:ilvl w:val="0"/>
                <w:numId w:val="0"/>
              </w:numPr>
              <w:suppressLineNumbers w:val="0"/>
              <w:spacing w:before="0" w:beforeAutospacing="0" w:after="0" w:afterAutospacing="0" w:line="360" w:lineRule="auto"/>
              <w:ind w:left="0" w:right="0" w:firstLine="482" w:firstLineChars="200"/>
              <w:rPr>
                <w:rFonts w:hint="eastAsia" w:cs="Times New Roman"/>
                <w:b/>
                <w:color w:val="000000" w:themeColor="text1"/>
                <w:szCs w:val="24"/>
                <w:highlight w:val="none"/>
                <w:lang w:val="en-US" w:eastAsia="zh-CN"/>
                <w14:textFill>
                  <w14:solidFill>
                    <w14:schemeClr w14:val="tx1"/>
                  </w14:solidFill>
                </w14:textFill>
              </w:rPr>
            </w:pPr>
            <w:r>
              <w:rPr>
                <w:rFonts w:hint="eastAsia" w:cs="Times New Roman"/>
                <w:b/>
                <w:color w:val="000000" w:themeColor="text1"/>
                <w:szCs w:val="24"/>
                <w:highlight w:val="none"/>
                <w:lang w:val="en-US" w:eastAsia="zh-CN"/>
                <w14:textFill>
                  <w14:solidFill>
                    <w14:schemeClr w14:val="tx1"/>
                  </w14:solidFill>
                </w14:textFill>
              </w:rPr>
              <w:t>8、与《地下水管理条例》符合性分析</w:t>
            </w:r>
          </w:p>
          <w:p w14:paraId="4DCF8540">
            <w:pPr>
              <w:pStyle w:val="56"/>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第六条 利用地下水的单位和个人应当加强地下水取水工程管理，节约、保护地下水，防止地下水污染。</w:t>
            </w:r>
          </w:p>
          <w:p w14:paraId="66C786E8">
            <w:pPr>
              <w:pStyle w:val="56"/>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第二十一条 取用地下水的单位和个人应当遵守取水总量控制和定额管理要求，使用先进节约用水技术、工艺和设备，采取循环用水、综合利用及废水处理回用等措施，实施技术改造，降低用水消耗。对下列工艺、设备和产品，应当在规定的期限内停止生产、销售、进口或者使用：（一）列入淘汰落后的、耗水量高的工艺、设备和产品名录的；（二）列入限期禁止采用的严重污染水环境的工艺名录和限期禁止生产、销售、进口、使用的严重污染水环境的设备名录的。</w:t>
            </w:r>
          </w:p>
          <w:p w14:paraId="639FCBED">
            <w:pPr>
              <w:pStyle w:val="56"/>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符合性分析</w:t>
            </w: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本项目</w:t>
            </w:r>
            <w:r>
              <w:rPr>
                <w:rFonts w:hint="default" w:ascii="Times New Roman" w:hAnsi="Times New Roman" w:eastAsia="宋体" w:cs="Times New Roman"/>
                <w:color w:val="000000" w:themeColor="text1"/>
                <w:szCs w:val="21"/>
                <w:highlight w:val="none"/>
                <w14:textFill>
                  <w14:solidFill>
                    <w14:schemeClr w14:val="tx1"/>
                  </w14:solidFill>
                </w14:textFill>
              </w:rPr>
              <w:t>项目无生产用水，生活</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用水由厂区</w:t>
            </w: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现有</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水井提供，不新增取水井，且员工经过培训，自觉节约、保护地下水。项目不在淘汰落后的、耗水量高的工艺、设备和产品名录中</w:t>
            </w: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不在列入限期禁止采用的严重污染水环境的工艺名录和限期禁止生产、销售、进口、使用的严重污染水环境的设备名录中。</w:t>
            </w:r>
          </w:p>
          <w:p w14:paraId="09CA04CB">
            <w:pPr>
              <w:pStyle w:val="56"/>
              <w:keepNext w:val="0"/>
              <w:keepLines w:val="0"/>
              <w:numPr>
                <w:ilvl w:val="0"/>
                <w:numId w:val="0"/>
              </w:numPr>
              <w:suppressLineNumbers w:val="0"/>
              <w:spacing w:before="0" w:beforeAutospacing="0" w:after="0" w:afterAutospacing="0" w:line="360" w:lineRule="auto"/>
              <w:ind w:left="0" w:right="0" w:firstLine="482" w:firstLineChars="200"/>
              <w:rPr>
                <w:rFonts w:hint="eastAsia" w:cs="Times New Roman"/>
                <w:b/>
                <w:color w:val="000000" w:themeColor="text1"/>
                <w:szCs w:val="24"/>
                <w:highlight w:val="none"/>
                <w:lang w:val="en-US" w:eastAsia="zh-CN"/>
                <w14:textFill>
                  <w14:solidFill>
                    <w14:schemeClr w14:val="tx1"/>
                  </w14:solidFill>
                </w14:textFill>
              </w:rPr>
            </w:pPr>
            <w:r>
              <w:rPr>
                <w:rFonts w:hint="eastAsia" w:cs="Times New Roman"/>
                <w:b/>
                <w:color w:val="000000" w:themeColor="text1"/>
                <w:szCs w:val="24"/>
                <w:highlight w:val="none"/>
                <w:lang w:val="en-US" w:eastAsia="zh-CN"/>
                <w14:textFill>
                  <w14:solidFill>
                    <w14:schemeClr w14:val="tx1"/>
                  </w14:solidFill>
                </w14:textFill>
              </w:rPr>
              <w:t>9、与《粮油仓储管理办法》的符合性分析</w:t>
            </w:r>
          </w:p>
          <w:p w14:paraId="2B94B047">
            <w:pPr>
              <w:pStyle w:val="56"/>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2009年12月29日，国家发展和改革委员会发布《粮油仓储管理办法》，相关内容如下：</w:t>
            </w:r>
          </w:p>
          <w:p w14:paraId="2EFBA617">
            <w:pPr>
              <w:pStyle w:val="56"/>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第七条 粮油仓储单位应当具备以下条件：</w:t>
            </w:r>
          </w:p>
          <w:p w14:paraId="5368A04F">
            <w:pPr>
              <w:pStyle w:val="56"/>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一）拥有固定经营场地，并符合本办法有关污染源、危险源安全距离的规定（粮油仓储单位的固定经营场地至污染源、危险源的距离应当满足以下要求：1.距有害元素的矿山、炼焦、炼油、煤气、化工（包括有毒化合物的生产）、塑料、</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fldChar w:fldCharType="begin"/>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instrText xml:space="preserve"> HYPERLINK "https://baike.so.com/doc/5863263-6076110.html" \t "https://baike.so.com/doc/_blank" </w:instrTex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fldChar w:fldCharType="separate"/>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橡胶制品</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fldChar w:fldCharType="end"/>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及加工、人造纤维、油漆、农药、化肥等排放有毒气体的生产单位，不小于1000米；2.距屠宰场、集中垃圾堆场、污水处理站等单位，不小于500米；3.距砖瓦厂、混凝土及石膏制品厂等粉尘污染源，不小于100米）。（二）拥有与从事粮油仓储活动相适应的设施设备，并符合粮油储藏技术规范的要求；（三）拥有相应的专业技术管理人员。</w:t>
            </w:r>
          </w:p>
          <w:p w14:paraId="4F3FDB5A">
            <w:pPr>
              <w:pStyle w:val="56"/>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第十六条 粮油储存区应当保持清洁，并与办公区、生活区进行有效隔离。在粮油储存区内开展的活动和存放的物品不得对粮油造成污染或者对粮油储存安全构成威胁。</w:t>
            </w:r>
          </w:p>
          <w:p w14:paraId="3FFB7977">
            <w:pPr>
              <w:pStyle w:val="56"/>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第十七条 粮油仓储单位应当对仓房（油罐）编排号码，配备必要的仓储设备，建立健全设备使用、保养、维修、报废等制度。</w:t>
            </w:r>
          </w:p>
          <w:p w14:paraId="352515E3">
            <w:pPr>
              <w:pStyle w:val="56"/>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第十八条 粮油仓储单位应当按照仓房（油罐）的设计容量和要求储存粮油，执行《粮油储藏技术规范》等技术标准，建立粮油仓储管理过程记录文件。</w:t>
            </w:r>
          </w:p>
          <w:p w14:paraId="651E132F">
            <w:pPr>
              <w:pStyle w:val="127"/>
              <w:keepNext w:val="0"/>
              <w:keepLines w:val="0"/>
              <w:numPr>
                <w:ilvl w:val="0"/>
                <w:numId w:val="0"/>
              </w:numPr>
              <w:suppressLineNumbers w:val="0"/>
              <w:spacing w:before="0" w:beforeAutospacing="0" w:after="0" w:afterAutospacing="0"/>
              <w:ind w:left="0" w:right="0" w:firstLine="480" w:firstLineChars="20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highlight w:val="none"/>
                <w:lang w:val="en-US" w:eastAsia="zh-CN"/>
                <w14:textFill>
                  <w14:solidFill>
                    <w14:schemeClr w14:val="tx1"/>
                  </w14:solidFill>
                </w14:textFill>
              </w:rPr>
              <w:t>符合性分析：</w:t>
            </w:r>
            <w:r>
              <w:rPr>
                <w:rFonts w:hint="eastAsia" w:ascii="Times New Roman" w:hAnsi="Times New Roman" w:cs="Times New Roman"/>
                <w:b w:val="0"/>
                <w:bCs w:val="0"/>
                <w:color w:val="000000" w:themeColor="text1"/>
                <w:highlight w:val="none"/>
                <w:lang w:val="en-US" w:eastAsia="zh-CN"/>
                <w14:textFill>
                  <w14:solidFill>
                    <w14:schemeClr w14:val="tx1"/>
                  </w14:solidFill>
                </w14:textFill>
              </w:rPr>
              <w:t>本项目位于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黑龙江省鸡西市虎林市庆丰农场九队</w:t>
            </w:r>
            <w:r>
              <w:rPr>
                <w:rFonts w:hint="default" w:ascii="Times New Roman" w:hAnsi="Times New Roman" w:cs="Times New Roman"/>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iCs w:val="0"/>
                <w:color w:val="000000" w:themeColor="text1"/>
                <w:kern w:val="2"/>
                <w:sz w:val="24"/>
                <w:szCs w:val="24"/>
                <w:highlight w:val="none"/>
                <w:lang w:val="en-US" w:eastAsia="zh-CN" w:bidi="ar-SA"/>
                <w14:textFill>
                  <w14:solidFill>
                    <w14:schemeClr w14:val="tx1"/>
                  </w14:solidFill>
                </w14:textFill>
              </w:rPr>
              <w:t>企业占地面积为16354.70m</w:t>
            </w:r>
            <w:r>
              <w:rPr>
                <w:rFonts w:hint="default" w:ascii="Times New Roman" w:hAnsi="Times New Roman" w:eastAsia="宋体" w:cs="Times New Roman"/>
                <w:iCs w:val="0"/>
                <w:color w:val="000000" w:themeColor="text1"/>
                <w:kern w:val="2"/>
                <w:sz w:val="24"/>
                <w:szCs w:val="24"/>
                <w:highlight w:val="none"/>
                <w:vertAlign w:val="superscript"/>
                <w:lang w:val="en-US" w:eastAsia="zh-CN" w:bidi="ar-SA"/>
                <w14:textFill>
                  <w14:solidFill>
                    <w14:schemeClr w14:val="tx1"/>
                  </w14:solidFill>
                </w14:textFill>
              </w:rPr>
              <w:t>2</w:t>
            </w:r>
            <w:r>
              <w:rPr>
                <w:rFonts w:hint="default" w:ascii="Times New Roman" w:hAnsi="Times New Roman" w:eastAsia="宋体" w:cs="Times New Roman"/>
                <w:iCs w:val="0"/>
                <w:color w:val="000000" w:themeColor="text1"/>
                <w:kern w:val="2"/>
                <w:sz w:val="24"/>
                <w:szCs w:val="24"/>
                <w:highlight w:val="none"/>
                <w:lang w:val="en-US" w:eastAsia="zh-CN" w:bidi="ar-SA"/>
                <w14:textFill>
                  <w14:solidFill>
                    <w14:schemeClr w14:val="tx1"/>
                  </w14:solidFill>
                </w14:textFill>
              </w:rPr>
              <w:t>，用地性质</w:t>
            </w:r>
            <w:r>
              <w:rPr>
                <w:rFonts w:hint="default" w:ascii="Times New Roman" w:hAnsi="Times New Roman" w:eastAsia="宋体" w:cs="Times New Roman"/>
                <w:color w:val="000000" w:themeColor="text1"/>
                <w:sz w:val="24"/>
                <w:szCs w:val="21"/>
                <w:highlight w:val="none"/>
                <w:lang w:bidi="ar"/>
                <w14:textFill>
                  <w14:solidFill>
                    <w14:schemeClr w14:val="tx1"/>
                  </w14:solidFill>
                </w14:textFill>
              </w:rPr>
              <w:t>为</w:t>
            </w:r>
            <w:r>
              <w:rPr>
                <w:rFonts w:hint="eastAsia" w:ascii="Times New Roman" w:hAnsi="Times New Roman" w:eastAsia="宋体" w:cs="Times New Roman"/>
                <w:color w:val="000000" w:themeColor="text1"/>
                <w:sz w:val="24"/>
                <w:szCs w:val="21"/>
                <w:highlight w:val="none"/>
                <w:lang w:val="en-US" w:eastAsia="zh-CN" w:bidi="ar"/>
                <w14:textFill>
                  <w14:solidFill>
                    <w14:schemeClr w14:val="tx1"/>
                  </w14:solidFill>
                </w14:textFill>
              </w:rPr>
              <w:t>工业</w:t>
            </w:r>
            <w:r>
              <w:rPr>
                <w:rFonts w:hint="default" w:ascii="Times New Roman" w:hAnsi="Times New Roman" w:eastAsia="宋体" w:cs="Times New Roman"/>
                <w:color w:val="000000" w:themeColor="text1"/>
                <w:sz w:val="24"/>
                <w:szCs w:val="21"/>
                <w:highlight w:val="none"/>
                <w:lang w:val="en-US" w:eastAsia="zh-CN" w:bidi="ar"/>
                <w14:textFill>
                  <w14:solidFill>
                    <w14:schemeClr w14:val="tx1"/>
                  </w14:solidFill>
                </w14:textFill>
              </w:rPr>
              <w:t>用地</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sz w:val="24"/>
                <w:highlight w:val="none"/>
                <w14:textFill>
                  <w14:solidFill>
                    <w14:schemeClr w14:val="tx1"/>
                  </w14:solidFill>
                </w14:textFill>
              </w:rPr>
              <w:t>利用黑龙江省牡丹江农垦双合粮食仓储有限公司现有闲置场地进行建设，</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不新增</w:t>
            </w:r>
            <w:r>
              <w:rPr>
                <w:rFonts w:hint="default" w:ascii="Times New Roman" w:hAnsi="Times New Roman" w:eastAsia="宋体" w:cs="Times New Roman"/>
                <w:color w:val="000000" w:themeColor="text1"/>
                <w:sz w:val="24"/>
                <w:highlight w:val="none"/>
                <w14:textFill>
                  <w14:solidFill>
                    <w14:schemeClr w14:val="tx1"/>
                  </w14:solidFill>
                </w14:textFill>
              </w:rPr>
              <w:t>占地</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本项目厂址1000m范围内无</w:t>
            </w:r>
            <w:r>
              <w:rPr>
                <w:rFonts w:hint="default" w:ascii="Times New Roman" w:hAnsi="Times New Roman" w:cs="Times New Roman"/>
                <w:color w:val="000000" w:themeColor="text1"/>
                <w:highlight w:val="none"/>
                <w:lang w:val="en-US" w:eastAsia="zh-CN"/>
                <w14:textFill>
                  <w14:solidFill>
                    <w14:schemeClr w14:val="tx1"/>
                  </w14:solidFill>
                </w14:textFill>
              </w:rPr>
              <w:t>有害元素的矿山、炼焦、炼油、煤气、化工（包括有毒化合物的生产）、塑料、</w:t>
            </w:r>
            <w:r>
              <w:rPr>
                <w:rFonts w:hint="default" w:ascii="Times New Roman" w:hAnsi="Times New Roman" w:cs="Times New Roman"/>
                <w:color w:val="000000" w:themeColor="text1"/>
                <w:highlight w:val="none"/>
                <w:lang w:val="en-US" w:eastAsia="zh-CN"/>
                <w14:textFill>
                  <w14:solidFill>
                    <w14:schemeClr w14:val="tx1"/>
                  </w14:solidFill>
                </w14:textFill>
              </w:rPr>
              <w:fldChar w:fldCharType="begin"/>
            </w:r>
            <w:r>
              <w:rPr>
                <w:rFonts w:hint="default" w:ascii="Times New Roman" w:hAnsi="Times New Roman" w:cs="Times New Roman"/>
                <w:color w:val="000000" w:themeColor="text1"/>
                <w:highlight w:val="none"/>
                <w:lang w:val="en-US" w:eastAsia="zh-CN"/>
                <w14:textFill>
                  <w14:solidFill>
                    <w14:schemeClr w14:val="tx1"/>
                  </w14:solidFill>
                </w14:textFill>
              </w:rPr>
              <w:instrText xml:space="preserve"> HYPERLINK "https://baike.so.com/doc/5863263-6076110.html" \t "https://baike.so.com/doc/_blank" </w:instrText>
            </w:r>
            <w:r>
              <w:rPr>
                <w:rFonts w:hint="default" w:ascii="Times New Roman" w:hAnsi="Times New Roman" w:cs="Times New Roman"/>
                <w:color w:val="000000" w:themeColor="text1"/>
                <w:highlight w:val="none"/>
                <w:lang w:val="en-US" w:eastAsia="zh-CN"/>
                <w14:textFill>
                  <w14:solidFill>
                    <w14:schemeClr w14:val="tx1"/>
                  </w14:solidFill>
                </w14:textFill>
              </w:rPr>
              <w:fldChar w:fldCharType="separate"/>
            </w:r>
            <w:r>
              <w:rPr>
                <w:rFonts w:hint="default" w:ascii="Times New Roman" w:hAnsi="Times New Roman" w:cs="Times New Roman"/>
                <w:color w:val="000000" w:themeColor="text1"/>
                <w:highlight w:val="none"/>
                <w:lang w:val="en-US" w:eastAsia="zh-CN"/>
                <w14:textFill>
                  <w14:solidFill>
                    <w14:schemeClr w14:val="tx1"/>
                  </w14:solidFill>
                </w14:textFill>
              </w:rPr>
              <w:t>橡胶制品</w:t>
            </w:r>
            <w:r>
              <w:rPr>
                <w:rFonts w:hint="default" w:ascii="Times New Roman" w:hAnsi="Times New Roman" w:cs="Times New Roman"/>
                <w:color w:val="000000" w:themeColor="text1"/>
                <w:highlight w:val="none"/>
                <w:lang w:val="en-US" w:eastAsia="zh-CN"/>
                <w14:textFill>
                  <w14:solidFill>
                    <w14:schemeClr w14:val="tx1"/>
                  </w14:solidFill>
                </w14:textFill>
              </w:rPr>
              <w:fldChar w:fldCharType="end"/>
            </w:r>
            <w:r>
              <w:rPr>
                <w:rFonts w:hint="default" w:ascii="Times New Roman" w:hAnsi="Times New Roman" w:cs="Times New Roman"/>
                <w:color w:val="000000" w:themeColor="text1"/>
                <w:highlight w:val="none"/>
                <w:lang w:val="en-US" w:eastAsia="zh-CN"/>
                <w14:textFill>
                  <w14:solidFill>
                    <w14:schemeClr w14:val="tx1"/>
                  </w14:solidFill>
                </w14:textFill>
              </w:rPr>
              <w:t>及加工、人造纤维、油漆、农药、化肥等排放有毒气体的生产单位；厂址500m范围内无屠宰场、集中垃圾堆场、污水处理站等单位；厂址100m范围内无砖瓦厂、混凝土及石膏制品厂等粉尘污染源。本项目使用的设施设备符合粮油储藏技术规范的要求，并配有相应的专业技术管理人员。本项目粮食储存区位于厂区的</w:t>
            </w:r>
            <w:r>
              <w:rPr>
                <w:rFonts w:hint="eastAsia" w:ascii="Times New Roman" w:hAnsi="Times New Roman" w:cs="Times New Roman"/>
                <w:color w:val="000000" w:themeColor="text1"/>
                <w:highlight w:val="none"/>
                <w:lang w:val="en-US" w:eastAsia="zh-CN"/>
                <w14:textFill>
                  <w14:solidFill>
                    <w14:schemeClr w14:val="tx1"/>
                  </w14:solidFill>
                </w14:textFill>
              </w:rPr>
              <w:t>西</w:t>
            </w:r>
            <w:r>
              <w:rPr>
                <w:rFonts w:hint="default" w:ascii="Times New Roman" w:hAnsi="Times New Roman" w:cs="Times New Roman"/>
                <w:color w:val="000000" w:themeColor="text1"/>
                <w:highlight w:val="none"/>
                <w:lang w:val="en-US" w:eastAsia="zh-CN"/>
                <w14:textFill>
                  <w14:solidFill>
                    <w14:schemeClr w14:val="tx1"/>
                  </w14:solidFill>
                </w14:textFill>
              </w:rPr>
              <w:t>侧，定期进行清洁；厂区办公室和生活区位于厂区的</w:t>
            </w:r>
            <w:r>
              <w:rPr>
                <w:rFonts w:hint="eastAsia" w:ascii="Times New Roman" w:hAnsi="Times New Roman" w:cs="Times New Roman"/>
                <w:color w:val="000000" w:themeColor="text1"/>
                <w:highlight w:val="none"/>
                <w:lang w:val="en-US" w:eastAsia="zh-CN"/>
                <w14:textFill>
                  <w14:solidFill>
                    <w14:schemeClr w14:val="tx1"/>
                  </w14:solidFill>
                </w14:textFill>
              </w:rPr>
              <w:t>南</w:t>
            </w:r>
            <w:r>
              <w:rPr>
                <w:rFonts w:hint="default" w:ascii="Times New Roman" w:hAnsi="Times New Roman" w:cs="Times New Roman"/>
                <w:color w:val="000000" w:themeColor="text1"/>
                <w:highlight w:val="none"/>
                <w:lang w:val="en-US" w:eastAsia="zh-CN"/>
                <w14:textFill>
                  <w14:solidFill>
                    <w14:schemeClr w14:val="tx1"/>
                  </w14:solidFill>
                </w14:textFill>
              </w:rPr>
              <w:t>侧，与粮食储存区具备有效的隔离。建设单位对仓储建筑物进行了编排号码，配备必要的仓储设备，建立健全设备使用、保养、维修、报废等制度。本项目仓储建筑物的设计容量和要求储存粮油，执行《粮油储藏技术规范》</w:t>
            </w:r>
            <w:r>
              <w:rPr>
                <w:rFonts w:hint="default" w:ascii="Times New Roman" w:hAnsi="Times New Roman" w:eastAsia="宋体" w:cs="Times New Roman"/>
                <w:color w:val="000000" w:themeColor="text1"/>
                <w:highlight w:val="none"/>
                <w:lang w:val="en-US" w:eastAsia="zh-CN"/>
                <w14:textFill>
                  <w14:solidFill>
                    <w14:schemeClr w14:val="tx1"/>
                  </w14:solidFill>
                </w14:textFill>
              </w:rPr>
              <w:t>等技术标准，建立粮油仓储管理过程记录文件。</w:t>
            </w:r>
          </w:p>
          <w:p w14:paraId="596F4E9C">
            <w:pPr>
              <w:pStyle w:val="56"/>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eastAsia="宋体" w:cs="Times New Roman"/>
                <w:b/>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综上所述，本项目的建设与《粮油仓储管理办法》相符合。</w:t>
            </w:r>
          </w:p>
          <w:p w14:paraId="10A4C4D9">
            <w:pPr>
              <w:pStyle w:val="56"/>
              <w:keepNext w:val="0"/>
              <w:keepLines w:val="0"/>
              <w:numPr>
                <w:ilvl w:val="0"/>
                <w:numId w:val="0"/>
              </w:numPr>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Cs w:val="24"/>
                <w:highlight w:val="none"/>
                <w14:textFill>
                  <w14:solidFill>
                    <w14:schemeClr w14:val="tx1"/>
                  </w14:solidFill>
                </w14:textFill>
              </w:rPr>
            </w:pPr>
            <w:r>
              <w:rPr>
                <w:rFonts w:hint="eastAsia" w:cs="Times New Roman"/>
                <w:b/>
                <w:color w:val="000000" w:themeColor="text1"/>
                <w:szCs w:val="24"/>
                <w:highlight w:val="none"/>
                <w:lang w:val="en-US" w:eastAsia="zh-CN"/>
                <w14:textFill>
                  <w14:solidFill>
                    <w14:schemeClr w14:val="tx1"/>
                  </w14:solidFill>
                </w14:textFill>
              </w:rPr>
              <w:t>9</w:t>
            </w:r>
            <w:r>
              <w:rPr>
                <w:rFonts w:hint="default" w:ascii="Times New Roman" w:hAnsi="Times New Roman" w:eastAsia="宋体" w:cs="Times New Roman"/>
                <w:b/>
                <w:color w:val="000000" w:themeColor="text1"/>
                <w:szCs w:val="24"/>
                <w:highlight w:val="none"/>
                <w14:textFill>
                  <w14:solidFill>
                    <w14:schemeClr w14:val="tx1"/>
                  </w14:solidFill>
                </w14:textFill>
              </w:rPr>
              <w:t>、选址合理性分析</w:t>
            </w:r>
          </w:p>
          <w:p w14:paraId="4055DF3B">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Cs/>
                <w:color w:val="000000" w:themeColor="text1"/>
                <w:sz w:val="24"/>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4"/>
                <w:szCs w:val="21"/>
                <w:highlight w:val="none"/>
                <w14:textFill>
                  <w14:solidFill>
                    <w14:schemeClr w14:val="tx1"/>
                  </w14:solidFill>
                </w14:textFill>
              </w:rPr>
              <w:t>项目位</w:t>
            </w:r>
            <w:r>
              <w:rPr>
                <w:rFonts w:hint="default" w:ascii="Times New Roman" w:hAnsi="Times New Roman" w:eastAsia="宋体" w:cs="Times New Roman"/>
                <w:bCs/>
                <w:color w:val="000000" w:themeColor="text1"/>
                <w:sz w:val="24"/>
                <w:highlight w:val="none"/>
                <w14:textFill>
                  <w14:solidFill>
                    <w14:schemeClr w14:val="tx1"/>
                  </w14:solidFill>
                </w14:textFill>
              </w:rPr>
              <w:t>于</w:t>
            </w:r>
            <w:r>
              <w:rPr>
                <w:rFonts w:hint="default" w:ascii="Times New Roman" w:hAnsi="Times New Roman" w:eastAsia="宋体" w:cs="Times New Roman"/>
                <w:bCs/>
                <w:color w:val="000000" w:themeColor="text1"/>
                <w:sz w:val="24"/>
                <w:highlight w:val="none"/>
                <w:lang w:eastAsia="zh-CN"/>
                <w14:textFill>
                  <w14:solidFill>
                    <w14:schemeClr w14:val="tx1"/>
                  </w14:solidFill>
                </w14:textFill>
              </w:rPr>
              <w:t>黑龙江省鸡西市虎林市庆丰农场九队</w:t>
            </w:r>
            <w:r>
              <w:rPr>
                <w:rFonts w:hint="default" w:ascii="Times New Roman" w:hAnsi="Times New Roman" w:eastAsia="宋体" w:cs="Times New Roman"/>
                <w:color w:val="000000" w:themeColor="text1"/>
                <w:sz w:val="24"/>
                <w:highlight w:val="none"/>
                <w:lang w:eastAsia="zh-CN" w:bidi="ar"/>
                <w14:textFill>
                  <w14:solidFill>
                    <w14:schemeClr w14:val="tx1"/>
                  </w14:solidFill>
                </w14:textFill>
              </w:rPr>
              <w:t>，</w:t>
            </w:r>
            <w:r>
              <w:rPr>
                <w:rFonts w:hint="eastAsia" w:cs="Times New Roman"/>
                <w:color w:val="000000" w:themeColor="text1"/>
                <w:sz w:val="24"/>
                <w:szCs w:val="21"/>
                <w:highlight w:val="none"/>
                <w:lang w:val="en-US" w:eastAsia="zh-CN" w:bidi="ar"/>
                <w14:textFill>
                  <w14:solidFill>
                    <w14:schemeClr w14:val="tx1"/>
                  </w14:solidFill>
                </w14:textFill>
              </w:rPr>
              <w:t>本项目</w:t>
            </w:r>
            <w:r>
              <w:rPr>
                <w:rFonts w:hint="default" w:ascii="Times New Roman" w:hAnsi="Times New Roman" w:eastAsia="宋体" w:cs="Times New Roman"/>
                <w:color w:val="000000" w:themeColor="text1"/>
                <w:sz w:val="24"/>
                <w:highlight w:val="none"/>
                <w:lang w:val="en-US" w:eastAsia="zh-CN" w:bidi="ar"/>
                <w14:textFill>
                  <w14:solidFill>
                    <w14:schemeClr w14:val="tx1"/>
                  </w14:solidFill>
                </w14:textFill>
              </w:rPr>
              <w:t>利用现有闲置场地进行建设，不新增占地面积</w:t>
            </w:r>
            <w:r>
              <w:rPr>
                <w:rFonts w:hint="default" w:ascii="Times New Roman" w:hAnsi="Times New Roman" w:eastAsia="宋体" w:cs="Times New Roman"/>
                <w:color w:val="000000" w:themeColor="text1"/>
                <w:sz w:val="24"/>
                <w:highlight w:val="none"/>
                <w:lang w:eastAsia="zh-CN" w:bidi="ar"/>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企业厂区东</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侧</w:t>
            </w:r>
            <w:r>
              <w:rPr>
                <w:rFonts w:hint="eastAsia" w:cs="Times New Roman"/>
                <w:bCs/>
                <w:color w:val="000000" w:themeColor="text1"/>
                <w:sz w:val="24"/>
                <w:highlight w:val="none"/>
                <w:lang w:val="en-US" w:eastAsia="zh-CN"/>
                <w14:textFill>
                  <w14:solidFill>
                    <w14:schemeClr w14:val="tx1"/>
                  </w14:solidFill>
                </w14:textFill>
              </w:rPr>
              <w:t>、南侧、北侧</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为农田，</w:t>
            </w:r>
            <w:r>
              <w:rPr>
                <w:rFonts w:hint="eastAsia" w:cs="Times New Roman"/>
                <w:bCs/>
                <w:color w:val="000000" w:themeColor="text1"/>
                <w:sz w:val="24"/>
                <w:highlight w:val="none"/>
                <w:lang w:val="en-US" w:eastAsia="zh-CN"/>
                <w14:textFill>
                  <w14:solidFill>
                    <w14:schemeClr w14:val="tx1"/>
                  </w14:solidFill>
                </w14:textFill>
              </w:rPr>
              <w:t>西</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侧为牡丹江农垦德粮粮</w:t>
            </w:r>
            <w:r>
              <w:rPr>
                <w:rFonts w:hint="eastAsia" w:cs="Times New Roman"/>
                <w:bCs/>
                <w:color w:val="000000" w:themeColor="text1"/>
                <w:sz w:val="24"/>
                <w:highlight w:val="none"/>
                <w:lang w:val="en-US" w:eastAsia="zh-CN"/>
                <w14:textFill>
                  <w14:solidFill>
                    <w14:schemeClr w14:val="tx1"/>
                  </w14:solidFill>
                </w14:textFill>
              </w:rPr>
              <w:t>食</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经销公司。</w:t>
            </w:r>
            <w:r>
              <w:rPr>
                <w:rFonts w:hint="default" w:ascii="Times New Roman" w:hAnsi="Times New Roman" w:eastAsia="宋体" w:cs="Times New Roman"/>
                <w:bCs/>
                <w:color w:val="000000" w:themeColor="text1"/>
                <w:kern w:val="0"/>
                <w:sz w:val="24"/>
                <w:highlight w:val="none"/>
                <w14:textFill>
                  <w14:solidFill>
                    <w14:schemeClr w14:val="tx1"/>
                  </w14:solidFill>
                </w14:textFill>
              </w:rPr>
              <w:t>项目选址不属于风景名胜区、温泉疗养区、水产养殖区、基本农田保护区、自然保护区等需要特殊保护区域</w:t>
            </w:r>
            <w:r>
              <w:rPr>
                <w:rFonts w:hint="default" w:ascii="Times New Roman" w:hAnsi="Times New Roman" w:eastAsia="宋体" w:cs="Times New Roman"/>
                <w:bCs/>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14:textFill>
                  <w14:solidFill>
                    <w14:schemeClr w14:val="tx1"/>
                  </w14:solidFill>
                </w14:textFill>
              </w:rPr>
              <w:t>项目所在地具有方便的交通运输和水电条件，便于项目的生产</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和</w:t>
            </w:r>
            <w:r>
              <w:rPr>
                <w:rFonts w:hint="default" w:ascii="Times New Roman" w:hAnsi="Times New Roman" w:eastAsia="宋体" w:cs="Times New Roman"/>
                <w:bCs/>
                <w:color w:val="000000" w:themeColor="text1"/>
                <w:sz w:val="24"/>
                <w:highlight w:val="none"/>
                <w14:textFill>
                  <w14:solidFill>
                    <w14:schemeClr w14:val="tx1"/>
                  </w14:solidFill>
                </w14:textFill>
              </w:rPr>
              <w:t>运营。</w:t>
            </w:r>
          </w:p>
          <w:p w14:paraId="4A326D56">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Cs/>
                <w:color w:val="000000" w:themeColor="text1"/>
                <w:sz w:val="24"/>
                <w:highlight w:val="none"/>
                <w:lang w:eastAsia="zh-CN"/>
                <w14:textFill>
                  <w14:solidFill>
                    <w14:schemeClr w14:val="tx1"/>
                  </w14:solidFill>
                </w14:textFill>
              </w:rPr>
            </w:pP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项目无生产废水，生活污水排入防渗旱厕，定期清掏，外运堆肥。</w:t>
            </w:r>
            <w:r>
              <w:rPr>
                <w:rFonts w:hint="default" w:ascii="Times New Roman" w:hAnsi="Times New Roman" w:eastAsia="宋体" w:cs="Times New Roman"/>
                <w:bCs/>
                <w:color w:val="000000" w:themeColor="text1"/>
                <w:sz w:val="24"/>
                <w:highlight w:val="none"/>
                <w14:textFill>
                  <w14:solidFill>
                    <w14:schemeClr w14:val="tx1"/>
                  </w14:solidFill>
                </w14:textFill>
              </w:rPr>
              <w:t>项目</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运行期产生的污染物为废气、噪声和固体废物，</w:t>
            </w:r>
            <w:r>
              <w:rPr>
                <w:rFonts w:hint="default" w:ascii="Times New Roman" w:hAnsi="Times New Roman" w:eastAsia="宋体" w:cs="Times New Roman"/>
                <w:bCs/>
                <w:color w:val="000000" w:themeColor="text1"/>
                <w:sz w:val="24"/>
                <w:highlight w:val="none"/>
                <w14:textFill>
                  <w14:solidFill>
                    <w14:schemeClr w14:val="tx1"/>
                  </w14:solidFill>
                </w14:textFill>
              </w:rPr>
              <w:t>各污染物经</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采取报告提出的污染防治设施</w:t>
            </w:r>
            <w:r>
              <w:rPr>
                <w:rFonts w:hint="default" w:ascii="Times New Roman" w:hAnsi="Times New Roman" w:eastAsia="宋体" w:cs="Times New Roman"/>
                <w:bCs/>
                <w:color w:val="000000" w:themeColor="text1"/>
                <w:sz w:val="24"/>
                <w:highlight w:val="none"/>
                <w14:textFill>
                  <w14:solidFill>
                    <w14:schemeClr w14:val="tx1"/>
                  </w14:solidFill>
                </w14:textFill>
              </w:rPr>
              <w:t>处理后均可达标排放，不会对周围敏感目标及区域环境产生影响，项目</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的</w:t>
            </w:r>
            <w:r>
              <w:rPr>
                <w:rFonts w:hint="default" w:ascii="Times New Roman" w:hAnsi="Times New Roman" w:eastAsia="宋体" w:cs="Times New Roman"/>
                <w:bCs/>
                <w:color w:val="000000" w:themeColor="text1"/>
                <w:sz w:val="24"/>
                <w:highlight w:val="none"/>
                <w14:textFill>
                  <w14:solidFill>
                    <w14:schemeClr w14:val="tx1"/>
                  </w14:solidFill>
                </w14:textFill>
              </w:rPr>
              <w:t>建设不会使得环境功能发生改变</w:t>
            </w:r>
            <w:r>
              <w:rPr>
                <w:rFonts w:hint="default" w:ascii="Times New Roman" w:hAnsi="Times New Roman" w:eastAsia="宋体" w:cs="Times New Roman"/>
                <w:bCs/>
                <w:color w:val="000000" w:themeColor="text1"/>
                <w:sz w:val="24"/>
                <w:highlight w:val="none"/>
                <w:lang w:eastAsia="zh-CN"/>
                <w14:textFill>
                  <w14:solidFill>
                    <w14:schemeClr w14:val="tx1"/>
                  </w14:solidFill>
                </w14:textFill>
              </w:rPr>
              <w:t>。</w:t>
            </w:r>
          </w:p>
          <w:p w14:paraId="294162C4">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综上所述，本项目选址较为合理。</w:t>
            </w:r>
          </w:p>
          <w:p w14:paraId="66769B36">
            <w:pPr>
              <w:pStyle w:val="56"/>
              <w:keepNext w:val="0"/>
              <w:keepLines w:val="0"/>
              <w:numPr>
                <w:ilvl w:val="0"/>
                <w:numId w:val="0"/>
              </w:numPr>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Cs w:val="24"/>
                <w:highlight w:val="none"/>
                <w14:textFill>
                  <w14:solidFill>
                    <w14:schemeClr w14:val="tx1"/>
                  </w14:solidFill>
                </w14:textFill>
              </w:rPr>
            </w:pPr>
            <w:r>
              <w:rPr>
                <w:rFonts w:hint="eastAsia" w:ascii="Times New Roman" w:hAnsi="Times New Roman" w:eastAsia="宋体" w:cs="Times New Roman"/>
                <w:b/>
                <w:color w:val="000000" w:themeColor="text1"/>
                <w:szCs w:val="24"/>
                <w:highlight w:val="none"/>
                <w:lang w:val="en-US" w:eastAsia="zh-CN"/>
                <w14:textFill>
                  <w14:solidFill>
                    <w14:schemeClr w14:val="tx1"/>
                  </w14:solidFill>
                </w14:textFill>
              </w:rPr>
              <w:t>10</w:t>
            </w:r>
            <w:r>
              <w:rPr>
                <w:rFonts w:hint="default" w:ascii="Times New Roman" w:hAnsi="Times New Roman" w:eastAsia="宋体" w:cs="Times New Roman"/>
                <w:b/>
                <w:color w:val="000000" w:themeColor="text1"/>
                <w:szCs w:val="24"/>
                <w:highlight w:val="none"/>
                <w14:textFill>
                  <w14:solidFill>
                    <w14:schemeClr w14:val="tx1"/>
                  </w14:solidFill>
                </w14:textFill>
              </w:rPr>
              <w:t>、与《美丽中国建设 “十五五” 规划》（国发〔2026〕20 号）符合性分析</w:t>
            </w:r>
          </w:p>
          <w:p w14:paraId="7838FA2C">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Cs/>
                <w:color w:val="000000" w:themeColor="text1"/>
                <w:sz w:val="24"/>
                <w:highlight w:val="none"/>
                <w:lang w:eastAsia="zh-CN"/>
                <w14:textFill>
                  <w14:solidFill>
                    <w14:schemeClr w14:val="tx1"/>
                  </w14:solidFill>
                </w14:textFill>
              </w:rPr>
            </w:pP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规划坚持降碳、减污、扩绿、增长协同推进</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严控 “两高一低” 项目无序扩张</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严格落实产业准入、分区管控要求；严控煤炭消费总量</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大力推广生物质等可再生能源替代燃煤锅炉、工业炉窑</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提升非化石能源占比</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推进控煤降碳中华人民共...；深入打好蓝天、碧水、净土保卫战</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要求炉窑配套高效废气治理设施、物料全流程密闭抑尘；厂区堆场做好防渗硬化</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生产废水分类资源化处置；强化固废闭环管理</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推动农林固废、生物质灰渣资源化还田利用；严守生态保护红线</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优化产业布局</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兼顾粮食安全保障与农业绿色低碳发展...。同时要求严格执行产业政策</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淘汰落后工艺装备</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推动工农业节能改造</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统筹生态保护与乡村产业良性发展</w:t>
            </w:r>
            <w:r>
              <w:rPr>
                <w:rFonts w:hint="default" w:ascii="Times New Roman" w:hAnsi="Times New Roman" w:eastAsia="宋体" w:cs="Times New Roman"/>
                <w:bCs/>
                <w:color w:val="000000" w:themeColor="text1"/>
                <w:sz w:val="24"/>
                <w:highlight w:val="none"/>
                <w:lang w:eastAsia="zh-CN"/>
                <w14:textFill>
                  <w14:solidFill>
                    <w14:schemeClr w14:val="tx1"/>
                  </w14:solidFill>
                </w14:textFill>
              </w:rPr>
              <w:t>。</w:t>
            </w:r>
          </w:p>
          <w:p w14:paraId="3143935C">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本项目不属于高耗能、高排放、低水平的 “两高一低” 项目；配套1台</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600万大卡的</w:t>
            </w:r>
            <w:r>
              <w:rPr>
                <w:rFonts w:hint="default" w:ascii="Times New Roman" w:hAnsi="Times New Roman" w:eastAsia="宋体" w:cs="Times New Roman"/>
                <w:color w:val="000000" w:themeColor="text1"/>
                <w:sz w:val="24"/>
                <w:highlight w:val="none"/>
                <w14:textFill>
                  <w14:solidFill>
                    <w14:schemeClr w14:val="tx1"/>
                  </w14:solidFill>
                </w14:textFill>
              </w:rPr>
              <w:t>燃</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生物质热风炉</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全程使用生物质燃料</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不新增燃煤消耗</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落实规划控煤减煤、清洁能源替代相关部署</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助力提升非化石能源使用占比中国政府网。项目设备、工艺均符合《产业结构调整指导目录》</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无淘汰类装备</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满足产业绿色升级要求。项目热风炉配套</w:t>
            </w:r>
            <w:r>
              <w:rPr>
                <w:rFonts w:hint="default" w:ascii="Times New Roman" w:hAnsi="Times New Roman" w:cs="Times New Roman"/>
                <w:color w:val="000000" w:themeColor="text1"/>
                <w:sz w:val="24"/>
                <w:highlight w:val="none"/>
                <w:lang w:val="en-US" w:eastAsia="zh-CN"/>
                <w14:textFill>
                  <w14:solidFill>
                    <w14:schemeClr w14:val="tx1"/>
                  </w14:solidFill>
                </w14:textFill>
              </w:rPr>
              <w:t>布袋除尘器</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粮食转运、料仓全密闭管控扬尘</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匹配大气精细化治理要求；无生产工艺废水外排</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厂区全部硬化防渗</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选址避开生态红线、饮用水源保护区；生物质灰渣、粮食杂质全部资源化回用</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符合固废减量化、资源化要求。项目可减少粮食霉变损耗、保障粮食安全</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同步实现节能降碳、治污增效</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整体符合《美丽中国建设 “十五五” 规划》（国发〔2026〕20 号）全部管控要求。</w:t>
            </w:r>
          </w:p>
          <w:p w14:paraId="7631CB07">
            <w:pPr>
              <w:pStyle w:val="56"/>
              <w:keepNext w:val="0"/>
              <w:keepLines w:val="0"/>
              <w:numPr>
                <w:ilvl w:val="0"/>
                <w:numId w:val="0"/>
              </w:numPr>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Cs w:val="24"/>
                <w:highlight w:val="none"/>
                <w14:textFill>
                  <w14:solidFill>
                    <w14:schemeClr w14:val="tx1"/>
                  </w14:solidFill>
                </w14:textFill>
              </w:rPr>
            </w:pPr>
            <w:r>
              <w:rPr>
                <w:rFonts w:hint="default" w:ascii="Times New Roman" w:hAnsi="Times New Roman" w:eastAsia="宋体" w:cs="Times New Roman"/>
                <w:b/>
                <w:color w:val="000000" w:themeColor="text1"/>
                <w:szCs w:val="24"/>
                <w:highlight w:val="none"/>
                <w:lang w:val="en-US" w:eastAsia="zh-CN"/>
                <w14:textFill>
                  <w14:solidFill>
                    <w14:schemeClr w14:val="tx1"/>
                  </w14:solidFill>
                </w14:textFill>
              </w:rPr>
              <w:t>1</w:t>
            </w:r>
            <w:r>
              <w:rPr>
                <w:rFonts w:hint="eastAsia" w:ascii="Times New Roman" w:hAnsi="Times New Roman" w:eastAsia="宋体" w:cs="Times New Roman"/>
                <w:b/>
                <w:color w:val="000000" w:themeColor="text1"/>
                <w:szCs w:val="24"/>
                <w:highlight w:val="none"/>
                <w:lang w:val="en-US" w:eastAsia="zh-CN"/>
                <w14:textFill>
                  <w14:solidFill>
                    <w14:schemeClr w14:val="tx1"/>
                  </w14:solidFill>
                </w14:textFill>
              </w:rPr>
              <w:t>1</w:t>
            </w:r>
            <w:r>
              <w:rPr>
                <w:rFonts w:hint="default" w:ascii="Times New Roman" w:hAnsi="Times New Roman" w:eastAsia="宋体" w:cs="Times New Roman"/>
                <w:b/>
                <w:color w:val="000000" w:themeColor="text1"/>
                <w:szCs w:val="24"/>
                <w:highlight w:val="none"/>
                <w14:textFill>
                  <w14:solidFill>
                    <w14:schemeClr w14:val="tx1"/>
                  </w14:solidFill>
                </w14:textFill>
              </w:rPr>
              <w:t>、与《群众身边水体保护治理行动方案》（国办函〔2026〕65号）</w:t>
            </w:r>
            <w:r>
              <w:rPr>
                <w:rFonts w:hint="default" w:ascii="Times New Roman" w:hAnsi="Times New Roman" w:eastAsia="宋体" w:cs="Times New Roman"/>
                <w:b/>
                <w:color w:val="000000" w:themeColor="text1"/>
                <w:szCs w:val="24"/>
                <w:highlight w:val="none"/>
                <w:lang w:val="en-US" w:eastAsia="zh-CN"/>
                <w14:textFill>
                  <w14:solidFill>
                    <w14:schemeClr w14:val="tx1"/>
                  </w14:solidFill>
                </w14:textFill>
              </w:rPr>
              <w:t>分</w:t>
            </w:r>
            <w:r>
              <w:rPr>
                <w:rFonts w:hint="default" w:ascii="Times New Roman" w:hAnsi="Times New Roman" w:eastAsia="宋体" w:cs="Times New Roman"/>
                <w:b/>
                <w:color w:val="000000" w:themeColor="text1"/>
                <w:szCs w:val="24"/>
                <w:highlight w:val="none"/>
                <w14:textFill>
                  <w14:solidFill>
                    <w14:schemeClr w14:val="tx1"/>
                  </w14:solidFill>
                </w14:textFill>
              </w:rPr>
              <w:t>析</w:t>
            </w:r>
          </w:p>
          <w:p w14:paraId="3E7DEDD4">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Cs/>
                <w:color w:val="000000" w:themeColor="text1"/>
                <w:sz w:val="24"/>
                <w:highlight w:val="none"/>
                <w:lang w:eastAsia="zh-CN"/>
                <w14:textFill>
                  <w14:solidFill>
                    <w14:schemeClr w14:val="tx1"/>
                  </w14:solidFill>
                </w14:textFill>
              </w:rPr>
            </w:pP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该方案坚持环保为民、源头防控</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治理范围覆盖乡村、县域周边支流、坑塘沟渠等群众身边小微水体</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要求严控工业废水直排</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落实厂区防渗防淋溶措施</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防范生产废水、雨水径流污染地表水与地下水；统筹生活污水资源化处置</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杜绝污水入沟渠、坑塘；强化厂区涉水风险管控</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避免项目运营造成周边小微水体出现异色、异味、杂物堆积；要求涉农项目落实水环境长效管控</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不新增区域水体污染负荷</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保护乡村河湖、沟渠水环境质量</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严防生产物料随雨水冲刷污染周边水体</w:t>
            </w:r>
            <w:r>
              <w:rPr>
                <w:rFonts w:hint="default" w:ascii="Times New Roman" w:hAnsi="Times New Roman" w:eastAsia="宋体" w:cs="Times New Roman"/>
                <w:bCs/>
                <w:color w:val="000000" w:themeColor="text1"/>
                <w:sz w:val="24"/>
                <w:highlight w:val="none"/>
                <w:lang w:eastAsia="zh-CN"/>
                <w14:textFill>
                  <w14:solidFill>
                    <w14:schemeClr w14:val="tx1"/>
                  </w14:solidFill>
                </w14:textFill>
              </w:rPr>
              <w:t>。</w:t>
            </w:r>
          </w:p>
          <w:p w14:paraId="2A138DF3">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无新增人员</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无生活污水产生及排放</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无生产工艺废水产生及外排</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不存在生产废水排入周边沟渠、支流等群众身边水体的情况；厂区生产</w:t>
            </w:r>
            <w:r>
              <w:rPr>
                <w:rFonts w:hint="default" w:ascii="Times New Roman" w:hAnsi="Times New Roman" w:cs="Times New Roman"/>
                <w:color w:val="000000" w:themeColor="text1"/>
                <w:sz w:val="24"/>
                <w:highlight w:val="none"/>
                <w:lang w:val="en-US" w:eastAsia="zh-CN"/>
                <w14:textFill>
                  <w14:solidFill>
                    <w14:schemeClr w14:val="tx1"/>
                  </w14:solidFill>
                </w14:textFill>
              </w:rPr>
              <w:t>车间</w:t>
            </w:r>
            <w:r>
              <w:rPr>
                <w:rFonts w:hint="default" w:ascii="Times New Roman" w:hAnsi="Times New Roman" w:eastAsia="宋体" w:cs="Times New Roman"/>
                <w:color w:val="000000" w:themeColor="text1"/>
                <w:sz w:val="24"/>
                <w:highlight w:val="none"/>
                <w14:textFill>
                  <w14:solidFill>
                    <w14:schemeClr w14:val="tx1"/>
                  </w14:solidFill>
                </w14:textFill>
              </w:rPr>
              <w:t>、燃料</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间</w:t>
            </w:r>
            <w:r>
              <w:rPr>
                <w:rFonts w:hint="default" w:ascii="Times New Roman" w:hAnsi="Times New Roman" w:eastAsia="宋体" w:cs="Times New Roman"/>
                <w:color w:val="000000" w:themeColor="text1"/>
                <w:sz w:val="24"/>
                <w:highlight w:val="none"/>
                <w14:textFill>
                  <w14:solidFill>
                    <w14:schemeClr w14:val="tx1"/>
                  </w14:solidFill>
                </w14:textFill>
              </w:rPr>
              <w:t>、灰渣</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间等</w:t>
            </w:r>
            <w:r>
              <w:rPr>
                <w:rFonts w:hint="default" w:ascii="Times New Roman" w:hAnsi="Times New Roman" w:cs="Times New Roman"/>
                <w:color w:val="000000" w:themeColor="text1"/>
                <w:sz w:val="24"/>
                <w:highlight w:val="none"/>
                <w:lang w:val="en-US" w:eastAsia="zh-CN"/>
                <w14:textFill>
                  <w14:solidFill>
                    <w14:schemeClr w14:val="tx1"/>
                  </w14:solidFill>
                </w14:textFill>
              </w:rPr>
              <w:t>均为独立封闭空间，且地面</w:t>
            </w:r>
            <w:r>
              <w:rPr>
                <w:rFonts w:hint="default" w:ascii="Times New Roman" w:hAnsi="Times New Roman" w:eastAsia="宋体" w:cs="Times New Roman"/>
                <w:color w:val="000000" w:themeColor="text1"/>
                <w:sz w:val="24"/>
                <w:highlight w:val="none"/>
                <w14:textFill>
                  <w14:solidFill>
                    <w14:schemeClr w14:val="tx1"/>
                  </w14:solidFill>
                </w14:textFill>
              </w:rPr>
              <w:t>全部硬化防渗</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杜绝</w:t>
            </w:r>
            <w:r>
              <w:rPr>
                <w:rFonts w:hint="default" w:ascii="Times New Roman" w:hAnsi="Times New Roman" w:cs="Times New Roman"/>
                <w:color w:val="000000" w:themeColor="text1"/>
                <w:sz w:val="24"/>
                <w:highlight w:val="none"/>
                <w:lang w:val="en-US" w:eastAsia="zh-CN"/>
                <w14:textFill>
                  <w14:solidFill>
                    <w14:schemeClr w14:val="tx1"/>
                  </w14:solidFill>
                </w14:textFill>
              </w:rPr>
              <w:t>了</w:t>
            </w:r>
            <w:r>
              <w:rPr>
                <w:rFonts w:hint="default" w:ascii="Times New Roman" w:hAnsi="Times New Roman" w:eastAsia="宋体" w:cs="Times New Roman"/>
                <w:color w:val="000000" w:themeColor="text1"/>
                <w:sz w:val="24"/>
                <w:highlight w:val="none"/>
                <w14:textFill>
                  <w14:solidFill>
                    <w14:schemeClr w14:val="tx1"/>
                  </w14:solidFill>
                </w14:textFill>
              </w:rPr>
              <w:t>雨水冲刷物料形成淋溶废水渗入土壤、汇入周边小微水体</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选址远离村庄沟渠、乡村坑塘、支流等各类群众身边水体</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运营无新增水污染物入河风险</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不会造成周边水体发黑发臭、杂物堆积问题。项目全过程落实水环境源头防控要求</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满足小微水体保护、地下水及地表水协同管控要求</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符合《群众身边水体保护治理行动方案》（国办函〔2026〕65 号）管控要求。</w:t>
            </w:r>
          </w:p>
          <w:p w14:paraId="4E1B8EF8">
            <w:pPr>
              <w:pStyle w:val="56"/>
              <w:keepNext w:val="0"/>
              <w:keepLines w:val="0"/>
              <w:numPr>
                <w:ilvl w:val="0"/>
                <w:numId w:val="0"/>
              </w:numPr>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Cs w:val="24"/>
                <w:highlight w:val="none"/>
                <w14:textFill>
                  <w14:solidFill>
                    <w14:schemeClr w14:val="tx1"/>
                  </w14:solidFill>
                </w14:textFill>
              </w:rPr>
            </w:pPr>
            <w:r>
              <w:rPr>
                <w:rFonts w:hint="default" w:ascii="Times New Roman" w:hAnsi="Times New Roman" w:eastAsia="宋体" w:cs="Times New Roman"/>
                <w:b/>
                <w:color w:val="000000" w:themeColor="text1"/>
                <w:szCs w:val="24"/>
                <w:highlight w:val="none"/>
                <w:lang w:val="en-US" w:eastAsia="zh-CN"/>
                <w14:textFill>
                  <w14:solidFill>
                    <w14:schemeClr w14:val="tx1"/>
                  </w14:solidFill>
                </w14:textFill>
              </w:rPr>
              <w:t>1</w:t>
            </w:r>
            <w:r>
              <w:rPr>
                <w:rFonts w:hint="eastAsia" w:ascii="Times New Roman" w:hAnsi="Times New Roman" w:eastAsia="宋体" w:cs="Times New Roman"/>
                <w:b/>
                <w:color w:val="000000" w:themeColor="text1"/>
                <w:szCs w:val="24"/>
                <w:highlight w:val="none"/>
                <w:lang w:val="en-US" w:eastAsia="zh-CN"/>
                <w14:textFill>
                  <w14:solidFill>
                    <w14:schemeClr w14:val="tx1"/>
                  </w14:solidFill>
                </w14:textFill>
              </w:rPr>
              <w:t>2</w:t>
            </w:r>
            <w:r>
              <w:rPr>
                <w:rFonts w:hint="default" w:ascii="Times New Roman" w:hAnsi="Times New Roman" w:eastAsia="宋体" w:cs="Times New Roman"/>
                <w:b/>
                <w:color w:val="000000" w:themeColor="text1"/>
                <w:szCs w:val="24"/>
                <w:highlight w:val="none"/>
                <w14:textFill>
                  <w14:solidFill>
                    <w14:schemeClr w14:val="tx1"/>
                  </w14:solidFill>
                </w14:textFill>
              </w:rPr>
              <w:t>、与《土壤、地下水和农业农村生态环境保护“十五五”规划》</w:t>
            </w:r>
            <w:r>
              <w:rPr>
                <w:rFonts w:hint="default" w:ascii="Times New Roman" w:hAnsi="Times New Roman" w:eastAsia="宋体" w:cs="Times New Roman"/>
                <w:b/>
                <w:color w:val="000000" w:themeColor="text1"/>
                <w:szCs w:val="24"/>
                <w:highlight w:val="none"/>
                <w:lang w:val="en-US" w:eastAsia="zh-CN"/>
                <w14:textFill>
                  <w14:solidFill>
                    <w14:schemeClr w14:val="tx1"/>
                  </w14:solidFill>
                </w14:textFill>
              </w:rPr>
              <w:t>分</w:t>
            </w:r>
            <w:r>
              <w:rPr>
                <w:rFonts w:hint="default" w:ascii="Times New Roman" w:hAnsi="Times New Roman" w:eastAsia="宋体" w:cs="Times New Roman"/>
                <w:b/>
                <w:color w:val="000000" w:themeColor="text1"/>
                <w:szCs w:val="24"/>
                <w:highlight w:val="none"/>
                <w14:textFill>
                  <w14:solidFill>
                    <w14:schemeClr w14:val="tx1"/>
                  </w14:solidFill>
                </w14:textFill>
              </w:rPr>
              <w:t>析</w:t>
            </w:r>
          </w:p>
          <w:p w14:paraId="052510CF">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Cs/>
                <w:color w:val="000000" w:themeColor="text1"/>
                <w:sz w:val="24"/>
                <w:highlight w:val="none"/>
                <w:lang w:eastAsia="zh-CN"/>
                <w14:textFill>
                  <w14:solidFill>
                    <w14:schemeClr w14:val="tx1"/>
                  </w14:solidFill>
                </w14:textFill>
              </w:rPr>
            </w:pP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规划要求坚持源头管控</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防范生产活动造成土壤、地下水污染；物料堆放区、固废存放区需做好防渗硬化</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完善雨水截流设施</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避免淋溶污染物下渗；规范固体废物管理</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支持农林废弃物资源化农用；涉农项目避让地下水饮用水水源补给区等环境敏感区域</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生活污水不得随意漫渗</w:t>
            </w:r>
            <w:r>
              <w:rPr>
                <w:rFonts w:hint="default" w:ascii="Times New Roman" w:hAnsi="Times New Roman" w:cs="Times New Roman"/>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兼顾农业生产保障与农村生态安全</w:t>
            </w:r>
            <w:r>
              <w:rPr>
                <w:rFonts w:hint="default" w:ascii="Times New Roman" w:hAnsi="Times New Roman" w:eastAsia="宋体" w:cs="Times New Roman"/>
                <w:bCs/>
                <w:color w:val="000000" w:themeColor="text1"/>
                <w:sz w:val="24"/>
                <w:highlight w:val="none"/>
                <w:lang w:eastAsia="zh-CN"/>
                <w14:textFill>
                  <w14:solidFill>
                    <w14:schemeClr w14:val="tx1"/>
                  </w14:solidFill>
                </w14:textFill>
              </w:rPr>
              <w:t>。</w:t>
            </w:r>
          </w:p>
          <w:p w14:paraId="5FD86FA4">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项目无新增人员</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无生活污水产生及排放</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无生产工艺废水排放</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厂区生产</w:t>
            </w:r>
            <w:r>
              <w:rPr>
                <w:rFonts w:hint="default" w:ascii="Times New Roman" w:hAnsi="Times New Roman" w:cs="Times New Roman"/>
                <w:color w:val="000000" w:themeColor="text1"/>
                <w:sz w:val="24"/>
                <w:highlight w:val="none"/>
                <w:lang w:val="en-US" w:eastAsia="zh-CN"/>
                <w14:textFill>
                  <w14:solidFill>
                    <w14:schemeClr w14:val="tx1"/>
                  </w14:solidFill>
                </w14:textFill>
              </w:rPr>
              <w:t>车间</w:t>
            </w:r>
            <w:r>
              <w:rPr>
                <w:rFonts w:hint="default" w:ascii="Times New Roman" w:hAnsi="Times New Roman" w:eastAsia="宋体" w:cs="Times New Roman"/>
                <w:color w:val="000000" w:themeColor="text1"/>
                <w:sz w:val="24"/>
                <w:highlight w:val="none"/>
                <w14:textFill>
                  <w14:solidFill>
                    <w14:schemeClr w14:val="tx1"/>
                  </w14:solidFill>
                </w14:textFill>
              </w:rPr>
              <w:t>、燃料</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间</w:t>
            </w:r>
            <w:r>
              <w:rPr>
                <w:rFonts w:hint="default" w:ascii="Times New Roman" w:hAnsi="Times New Roman" w:eastAsia="宋体" w:cs="Times New Roman"/>
                <w:color w:val="000000" w:themeColor="text1"/>
                <w:sz w:val="24"/>
                <w:highlight w:val="none"/>
                <w14:textFill>
                  <w14:solidFill>
                    <w14:schemeClr w14:val="tx1"/>
                  </w14:solidFill>
                </w14:textFill>
              </w:rPr>
              <w:t>、灰渣</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间等</w:t>
            </w:r>
            <w:r>
              <w:rPr>
                <w:rFonts w:hint="default" w:ascii="Times New Roman" w:hAnsi="Times New Roman" w:cs="Times New Roman"/>
                <w:color w:val="000000" w:themeColor="text1"/>
                <w:sz w:val="24"/>
                <w:highlight w:val="none"/>
                <w:lang w:val="en-US" w:eastAsia="zh-CN"/>
                <w14:textFill>
                  <w14:solidFill>
                    <w14:schemeClr w14:val="tx1"/>
                  </w14:solidFill>
                </w14:textFill>
              </w:rPr>
              <w:t>均为独立封闭空间，且地面</w:t>
            </w:r>
            <w:r>
              <w:rPr>
                <w:rFonts w:hint="default" w:ascii="Times New Roman" w:hAnsi="Times New Roman" w:eastAsia="宋体" w:cs="Times New Roman"/>
                <w:color w:val="000000" w:themeColor="text1"/>
                <w:sz w:val="24"/>
                <w:highlight w:val="none"/>
                <w14:textFill>
                  <w14:solidFill>
                    <w14:schemeClr w14:val="tx1"/>
                  </w14:solidFill>
                </w14:textFill>
              </w:rPr>
              <w:t>全部硬化防渗</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可有效防控雨水冲刷淋溶带来的土壤、地下水污染隐患。项目产生的生物质灰渣、粮食分选杂物</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集中收集后外售</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实现资源化还田</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固废合规管控。项目选址避开地下水敏感区</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未破坏周边农用地生态</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满足土壤地下水风险防控及农村生态保护要求</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符合《土壤、地下水和农业农村生态环境保护 “十五五” 规划》相关规定。</w:t>
            </w:r>
          </w:p>
          <w:p w14:paraId="21A8011B">
            <w:pPr>
              <w:pStyle w:val="56"/>
              <w:keepNext w:val="0"/>
              <w:keepLines w:val="0"/>
              <w:numPr>
                <w:ilvl w:val="0"/>
                <w:numId w:val="0"/>
              </w:numPr>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Cs w:val="24"/>
                <w:highlight w:val="none"/>
                <w14:textFill>
                  <w14:solidFill>
                    <w14:schemeClr w14:val="tx1"/>
                  </w14:solidFill>
                </w14:textFill>
              </w:rPr>
            </w:pPr>
            <w:r>
              <w:rPr>
                <w:rFonts w:hint="default" w:ascii="Times New Roman" w:hAnsi="Times New Roman" w:eastAsia="宋体" w:cs="Times New Roman"/>
                <w:b/>
                <w:color w:val="000000" w:themeColor="text1"/>
                <w:szCs w:val="24"/>
                <w:highlight w:val="none"/>
                <w:lang w:val="en-US" w:eastAsia="zh-CN"/>
                <w14:textFill>
                  <w14:solidFill>
                    <w14:schemeClr w14:val="tx1"/>
                  </w14:solidFill>
                </w14:textFill>
              </w:rPr>
              <w:t>1</w:t>
            </w:r>
            <w:r>
              <w:rPr>
                <w:rFonts w:hint="eastAsia" w:ascii="Times New Roman" w:hAnsi="Times New Roman" w:eastAsia="宋体" w:cs="Times New Roman"/>
                <w:b/>
                <w:color w:val="000000" w:themeColor="text1"/>
                <w:szCs w:val="24"/>
                <w:highlight w:val="none"/>
                <w:lang w:val="en-US" w:eastAsia="zh-CN"/>
                <w14:textFill>
                  <w14:solidFill>
                    <w14:schemeClr w14:val="tx1"/>
                  </w14:solidFill>
                </w14:textFill>
              </w:rPr>
              <w:t>3</w:t>
            </w:r>
            <w:r>
              <w:rPr>
                <w:rFonts w:hint="default" w:ascii="Times New Roman" w:hAnsi="Times New Roman" w:eastAsia="宋体" w:cs="Times New Roman"/>
                <w:b/>
                <w:color w:val="000000" w:themeColor="text1"/>
                <w:szCs w:val="24"/>
                <w:highlight w:val="none"/>
                <w14:textFill>
                  <w14:solidFill>
                    <w14:schemeClr w14:val="tx1"/>
                  </w14:solidFill>
                </w14:textFill>
              </w:rPr>
              <w:t>、与《固体废物污染防治“十五五”规划》</w:t>
            </w:r>
            <w:r>
              <w:rPr>
                <w:rFonts w:hint="default" w:ascii="Times New Roman" w:hAnsi="Times New Roman" w:eastAsia="宋体" w:cs="Times New Roman"/>
                <w:b/>
                <w:color w:val="000000" w:themeColor="text1"/>
                <w:szCs w:val="24"/>
                <w:highlight w:val="none"/>
                <w:lang w:val="en-US" w:eastAsia="zh-CN"/>
                <w14:textFill>
                  <w14:solidFill>
                    <w14:schemeClr w14:val="tx1"/>
                  </w14:solidFill>
                </w14:textFill>
              </w:rPr>
              <w:t>分</w:t>
            </w:r>
            <w:r>
              <w:rPr>
                <w:rFonts w:hint="default" w:ascii="Times New Roman" w:hAnsi="Times New Roman" w:eastAsia="宋体" w:cs="Times New Roman"/>
                <w:b/>
                <w:color w:val="000000" w:themeColor="text1"/>
                <w:szCs w:val="24"/>
                <w:highlight w:val="none"/>
                <w14:textFill>
                  <w14:solidFill>
                    <w14:schemeClr w14:val="tx1"/>
                  </w14:solidFill>
                </w14:textFill>
              </w:rPr>
              <w:t>析</w:t>
            </w:r>
          </w:p>
          <w:p w14:paraId="71316B29">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Cs/>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该规划要求压实固体废物全过程管控</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落实减量化、资源化、无害化原则</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规范一般工业固体废物贮存、堆放</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严禁露天随意堆放、倾倒；大力推进农林类固体废物资源化综合利用</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鼓励生物质灰渣、农业杂物还田利用；完善固废分类收集、台账管理体系</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严控固体废物次生环境污染</w:t>
            </w:r>
            <w:r>
              <w:rPr>
                <w:rFonts w:hint="default" w:ascii="Times New Roman" w:hAnsi="Times New Roman" w:eastAsia="宋体" w:cs="Times New Roman"/>
                <w:bCs/>
                <w:color w:val="000000" w:themeColor="text1"/>
                <w:sz w:val="24"/>
                <w:highlight w:val="none"/>
                <w:lang w:eastAsia="zh-CN"/>
                <w14:textFill>
                  <w14:solidFill>
                    <w14:schemeClr w14:val="tx1"/>
                  </w14:solidFill>
                </w14:textFill>
              </w:rPr>
              <w:t>。</w:t>
            </w:r>
          </w:p>
          <w:p w14:paraId="32E00A2E">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项目</w:t>
            </w:r>
            <w:r>
              <w:rPr>
                <w:rFonts w:hint="default" w:ascii="Times New Roman" w:hAnsi="Times New Roman" w:eastAsia="宋体" w:cs="Times New Roman"/>
                <w:color w:val="000000" w:themeColor="text1"/>
                <w:sz w:val="24"/>
                <w:highlight w:val="none"/>
                <w14:textFill>
                  <w14:solidFill>
                    <w14:schemeClr w14:val="tx1"/>
                  </w14:solidFill>
                </w14:textFill>
              </w:rPr>
              <w:t>运营产生的生活垃圾集中收集后，交由环卫部门统一清运处理</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杂质</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热风炉除尘系统收尘、筛分</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粉尘</w:t>
            </w:r>
            <w:r>
              <w:rPr>
                <w:rFonts w:hint="default" w:ascii="Times New Roman" w:hAnsi="Times New Roman" w:eastAsia="宋体" w:cs="Times New Roman"/>
                <w:color w:val="000000" w:themeColor="text1"/>
                <w:sz w:val="24"/>
                <w:highlight w:val="none"/>
                <w14:textFill>
                  <w14:solidFill>
                    <w14:schemeClr w14:val="tx1"/>
                  </w14:solidFill>
                </w14:textFill>
              </w:rPr>
              <w:t>、烘干塔除尘系统收尘、热风炉灰渣装袋后统一收集暂存于灰渣间中</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定期外售综合利用。废布袋集中收集后</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由厂家定期回收。维修保养时产生的废润滑油及废润滑油油桶</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含油抹布抹布和手套</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集中收集定期交由有资质的单位处理</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所有固废均做到分类收纳、去向可追溯</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无露天堆放、乱抛乱弃现象。项目固废管理符合全过程闭环管控要求</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契合农林固废资源化利用导向</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符合《固体废物污染防治 “十五五” 规划》相关要求。</w:t>
            </w:r>
          </w:p>
          <w:p w14:paraId="4773805D">
            <w:pPr>
              <w:pStyle w:val="56"/>
              <w:keepNext w:val="0"/>
              <w:keepLines w:val="0"/>
              <w:numPr>
                <w:ilvl w:val="0"/>
                <w:numId w:val="0"/>
              </w:numPr>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Cs w:val="24"/>
                <w:highlight w:val="none"/>
                <w14:textFill>
                  <w14:solidFill>
                    <w14:schemeClr w14:val="tx1"/>
                  </w14:solidFill>
                </w14:textFill>
              </w:rPr>
            </w:pPr>
            <w:r>
              <w:rPr>
                <w:rFonts w:hint="default" w:ascii="Times New Roman" w:hAnsi="Times New Roman" w:eastAsia="宋体" w:cs="Times New Roman"/>
                <w:b/>
                <w:color w:val="000000" w:themeColor="text1"/>
                <w:szCs w:val="24"/>
                <w:highlight w:val="none"/>
                <w:lang w:val="en-US" w:eastAsia="zh-CN"/>
                <w14:textFill>
                  <w14:solidFill>
                    <w14:schemeClr w14:val="tx1"/>
                  </w14:solidFill>
                </w14:textFill>
              </w:rPr>
              <w:t>1</w:t>
            </w:r>
            <w:r>
              <w:rPr>
                <w:rFonts w:hint="eastAsia" w:ascii="Times New Roman" w:hAnsi="Times New Roman" w:eastAsia="宋体" w:cs="Times New Roman"/>
                <w:b/>
                <w:color w:val="000000" w:themeColor="text1"/>
                <w:szCs w:val="24"/>
                <w:highlight w:val="none"/>
                <w:lang w:val="en-US" w:eastAsia="zh-CN"/>
                <w14:textFill>
                  <w14:solidFill>
                    <w14:schemeClr w14:val="tx1"/>
                  </w14:solidFill>
                </w14:textFill>
              </w:rPr>
              <w:t>4</w:t>
            </w:r>
            <w:r>
              <w:rPr>
                <w:rFonts w:hint="default" w:ascii="Times New Roman" w:hAnsi="Times New Roman" w:eastAsia="宋体" w:cs="Times New Roman"/>
                <w:b/>
                <w:color w:val="000000" w:themeColor="text1"/>
                <w:szCs w:val="24"/>
                <w:highlight w:val="none"/>
                <w14:textFill>
                  <w14:solidFill>
                    <w14:schemeClr w14:val="tx1"/>
                  </w14:solidFill>
                </w14:textFill>
              </w:rPr>
              <w:t>、与《“十五五” 碳达峰行动方案》</w:t>
            </w:r>
            <w:r>
              <w:rPr>
                <w:rFonts w:hint="default" w:ascii="Times New Roman" w:hAnsi="Times New Roman" w:eastAsia="宋体" w:cs="Times New Roman"/>
                <w:b/>
                <w:color w:val="000000" w:themeColor="text1"/>
                <w:szCs w:val="24"/>
                <w:highlight w:val="none"/>
                <w:lang w:val="en-US" w:eastAsia="zh-CN"/>
                <w14:textFill>
                  <w14:solidFill>
                    <w14:schemeClr w14:val="tx1"/>
                  </w14:solidFill>
                </w14:textFill>
              </w:rPr>
              <w:t>分</w:t>
            </w:r>
            <w:r>
              <w:rPr>
                <w:rFonts w:hint="default" w:ascii="Times New Roman" w:hAnsi="Times New Roman" w:eastAsia="宋体" w:cs="Times New Roman"/>
                <w:b/>
                <w:color w:val="000000" w:themeColor="text1"/>
                <w:szCs w:val="24"/>
                <w:highlight w:val="none"/>
                <w14:textFill>
                  <w14:solidFill>
                    <w14:schemeClr w14:val="tx1"/>
                  </w14:solidFill>
                </w14:textFill>
              </w:rPr>
              <w:t>析</w:t>
            </w:r>
          </w:p>
          <w:p w14:paraId="71111396">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Cs/>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该方案严控煤炭消费增量</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持续推进燃煤设施清洁化替代</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鼓励农林生物质等可再生能源规模化应用；引导涉农基础设施节能改造</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提升能源利用效率</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降低碳排放强度；坚持减污与降碳协同</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依托清洁能源替换实现污染物与碳排放同步削减</w:t>
            </w:r>
            <w:r>
              <w:rPr>
                <w:rFonts w:hint="default" w:ascii="Times New Roman" w:hAnsi="Times New Roman" w:eastAsia="宋体" w:cs="Times New Roman"/>
                <w:bCs/>
                <w:color w:val="000000" w:themeColor="text1"/>
                <w:sz w:val="24"/>
                <w:highlight w:val="none"/>
                <w:lang w:eastAsia="zh-CN"/>
                <w14:textFill>
                  <w14:solidFill>
                    <w14:schemeClr w14:val="tx1"/>
                  </w14:solidFill>
                </w14:textFill>
              </w:rPr>
              <w:t>。</w:t>
            </w:r>
          </w:p>
          <w:p w14:paraId="2E17E8BC">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本项目建设1台</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600万大卡的生物质热风炉</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使用生物质</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成型</w:t>
            </w:r>
            <w:r>
              <w:rPr>
                <w:rFonts w:hint="default" w:ascii="Times New Roman" w:hAnsi="Times New Roman" w:eastAsia="宋体" w:cs="Times New Roman"/>
                <w:color w:val="000000" w:themeColor="text1"/>
                <w:sz w:val="24"/>
                <w:highlight w:val="none"/>
                <w14:textFill>
                  <w14:solidFill>
                    <w14:schemeClr w14:val="tx1"/>
                  </w14:solidFill>
                </w14:textFill>
              </w:rPr>
              <w:t>燃料</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不新增煤炭消耗量。烘干设备配套保温、余热利用节能设施</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降低烘干工序能源消耗</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减少碳排放。项目依托可再生能源实现温室气体减排</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同步削减大气污染物</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做到降碳减污协同增效</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符合《“十五五” 碳达峰行动方案》相关管控要求。</w:t>
            </w:r>
          </w:p>
          <w:p w14:paraId="2C5067EA">
            <w:pPr>
              <w:pStyle w:val="4"/>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p w14:paraId="197BAB6A">
            <w:pPr>
              <w:pStyle w:val="4"/>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p w14:paraId="675A26B9">
            <w:pPr>
              <w:pStyle w:val="34"/>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000000" w:themeColor="text1"/>
                <w:highlight w:val="none"/>
                <w14:textFill>
                  <w14:solidFill>
                    <w14:schemeClr w14:val="tx1"/>
                  </w14:solidFill>
                </w14:textFill>
              </w:rPr>
            </w:pPr>
          </w:p>
          <w:p w14:paraId="26CE4D55">
            <w:pPr>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p w14:paraId="50D422F2">
            <w:pPr>
              <w:pStyle w:val="4"/>
              <w:keepLines w:val="0"/>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p w14:paraId="69BD91B5">
            <w:pPr>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p w14:paraId="1FA86EB3">
            <w:pPr>
              <w:pStyle w:val="4"/>
              <w:keepLines w:val="0"/>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p w14:paraId="17A4AADA">
            <w:pPr>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highlight w:val="none"/>
                <w14:textFill>
                  <w14:solidFill>
                    <w14:schemeClr w14:val="tx1"/>
                  </w14:solidFill>
                </w14:textFill>
              </w:rPr>
            </w:pPr>
          </w:p>
          <w:p w14:paraId="25033EE5">
            <w:pPr>
              <w:pStyle w:val="4"/>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r>
    </w:tbl>
    <w:p w14:paraId="10B6FDEE">
      <w:pPr>
        <w:spacing w:line="360" w:lineRule="auto"/>
        <w:outlineLvl w:val="9"/>
        <w:rPr>
          <w:rFonts w:hint="default" w:ascii="Times New Roman" w:hAnsi="Times New Roman" w:eastAsia="宋体" w:cs="Times New Roman"/>
          <w:color w:val="000000" w:themeColor="text1"/>
          <w:sz w:val="30"/>
          <w:highlight w:val="none"/>
          <w14:textFill>
            <w14:solidFill>
              <w14:schemeClr w14:val="tx1"/>
            </w14:solidFill>
          </w14:textFill>
        </w:rPr>
        <w:sectPr>
          <w:footerReference r:id="rId7"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6852A083">
      <w:pPr>
        <w:pStyle w:val="29"/>
        <w:jc w:val="center"/>
        <w:outlineLvl w:val="0"/>
        <w:rPr>
          <w:rFonts w:hint="default" w:ascii="Times New Roman" w:hAnsi="Times New Roman" w:eastAsia="宋体" w:cs="Times New Roman"/>
          <w:snapToGrid w:val="0"/>
          <w:color w:val="000000" w:themeColor="text1"/>
          <w:sz w:val="30"/>
          <w:szCs w:val="30"/>
          <w:highlight w:val="none"/>
          <w14:textFill>
            <w14:solidFill>
              <w14:schemeClr w14:val="tx1"/>
            </w14:solidFill>
          </w14:textFill>
        </w:rPr>
      </w:pPr>
      <w:bookmarkStart w:id="5" w:name="_Toc28537"/>
      <w:bookmarkStart w:id="6" w:name="_Toc11698"/>
      <w:r>
        <w:rPr>
          <w:rFonts w:hint="default" w:ascii="Times New Roman" w:hAnsi="Times New Roman" w:eastAsia="宋体" w:cs="Times New Roman"/>
          <w:snapToGrid w:val="0"/>
          <w:color w:val="000000" w:themeColor="text1"/>
          <w:sz w:val="30"/>
          <w:szCs w:val="30"/>
          <w:highlight w:val="none"/>
          <w14:textFill>
            <w14:solidFill>
              <w14:schemeClr w14:val="tx1"/>
            </w14:solidFill>
          </w14:textFill>
        </w:rPr>
        <w:t>二、建设项目工程分析</w:t>
      </w:r>
      <w:bookmarkEnd w:id="5"/>
      <w:bookmarkEnd w:id="6"/>
    </w:p>
    <w:tbl>
      <w:tblPr>
        <w:tblStyle w:val="35"/>
        <w:tblW w:w="89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14:paraId="2B8A7F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64" w:hRule="atLeast"/>
          <w:jc w:val="center"/>
        </w:trPr>
        <w:tc>
          <w:tcPr>
            <w:tcW w:w="823" w:type="dxa"/>
            <w:vAlign w:val="center"/>
          </w:tcPr>
          <w:p w14:paraId="6E7EDBD0">
            <w:pPr>
              <w:pStyle w:val="29"/>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建设内容</w:t>
            </w:r>
          </w:p>
        </w:tc>
        <w:tc>
          <w:tcPr>
            <w:tcW w:w="8161" w:type="dxa"/>
            <w:vAlign w:val="top"/>
          </w:tcPr>
          <w:p w14:paraId="75EA5C07">
            <w:pPr>
              <w:keepNext w:val="0"/>
              <w:keepLines w:val="0"/>
              <w:suppressLineNumbers w:val="0"/>
              <w:tabs>
                <w:tab w:val="left" w:pos="6480"/>
              </w:tabs>
              <w:spacing w:before="0" w:beforeAutospacing="0" w:after="0" w:afterAutospacing="0" w:line="360" w:lineRule="auto"/>
              <w:ind w:left="0" w:right="0" w:firstLine="482"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b/>
                <w:bCs/>
                <w:color w:val="000000" w:themeColor="text1"/>
                <w:sz w:val="24"/>
                <w:highlight w:val="none"/>
                <w:lang w:eastAsia="zh-CN"/>
                <w14:textFill>
                  <w14:solidFill>
                    <w14:schemeClr w14:val="tx1"/>
                  </w14:solidFill>
                </w14:textFill>
              </w:rPr>
              <w:t>一</w:t>
            </w:r>
            <w:r>
              <w:rPr>
                <w:rFonts w:hint="default" w:ascii="Times New Roman" w:hAnsi="Times New Roman" w:eastAsia="宋体" w:cs="Times New Roman"/>
                <w:b/>
                <w:bCs/>
                <w:color w:val="000000" w:themeColor="text1"/>
                <w:sz w:val="24"/>
                <w:highlight w:val="none"/>
                <w14:textFill>
                  <w14:solidFill>
                    <w14:schemeClr w14:val="tx1"/>
                  </w14:solidFill>
                </w14:textFill>
              </w:rPr>
              <w:t>、工程内容</w:t>
            </w:r>
          </w:p>
          <w:p w14:paraId="7EC0C629">
            <w:pPr>
              <w:keepNext w:val="0"/>
              <w:keepLines w:val="0"/>
              <w:suppressLineNumbers w:val="0"/>
              <w:tabs>
                <w:tab w:val="left" w:pos="6480"/>
              </w:tabs>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iCs w:val="0"/>
                <w:color w:val="000000" w:themeColor="text1"/>
                <w:kern w:val="2"/>
                <w:sz w:val="24"/>
                <w:szCs w:val="24"/>
                <w:highlight w:val="none"/>
                <w:lang w:val="en-US" w:eastAsia="zh-CN" w:bidi="ar-SA"/>
                <w14:textFill>
                  <w14:solidFill>
                    <w14:schemeClr w14:val="tx1"/>
                  </w14:solidFill>
                </w14:textFill>
              </w:rPr>
              <w:t>项目位于黑龙江省鸡西市虎林市庆丰农场九队，企业占地面积为16354.70m</w:t>
            </w:r>
            <w:r>
              <w:rPr>
                <w:rFonts w:hint="default" w:ascii="Times New Roman" w:hAnsi="Times New Roman" w:eastAsia="宋体" w:cs="Times New Roman"/>
                <w:iCs w:val="0"/>
                <w:color w:val="000000" w:themeColor="text1"/>
                <w:kern w:val="2"/>
                <w:sz w:val="24"/>
                <w:szCs w:val="24"/>
                <w:highlight w:val="none"/>
                <w:vertAlign w:val="superscript"/>
                <w:lang w:val="en-US" w:eastAsia="zh-CN" w:bidi="ar-SA"/>
                <w14:textFill>
                  <w14:solidFill>
                    <w14:schemeClr w14:val="tx1"/>
                  </w14:solidFill>
                </w14:textFill>
              </w:rPr>
              <w:t>2</w:t>
            </w:r>
            <w:r>
              <w:rPr>
                <w:rFonts w:hint="default" w:ascii="Times New Roman" w:hAnsi="Times New Roman" w:eastAsia="宋体" w:cs="Times New Roman"/>
                <w:iCs w:val="0"/>
                <w:color w:val="000000" w:themeColor="text1"/>
                <w:kern w:val="2"/>
                <w:sz w:val="24"/>
                <w:szCs w:val="24"/>
                <w:highlight w:val="none"/>
                <w:lang w:val="en-US" w:eastAsia="zh-CN" w:bidi="ar-SA"/>
                <w14:textFill>
                  <w14:solidFill>
                    <w14:schemeClr w14:val="tx1"/>
                  </w14:solidFill>
                </w14:textFill>
              </w:rPr>
              <w:t>，用地性质</w:t>
            </w:r>
            <w:r>
              <w:rPr>
                <w:rFonts w:hint="default" w:ascii="Times New Roman" w:hAnsi="Times New Roman" w:eastAsia="宋体" w:cs="Times New Roman"/>
                <w:color w:val="000000" w:themeColor="text1"/>
                <w:sz w:val="24"/>
                <w:szCs w:val="21"/>
                <w:highlight w:val="none"/>
                <w:lang w:bidi="ar"/>
                <w14:textFill>
                  <w14:solidFill>
                    <w14:schemeClr w14:val="tx1"/>
                  </w14:solidFill>
                </w14:textFill>
              </w:rPr>
              <w:t>为</w:t>
            </w:r>
            <w:r>
              <w:rPr>
                <w:rFonts w:hint="eastAsia" w:ascii="Times New Roman" w:hAnsi="Times New Roman" w:eastAsia="宋体" w:cs="Times New Roman"/>
                <w:color w:val="000000" w:themeColor="text1"/>
                <w:sz w:val="24"/>
                <w:szCs w:val="21"/>
                <w:highlight w:val="none"/>
                <w:lang w:val="en-US" w:eastAsia="zh-CN" w:bidi="ar"/>
                <w14:textFill>
                  <w14:solidFill>
                    <w14:schemeClr w14:val="tx1"/>
                  </w14:solidFill>
                </w14:textFill>
              </w:rPr>
              <w:t>工业</w:t>
            </w:r>
            <w:r>
              <w:rPr>
                <w:rFonts w:hint="default" w:ascii="Times New Roman" w:hAnsi="Times New Roman" w:eastAsia="宋体" w:cs="Times New Roman"/>
                <w:color w:val="000000" w:themeColor="text1"/>
                <w:sz w:val="24"/>
                <w:szCs w:val="21"/>
                <w:highlight w:val="none"/>
                <w:lang w:val="en-US" w:eastAsia="zh-CN" w:bidi="ar"/>
                <w14:textFill>
                  <w14:solidFill>
                    <w14:schemeClr w14:val="tx1"/>
                  </w14:solidFill>
                </w14:textFill>
              </w:rPr>
              <w:t>用地</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sz w:val="24"/>
                <w:highlight w:val="none"/>
                <w14:textFill>
                  <w14:solidFill>
                    <w14:schemeClr w14:val="tx1"/>
                  </w14:solidFill>
                </w14:textFill>
              </w:rPr>
              <w:t>利用黑龙江省牡丹江农垦双合粮食仓储有限公司现有闲置场地进行建设，</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不新增</w:t>
            </w:r>
            <w:r>
              <w:rPr>
                <w:rFonts w:hint="default" w:ascii="Times New Roman" w:hAnsi="Times New Roman" w:eastAsia="宋体" w:cs="Times New Roman"/>
                <w:color w:val="000000" w:themeColor="text1"/>
                <w:sz w:val="24"/>
                <w:highlight w:val="none"/>
                <w14:textFill>
                  <w14:solidFill>
                    <w14:schemeClr w14:val="tx1"/>
                  </w14:solidFill>
                </w14:textFill>
              </w:rPr>
              <w:t>占地</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现有1座烘干能力</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00t/d烘干塔配套一台</w:t>
            </w:r>
            <w:r>
              <w:rPr>
                <w:rFonts w:hint="eastAsia" w:cs="Times New Roman"/>
                <w:color w:val="000000" w:themeColor="text1"/>
                <w:sz w:val="24"/>
                <w:highlight w:val="none"/>
                <w:lang w:val="en-US" w:eastAsia="zh-CN"/>
                <w14:textFill>
                  <w14:solidFill>
                    <w14:schemeClr w14:val="tx1"/>
                  </w14:solidFill>
                </w14:textFill>
              </w:rPr>
              <w:t>240万大卡</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燃</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煤</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热风炉</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，日处理玉米200t，</w:t>
            </w:r>
            <w:r>
              <w:rPr>
                <w:rFonts w:hint="eastAsia" w:cs="Times New Roman"/>
                <w:color w:val="000000" w:themeColor="text1"/>
                <w:sz w:val="24"/>
                <w:highlight w:val="none"/>
                <w:lang w:val="en-US" w:eastAsia="zh-CN"/>
                <w14:textFill>
                  <w14:solidFill>
                    <w14:schemeClr w14:val="tx1"/>
                  </w14:solidFill>
                </w14:textFill>
              </w:rPr>
              <w:t>企业</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全年烘干玉米</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0000t</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p>
          <w:p w14:paraId="01981B1C">
            <w:pPr>
              <w:keepNext w:val="0"/>
              <w:keepLines w:val="0"/>
              <w:suppressLineNumbers w:val="0"/>
              <w:tabs>
                <w:tab w:val="left" w:pos="6480"/>
              </w:tabs>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拆除</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现有1座烘干能力200t/d烘干塔配套一台</w:t>
            </w:r>
            <w:r>
              <w:rPr>
                <w:rFonts w:hint="eastAsia" w:cs="Times New Roman"/>
                <w:color w:val="000000" w:themeColor="text1"/>
                <w:sz w:val="24"/>
                <w:highlight w:val="none"/>
                <w:lang w:val="en-US" w:eastAsia="zh-CN"/>
                <w14:textFill>
                  <w14:solidFill>
                    <w14:schemeClr w14:val="tx1"/>
                  </w14:solidFill>
                </w14:textFill>
              </w:rPr>
              <w:t>240万大卡</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燃煤热风炉，</w:t>
            </w:r>
            <w:r>
              <w:rPr>
                <w:rFonts w:hint="default" w:ascii="Times New Roman" w:hAnsi="Times New Roman" w:eastAsia="宋体" w:cs="Times New Roman"/>
                <w:color w:val="000000" w:themeColor="text1"/>
                <w:sz w:val="24"/>
                <w:highlight w:val="none"/>
                <w14:textFill>
                  <w14:solidFill>
                    <w14:schemeClr w14:val="tx1"/>
                  </w14:solidFill>
                </w14:textFill>
              </w:rPr>
              <w:t>建设1台</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600万大卡</w:t>
            </w:r>
            <w:r>
              <w:rPr>
                <w:rFonts w:hint="default" w:ascii="Times New Roman" w:hAnsi="Times New Roman" w:eastAsia="宋体" w:cs="Times New Roman"/>
                <w:color w:val="000000" w:themeColor="text1"/>
                <w:sz w:val="24"/>
                <w:highlight w:val="none"/>
                <w14:textFill>
                  <w14:solidFill>
                    <w14:schemeClr w14:val="tx1"/>
                  </w14:solidFill>
                </w14:textFill>
              </w:rPr>
              <w:t>的燃生物质热风炉，</w:t>
            </w:r>
            <w:r>
              <w:rPr>
                <w:rFonts w:hint="eastAsia" w:cs="Times New Roman"/>
                <w:color w:val="000000" w:themeColor="text1"/>
                <w:sz w:val="24"/>
                <w:highlight w:val="none"/>
                <w:lang w:val="en-US" w:eastAsia="zh-CN"/>
                <w14:textFill>
                  <w14:solidFill>
                    <w14:schemeClr w14:val="tx1"/>
                  </w14:solidFill>
                </w14:textFill>
              </w:rPr>
              <w:t>1座</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烘干能力</w:t>
            </w:r>
            <w:r>
              <w:rPr>
                <w:rFonts w:hint="eastAsia" w:cs="Times New Roman"/>
                <w:color w:val="000000" w:themeColor="text1"/>
                <w:sz w:val="24"/>
                <w:highlight w:val="none"/>
                <w:lang w:val="en-US" w:eastAsia="zh-CN"/>
                <w14:textFill>
                  <w14:solidFill>
                    <w14:schemeClr w14:val="tx1"/>
                  </w14:solidFill>
                </w14:textFill>
              </w:rPr>
              <w:t>为6</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00t/d</w:t>
            </w:r>
            <w:r>
              <w:rPr>
                <w:rFonts w:hint="eastAsia" w:cs="Times New Roman"/>
                <w:color w:val="000000" w:themeColor="text1"/>
                <w:sz w:val="24"/>
                <w:highlight w:val="none"/>
                <w:lang w:val="en-US" w:eastAsia="zh-CN"/>
                <w14:textFill>
                  <w14:solidFill>
                    <w14:schemeClr w14:val="tx1"/>
                  </w14:solidFill>
                </w14:textFill>
              </w:rPr>
              <w:t>烘干塔</w:t>
            </w:r>
            <w:r>
              <w:rPr>
                <w:rFonts w:hint="default" w:ascii="Times New Roman" w:hAnsi="Times New Roman" w:eastAsia="宋体" w:cs="Times New Roman"/>
                <w:color w:val="000000" w:themeColor="text1"/>
                <w:sz w:val="24"/>
                <w:highlight w:val="none"/>
                <w14:textFill>
                  <w14:solidFill>
                    <w14:schemeClr w14:val="tx1"/>
                  </w14:solidFill>
                </w14:textFill>
              </w:rPr>
              <w:t>，用于玉米烘干，</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年烘干玉米</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36</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000吨。本项目</w:t>
            </w:r>
            <w:r>
              <w:rPr>
                <w:rFonts w:hint="default" w:ascii="Times New Roman" w:hAnsi="Times New Roman" w:eastAsia="宋体" w:cs="Times New Roman"/>
                <w:color w:val="000000" w:themeColor="text1"/>
                <w:sz w:val="24"/>
                <w:highlight w:val="none"/>
                <w14:textFill>
                  <w14:solidFill>
                    <w14:schemeClr w14:val="tx1"/>
                  </w14:solidFill>
                </w14:textFill>
              </w:rPr>
              <w:t>主要建设内容见下表。</w:t>
            </w:r>
          </w:p>
          <w:p w14:paraId="5C4F76EE">
            <w:pPr>
              <w:pStyle w:val="56"/>
              <w:keepNext w:val="0"/>
              <w:keepLines w:val="0"/>
              <w:suppressLineNumbers w:val="0"/>
              <w:spacing w:before="0" w:beforeAutospacing="0" w:after="0" w:afterAutospacing="0" w:line="360" w:lineRule="auto"/>
              <w:ind w:left="0" w:right="0" w:firstLine="422"/>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表2-1工程内容一览表</w:t>
            </w:r>
          </w:p>
          <w:tbl>
            <w:tblPr>
              <w:tblStyle w:val="35"/>
              <w:tblW w:w="8011"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75"/>
              <w:gridCol w:w="1040"/>
              <w:gridCol w:w="5358"/>
              <w:gridCol w:w="1238"/>
            </w:tblGrid>
            <w:tr w14:paraId="336F588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1415" w:type="dxa"/>
                  <w:gridSpan w:val="2"/>
                  <w:vAlign w:val="center"/>
                </w:tcPr>
                <w:p w14:paraId="618015A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建设内容</w:t>
                  </w:r>
                </w:p>
              </w:tc>
              <w:tc>
                <w:tcPr>
                  <w:tcW w:w="5358" w:type="dxa"/>
                  <w:vAlign w:val="center"/>
                </w:tcPr>
                <w:p w14:paraId="50070A9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建设规模及内容</w:t>
                  </w:r>
                </w:p>
              </w:tc>
              <w:tc>
                <w:tcPr>
                  <w:tcW w:w="1238" w:type="dxa"/>
                  <w:vAlign w:val="center"/>
                </w:tcPr>
                <w:p w14:paraId="4ECC2AB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备注</w:t>
                  </w:r>
                </w:p>
              </w:tc>
            </w:tr>
            <w:tr w14:paraId="46E16A7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375" w:type="dxa"/>
                  <w:vMerge w:val="restart"/>
                  <w:shd w:val="clear" w:color="auto" w:fill="auto"/>
                  <w:vAlign w:val="center"/>
                </w:tcPr>
                <w:p w14:paraId="21BDB1B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14:textFill>
                        <w14:solidFill>
                          <w14:schemeClr w14:val="tx1"/>
                        </w14:solidFill>
                      </w14:textFill>
                    </w:rPr>
                  </w:pPr>
                  <w:r>
                    <w:rPr>
                      <w:rFonts w:hint="default" w:ascii="Times New Roman" w:hAnsi="Times New Roman" w:eastAsia="宋体" w:cs="Times New Roman"/>
                      <w:bCs/>
                      <w:color w:val="000000" w:themeColor="text1"/>
                      <w:szCs w:val="21"/>
                      <w:highlight w:val="none"/>
                      <w14:textFill>
                        <w14:solidFill>
                          <w14:schemeClr w14:val="tx1"/>
                        </w14:solidFill>
                      </w14:textFill>
                    </w:rPr>
                    <w:t>主体工程</w:t>
                  </w:r>
                </w:p>
              </w:tc>
              <w:tc>
                <w:tcPr>
                  <w:tcW w:w="1040" w:type="dxa"/>
                  <w:shd w:val="clear" w:color="auto" w:fill="FFFFFF"/>
                  <w:vAlign w:val="center"/>
                </w:tcPr>
                <w:p w14:paraId="7F8A940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14:textFill>
                        <w14:solidFill>
                          <w14:schemeClr w14:val="tx1"/>
                        </w14:solidFill>
                      </w14:textFill>
                    </w:rPr>
                  </w:pPr>
                  <w:r>
                    <w:rPr>
                      <w:rFonts w:hint="default" w:ascii="Times New Roman" w:hAnsi="Times New Roman" w:eastAsia="宋体" w:cs="Times New Roman"/>
                      <w:bCs/>
                      <w:color w:val="000000" w:themeColor="text1"/>
                      <w:szCs w:val="21"/>
                      <w:highlight w:val="none"/>
                      <w14:textFill>
                        <w14:solidFill>
                          <w14:schemeClr w14:val="tx1"/>
                        </w14:solidFill>
                      </w14:textFill>
                    </w:rPr>
                    <w:t>烘干塔</w:t>
                  </w:r>
                </w:p>
              </w:tc>
              <w:tc>
                <w:tcPr>
                  <w:tcW w:w="5358" w:type="dxa"/>
                  <w:shd w:val="clear" w:color="auto" w:fill="FFFFFF"/>
                  <w:vAlign w:val="center"/>
                </w:tcPr>
                <w:p w14:paraId="4563516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szCs w:val="21"/>
                      <w:highlight w:val="none"/>
                      <w14:textFill>
                        <w14:solidFill>
                          <w14:schemeClr w14:val="tx1"/>
                        </w14:solidFill>
                      </w14:textFill>
                    </w:rPr>
                    <w:t>用于玉米烘干，燃用生物质</w:t>
                  </w:r>
                  <w:r>
                    <w:rPr>
                      <w:rFonts w:hint="eastAsia" w:cs="Times New Roman"/>
                      <w:bCs/>
                      <w:color w:val="000000" w:themeColor="text1"/>
                      <w:szCs w:val="21"/>
                      <w:highlight w:val="none"/>
                      <w:lang w:val="en-US" w:eastAsia="zh-CN"/>
                      <w14:textFill>
                        <w14:solidFill>
                          <w14:schemeClr w14:val="tx1"/>
                        </w14:solidFill>
                      </w14:textFill>
                    </w:rPr>
                    <w:t>颗粒</w:t>
                  </w:r>
                  <w:r>
                    <w:rPr>
                      <w:rFonts w:hint="default" w:ascii="Times New Roman" w:hAnsi="Times New Roman" w:eastAsia="宋体" w:cs="Times New Roman"/>
                      <w:bCs/>
                      <w:color w:val="000000" w:themeColor="text1"/>
                      <w:szCs w:val="21"/>
                      <w:highlight w:val="none"/>
                      <w14:textFill>
                        <w14:solidFill>
                          <w14:schemeClr w14:val="tx1"/>
                        </w14:solidFill>
                      </w14:textFill>
                    </w:rPr>
                    <w:t>，</w:t>
                  </w:r>
                  <w:r>
                    <w:rPr>
                      <w:rFonts w:hint="default" w:ascii="Times New Roman" w:hAnsi="Times New Roman" w:eastAsia="宋体" w:cs="Times New Roman"/>
                      <w:color w:val="000000" w:themeColor="text1"/>
                      <w:szCs w:val="21"/>
                      <w:highlight w:val="none"/>
                      <w14:textFill>
                        <w14:solidFill>
                          <w14:schemeClr w14:val="tx1"/>
                        </w14:solidFill>
                      </w14:textFill>
                    </w:rPr>
                    <w:t>烘干塔</w:t>
                  </w:r>
                  <w:r>
                    <w:rPr>
                      <w:rFonts w:hint="default" w:ascii="Times New Roman" w:hAnsi="Times New Roman" w:eastAsia="宋体" w:cs="Times New Roman"/>
                      <w:bCs/>
                      <w:color w:val="000000" w:themeColor="text1"/>
                      <w:szCs w:val="21"/>
                      <w:highlight w:val="none"/>
                      <w14:textFill>
                        <w14:solidFill>
                          <w14:schemeClr w14:val="tx1"/>
                        </w14:solidFill>
                      </w14:textFill>
                    </w:rPr>
                    <w:t>年运行</w:t>
                  </w:r>
                  <w:r>
                    <w:rPr>
                      <w:rFonts w:hint="eastAsia" w:cs="Times New Roman"/>
                      <w:bCs/>
                      <w:color w:val="000000" w:themeColor="text1"/>
                      <w:szCs w:val="21"/>
                      <w:highlight w:val="none"/>
                      <w:lang w:val="en-US" w:eastAsia="zh-CN"/>
                      <w14:textFill>
                        <w14:solidFill>
                          <w14:schemeClr w14:val="tx1"/>
                        </w14:solidFill>
                      </w14:textFill>
                    </w:rPr>
                    <w:t>60</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d</w:t>
                  </w:r>
                  <w:r>
                    <w:rPr>
                      <w:rFonts w:hint="default" w:ascii="Times New Roman" w:hAnsi="Times New Roman" w:eastAsia="宋体" w:cs="Times New Roman"/>
                      <w:bCs/>
                      <w:color w:val="000000" w:themeColor="text1"/>
                      <w:szCs w:val="21"/>
                      <w:highlight w:val="none"/>
                      <w14:textFill>
                        <w14:solidFill>
                          <w14:schemeClr w14:val="tx1"/>
                        </w14:solidFill>
                      </w14:textFill>
                    </w:rPr>
                    <w:t>，烘干塔烘干能力为</w:t>
                  </w:r>
                  <w:r>
                    <w:rPr>
                      <w:rFonts w:hint="eastAsia" w:cs="Times New Roman"/>
                      <w:bCs/>
                      <w:color w:val="000000" w:themeColor="text1"/>
                      <w:szCs w:val="21"/>
                      <w:highlight w:val="none"/>
                      <w:lang w:val="en-US" w:eastAsia="zh-CN"/>
                      <w14:textFill>
                        <w14:solidFill>
                          <w14:schemeClr w14:val="tx1"/>
                        </w14:solidFill>
                      </w14:textFill>
                    </w:rPr>
                    <w:t>6</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00</w:t>
                  </w:r>
                  <w:r>
                    <w:rPr>
                      <w:rFonts w:hint="default" w:ascii="Times New Roman" w:hAnsi="Times New Roman" w:eastAsia="宋体" w:cs="Times New Roman"/>
                      <w:bCs/>
                      <w:color w:val="000000" w:themeColor="text1"/>
                      <w:szCs w:val="21"/>
                      <w:highlight w:val="none"/>
                      <w14:textFill>
                        <w14:solidFill>
                          <w14:schemeClr w14:val="tx1"/>
                        </w14:solidFill>
                      </w14:textFill>
                    </w:rPr>
                    <w:t>t/d</w:t>
                  </w:r>
                  <w:r>
                    <w:rPr>
                      <w:rFonts w:hint="default" w:ascii="Times New Roman" w:hAnsi="Times New Roman" w:eastAsia="宋体" w:cs="Times New Roman"/>
                      <w:bCs/>
                      <w:color w:val="000000" w:themeColor="text1"/>
                      <w:szCs w:val="21"/>
                      <w:highlight w:val="none"/>
                      <w:lang w:eastAsia="zh-CN"/>
                      <w14:textFill>
                        <w14:solidFill>
                          <w14:schemeClr w14:val="tx1"/>
                        </w14:solidFill>
                      </w14:textFill>
                    </w:rPr>
                    <w:t>（以玉米计），</w:t>
                  </w:r>
                  <w:r>
                    <w:rPr>
                      <w:rFonts w:hint="default" w:ascii="Times New Roman" w:hAnsi="Times New Roman" w:eastAsia="宋体" w:cs="Times New Roman"/>
                      <w:bCs/>
                      <w:color w:val="000000" w:themeColor="text1"/>
                      <w:szCs w:val="21"/>
                      <w:highlight w:val="none"/>
                      <w14:textFill>
                        <w14:solidFill>
                          <w14:schemeClr w14:val="tx1"/>
                        </w14:solidFill>
                      </w14:textFill>
                    </w:rPr>
                    <w:t>配套1台</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600万大卡</w:t>
                  </w:r>
                  <w:r>
                    <w:rPr>
                      <w:rFonts w:hint="default" w:ascii="Times New Roman" w:hAnsi="Times New Roman" w:eastAsia="宋体" w:cs="Times New Roman"/>
                      <w:bCs/>
                      <w:color w:val="000000" w:themeColor="text1"/>
                      <w:szCs w:val="21"/>
                      <w:highlight w:val="none"/>
                      <w14:textFill>
                        <w14:solidFill>
                          <w14:schemeClr w14:val="tx1"/>
                        </w14:solidFill>
                      </w14:textFill>
                    </w:rPr>
                    <w:t>的燃生物质热风炉，</w:t>
                  </w:r>
                  <w:r>
                    <w:rPr>
                      <w:rFonts w:hint="eastAsia" w:cs="Times New Roman"/>
                      <w:bCs/>
                      <w:color w:val="000000" w:themeColor="text1"/>
                      <w:szCs w:val="21"/>
                      <w:highlight w:val="none"/>
                      <w:lang w:val="en-US" w:eastAsia="zh-CN"/>
                      <w14:textFill>
                        <w14:solidFill>
                          <w14:schemeClr w14:val="tx1"/>
                        </w14:solidFill>
                      </w14:textFill>
                    </w:rPr>
                    <w:t>烟囱</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高约</w:t>
                  </w:r>
                  <w:r>
                    <w:rPr>
                      <w:rFonts w:hint="eastAsia" w:cs="Times New Roman"/>
                      <w:bCs/>
                      <w:color w:val="000000" w:themeColor="text1"/>
                      <w:szCs w:val="21"/>
                      <w:highlight w:val="none"/>
                      <w:lang w:val="en-US" w:eastAsia="zh-CN"/>
                      <w14:textFill>
                        <w14:solidFill>
                          <w14:schemeClr w14:val="tx1"/>
                        </w14:solidFill>
                      </w14:textFill>
                    </w:rPr>
                    <w:t>15</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m</w:t>
                  </w:r>
                </w:p>
              </w:tc>
              <w:tc>
                <w:tcPr>
                  <w:tcW w:w="1238" w:type="dxa"/>
                  <w:shd w:val="clear" w:color="auto" w:fill="FFFFFF"/>
                  <w:vAlign w:val="center"/>
                </w:tcPr>
                <w:p w14:paraId="3CAD897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14:textFill>
                        <w14:solidFill>
                          <w14:schemeClr w14:val="tx1"/>
                        </w14:solidFill>
                      </w14:textFill>
                    </w:rPr>
                  </w:pPr>
                  <w:r>
                    <w:rPr>
                      <w:rFonts w:hint="default" w:ascii="Times New Roman" w:hAnsi="Times New Roman" w:eastAsia="宋体" w:cs="Times New Roman"/>
                      <w:bCs/>
                      <w:color w:val="000000" w:themeColor="text1"/>
                      <w:szCs w:val="21"/>
                      <w:highlight w:val="none"/>
                      <w14:textFill>
                        <w14:solidFill>
                          <w14:schemeClr w14:val="tx1"/>
                        </w14:solidFill>
                      </w14:textFill>
                    </w:rPr>
                    <w:t>新建</w:t>
                  </w:r>
                </w:p>
              </w:tc>
            </w:tr>
            <w:tr w14:paraId="5A410D3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375" w:type="dxa"/>
                  <w:vMerge w:val="continue"/>
                  <w:shd w:val="clear" w:color="auto" w:fill="auto"/>
                  <w:vAlign w:val="center"/>
                </w:tcPr>
                <w:p w14:paraId="1C332C9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14:textFill>
                        <w14:solidFill>
                          <w14:schemeClr w14:val="tx1"/>
                        </w14:solidFill>
                      </w14:textFill>
                    </w:rPr>
                  </w:pPr>
                </w:p>
              </w:tc>
              <w:tc>
                <w:tcPr>
                  <w:tcW w:w="1040" w:type="dxa"/>
                  <w:shd w:val="clear" w:color="auto" w:fill="FFFFFF"/>
                  <w:vAlign w:val="center"/>
                </w:tcPr>
                <w:p w14:paraId="6F95EDA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锅炉房</w:t>
                  </w:r>
                </w:p>
              </w:tc>
              <w:tc>
                <w:tcPr>
                  <w:tcW w:w="5358" w:type="dxa"/>
                  <w:shd w:val="clear" w:color="auto" w:fill="FFFFFF"/>
                  <w:vAlign w:val="center"/>
                </w:tcPr>
                <w:p w14:paraId="3B18628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eastAsia="zh-CN"/>
                      <w14:textFill>
                        <w14:solidFill>
                          <w14:schemeClr w14:val="tx1"/>
                        </w14:solidFill>
                      </w14:textFill>
                    </w:rPr>
                  </w:pPr>
                  <w:r>
                    <w:rPr>
                      <w:rFonts w:hint="eastAsia" w:cs="Times New Roman"/>
                      <w:bCs/>
                      <w:color w:val="000000" w:themeColor="text1"/>
                      <w:szCs w:val="21"/>
                      <w:highlight w:val="none"/>
                      <w:lang w:eastAsia="zh-CN"/>
                      <w14:textFill>
                        <w14:solidFill>
                          <w14:schemeClr w14:val="tx1"/>
                        </w14:solidFill>
                      </w14:textFill>
                    </w:rPr>
                    <w:t>一层砖木结构，</w:t>
                  </w:r>
                  <w:r>
                    <w:rPr>
                      <w:rFonts w:hint="default" w:ascii="Times New Roman" w:hAnsi="Times New Roman" w:eastAsia="宋体" w:cs="Times New Roman"/>
                      <w:bCs/>
                      <w:color w:val="000000" w:themeColor="text1"/>
                      <w:szCs w:val="21"/>
                      <w:highlight w:val="none"/>
                      <w14:textFill>
                        <w14:solidFill>
                          <w14:schemeClr w14:val="tx1"/>
                        </w14:solidFill>
                      </w14:textFill>
                    </w:rPr>
                    <w:t>建筑面积</w:t>
                  </w:r>
                  <w:r>
                    <w:rPr>
                      <w:rFonts w:hint="eastAsia" w:cs="Times New Roman"/>
                      <w:bCs/>
                      <w:color w:val="000000" w:themeColor="text1"/>
                      <w:szCs w:val="21"/>
                      <w:highlight w:val="none"/>
                      <w:lang w:val="en-US" w:eastAsia="zh-CN"/>
                      <w14:textFill>
                        <w14:solidFill>
                          <w14:schemeClr w14:val="tx1"/>
                        </w14:solidFill>
                      </w14:textFill>
                    </w:rPr>
                    <w:t>300</w:t>
                  </w:r>
                  <w:r>
                    <w:rPr>
                      <w:rFonts w:hint="default" w:ascii="Times New Roman" w:hAnsi="Times New Roman" w:eastAsia="宋体" w:cs="Times New Roman"/>
                      <w:color w:val="000000" w:themeColor="text1"/>
                      <w:szCs w:val="21"/>
                      <w:highlight w:val="none"/>
                      <w14:textFill>
                        <w14:solidFill>
                          <w14:schemeClr w14:val="tx1"/>
                        </w14:solidFill>
                      </w14:textFill>
                    </w:rPr>
                    <w:t>m</w:t>
                  </w:r>
                  <w:r>
                    <w:rPr>
                      <w:rFonts w:hint="default" w:ascii="Times New Roman" w:hAnsi="Times New Roman" w:eastAsia="宋体" w:cs="Times New Roman"/>
                      <w:color w:val="000000" w:themeColor="text1"/>
                      <w:szCs w:val="21"/>
                      <w:highlight w:val="none"/>
                      <w:vertAlign w:val="superscript"/>
                      <w14:textFill>
                        <w14:solidFill>
                          <w14:schemeClr w14:val="tx1"/>
                        </w14:solidFill>
                      </w14:textFill>
                    </w:rPr>
                    <w:t>2</w:t>
                  </w:r>
                  <w:r>
                    <w:rPr>
                      <w:rFonts w:hint="default" w:ascii="Times New Roman" w:hAnsi="Times New Roman" w:eastAsia="宋体" w:cs="Times New Roman"/>
                      <w:bCs/>
                      <w:color w:val="000000" w:themeColor="text1"/>
                      <w:szCs w:val="21"/>
                      <w:highlight w:val="none"/>
                      <w14:textFill>
                        <w14:solidFill>
                          <w14:schemeClr w14:val="tx1"/>
                        </w14:solidFill>
                      </w14:textFill>
                    </w:rPr>
                    <w:t>，内设1台</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600万大卡</w:t>
                  </w:r>
                  <w:r>
                    <w:rPr>
                      <w:rFonts w:hint="default" w:ascii="Times New Roman" w:hAnsi="Times New Roman" w:eastAsia="宋体" w:cs="Times New Roman"/>
                      <w:bCs/>
                      <w:color w:val="000000" w:themeColor="text1"/>
                      <w:szCs w:val="21"/>
                      <w:highlight w:val="none"/>
                      <w14:textFill>
                        <w14:solidFill>
                          <w14:schemeClr w14:val="tx1"/>
                        </w14:solidFill>
                      </w14:textFill>
                    </w:rPr>
                    <w:t>热风炉，燃用生物质成型燃料</w:t>
                  </w:r>
                </w:p>
              </w:tc>
              <w:tc>
                <w:tcPr>
                  <w:tcW w:w="1238" w:type="dxa"/>
                  <w:shd w:val="clear" w:color="auto" w:fill="FFFFFF"/>
                  <w:vAlign w:val="center"/>
                </w:tcPr>
                <w:p w14:paraId="3ED4417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依托现有锅炉房新建热风炉</w:t>
                  </w:r>
                </w:p>
              </w:tc>
            </w:tr>
            <w:tr w14:paraId="5E8760B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375" w:type="dxa"/>
                  <w:vMerge w:val="restart"/>
                  <w:shd w:val="clear" w:color="auto" w:fill="auto"/>
                  <w:vAlign w:val="center"/>
                </w:tcPr>
                <w:p w14:paraId="5CDB750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储运工程</w:t>
                  </w:r>
                </w:p>
              </w:tc>
              <w:tc>
                <w:tcPr>
                  <w:tcW w:w="1040" w:type="dxa"/>
                  <w:shd w:val="clear" w:color="auto" w:fill="FFFFFF"/>
                  <w:vAlign w:val="center"/>
                </w:tcPr>
                <w:p w14:paraId="45F59F10">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燃料</w:t>
                  </w:r>
                  <w:r>
                    <w:rPr>
                      <w:rFonts w:hint="eastAsia" w:cs="Times New Roman"/>
                      <w:color w:val="000000" w:themeColor="text1"/>
                      <w:szCs w:val="21"/>
                      <w:highlight w:val="none"/>
                      <w:lang w:eastAsia="zh-CN"/>
                      <w14:textFill>
                        <w14:solidFill>
                          <w14:schemeClr w14:val="tx1"/>
                        </w14:solidFill>
                      </w14:textFill>
                    </w:rPr>
                    <w:t>间</w:t>
                  </w:r>
                </w:p>
              </w:tc>
              <w:tc>
                <w:tcPr>
                  <w:tcW w:w="5358" w:type="dxa"/>
                  <w:shd w:val="clear" w:color="auto" w:fill="FFFFFF"/>
                  <w:vAlign w:val="center"/>
                </w:tcPr>
                <w:p w14:paraId="1C113440">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000000" w:themeColor="text1"/>
                      <w:szCs w:val="21"/>
                      <w:highlight w:val="none"/>
                      <w:lang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位于</w:t>
                  </w:r>
                  <w:r>
                    <w:rPr>
                      <w:rFonts w:hint="eastAsia" w:cs="Times New Roman"/>
                      <w:bCs/>
                      <w:color w:val="000000" w:themeColor="text1"/>
                      <w:szCs w:val="21"/>
                      <w:highlight w:val="none"/>
                      <w:lang w:val="en-US" w:eastAsia="zh-CN"/>
                      <w14:textFill>
                        <w14:solidFill>
                          <w14:schemeClr w14:val="tx1"/>
                        </w14:solidFill>
                      </w14:textFill>
                    </w:rPr>
                    <w:t>锅炉房</w:t>
                  </w:r>
                  <w:r>
                    <w:rPr>
                      <w:rFonts w:hint="eastAsia" w:cs="Times New Roman"/>
                      <w:color w:val="000000" w:themeColor="text1"/>
                      <w:highlight w:val="none"/>
                      <w:lang w:val="en-US" w:eastAsia="zh-CN"/>
                      <w14:textFill>
                        <w14:solidFill>
                          <w14:schemeClr w14:val="tx1"/>
                        </w14:solidFill>
                      </w14:textFill>
                    </w:rPr>
                    <w:t>内</w:t>
                  </w:r>
                  <w:r>
                    <w:rPr>
                      <w:rFonts w:hint="default" w:ascii="Times New Roman" w:hAnsi="Times New Roman" w:eastAsia="宋体" w:cs="Times New Roman"/>
                      <w:bCs/>
                      <w:color w:val="000000" w:themeColor="text1"/>
                      <w:szCs w:val="21"/>
                      <w:highlight w:val="none"/>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密闭设计</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Cs w:val="21"/>
                      <w:highlight w:val="none"/>
                      <w14:textFill>
                        <w14:solidFill>
                          <w14:schemeClr w14:val="tx1"/>
                        </w14:solidFill>
                      </w14:textFill>
                    </w:rPr>
                    <w:t>建筑</w:t>
                  </w:r>
                  <w:r>
                    <w:rPr>
                      <w:rFonts w:hint="eastAsia" w:cs="Times New Roman"/>
                      <w:bCs/>
                      <w:color w:val="000000" w:themeColor="text1"/>
                      <w:szCs w:val="21"/>
                      <w:highlight w:val="none"/>
                      <w:lang w:val="en-US" w:eastAsia="zh-CN"/>
                      <w14:textFill>
                        <w14:solidFill>
                          <w14:schemeClr w14:val="tx1"/>
                        </w14:solidFill>
                      </w14:textFill>
                    </w:rPr>
                    <w:t>面积</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为</w:t>
                  </w:r>
                  <w:r>
                    <w:rPr>
                      <w:rFonts w:hint="eastAsia" w:cs="Times New Roman"/>
                      <w:bCs/>
                      <w:color w:val="000000" w:themeColor="text1"/>
                      <w:szCs w:val="21"/>
                      <w:highlight w:val="none"/>
                      <w:lang w:val="en-US" w:eastAsia="zh-CN"/>
                      <w14:textFill>
                        <w14:solidFill>
                          <w14:schemeClr w14:val="tx1"/>
                        </w14:solidFill>
                      </w14:textFill>
                    </w:rPr>
                    <w:t>1</w:t>
                  </w:r>
                  <w:r>
                    <w:rPr>
                      <w:rFonts w:hint="eastAsia" w:cs="Times New Roman"/>
                      <w:color w:val="000000" w:themeColor="text1"/>
                      <w:szCs w:val="21"/>
                      <w:highlight w:val="none"/>
                      <w:lang w:val="en-US" w:eastAsia="zh-CN"/>
                      <w14:textFill>
                        <w14:solidFill>
                          <w14:schemeClr w14:val="tx1"/>
                        </w14:solidFill>
                      </w14:textFill>
                    </w:rPr>
                    <w:t>50</w:t>
                  </w:r>
                  <w:r>
                    <w:rPr>
                      <w:rFonts w:hint="default" w:ascii="Times New Roman" w:hAnsi="Times New Roman" w:eastAsia="宋体" w:cs="Times New Roman"/>
                      <w:color w:val="000000" w:themeColor="text1"/>
                      <w:szCs w:val="21"/>
                      <w:highlight w:val="none"/>
                      <w14:textFill>
                        <w14:solidFill>
                          <w14:schemeClr w14:val="tx1"/>
                        </w14:solidFill>
                      </w14:textFill>
                    </w:rPr>
                    <w:t>m</w:t>
                  </w:r>
                  <w:r>
                    <w:rPr>
                      <w:rFonts w:hint="eastAsia" w:cs="Times New Roman"/>
                      <w:color w:val="000000" w:themeColor="text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Cs w:val="21"/>
                      <w:highlight w:val="none"/>
                      <w:vertAlign w:val="baseline"/>
                      <w:lang w:eastAsia="zh-CN"/>
                      <w14:textFill>
                        <w14:solidFill>
                          <w14:schemeClr w14:val="tx1"/>
                        </w14:solidFill>
                      </w14:textFill>
                    </w:rPr>
                    <w:t>，</w:t>
                  </w:r>
                  <w:r>
                    <w:rPr>
                      <w:rFonts w:hint="default" w:ascii="Times New Roman" w:hAnsi="Times New Roman" w:eastAsia="宋体" w:cs="Times New Roman"/>
                      <w:bCs/>
                      <w:color w:val="000000" w:themeColor="text1"/>
                      <w:szCs w:val="21"/>
                      <w:highlight w:val="none"/>
                      <w14:textFill>
                        <w14:solidFill>
                          <w14:schemeClr w14:val="tx1"/>
                        </w14:solidFill>
                      </w14:textFill>
                    </w:rPr>
                    <w:t>用于存放生物质成型燃料</w:t>
                  </w:r>
                  <w:r>
                    <w:rPr>
                      <w:rFonts w:hint="default" w:ascii="Times New Roman" w:hAnsi="Times New Roman" w:eastAsia="宋体" w:cs="Times New Roman"/>
                      <w:bCs/>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Cs w:val="21"/>
                      <w:highlight w:val="none"/>
                      <w14:textFill>
                        <w14:solidFill>
                          <w14:schemeClr w14:val="tx1"/>
                        </w14:solidFill>
                      </w14:textFill>
                    </w:rPr>
                    <w:t>最大储量为</w:t>
                  </w:r>
                  <w:r>
                    <w:rPr>
                      <w:rFonts w:hint="eastAsia" w:cs="Times New Roman"/>
                      <w:bCs/>
                      <w:color w:val="000000" w:themeColor="text1"/>
                      <w:szCs w:val="21"/>
                      <w:highlight w:val="none"/>
                      <w:lang w:val="en-US" w:eastAsia="zh-CN"/>
                      <w14:textFill>
                        <w14:solidFill>
                          <w14:schemeClr w14:val="tx1"/>
                        </w14:solidFill>
                      </w14:textFill>
                    </w:rPr>
                    <w:t>100</w:t>
                  </w:r>
                  <w:r>
                    <w:rPr>
                      <w:rFonts w:hint="default" w:ascii="Times New Roman" w:hAnsi="Times New Roman" w:eastAsia="宋体" w:cs="Times New Roman"/>
                      <w:bCs/>
                      <w:color w:val="000000" w:themeColor="text1"/>
                      <w:szCs w:val="21"/>
                      <w:highlight w:val="none"/>
                      <w14:textFill>
                        <w14:solidFill>
                          <w14:schemeClr w14:val="tx1"/>
                        </w14:solidFill>
                      </w14:textFill>
                    </w:rPr>
                    <w:t>t</w:t>
                  </w:r>
                  <w:r>
                    <w:rPr>
                      <w:rFonts w:hint="eastAsia" w:cs="Times New Roman"/>
                      <w:bCs/>
                      <w:color w:val="000000" w:themeColor="text1"/>
                      <w:szCs w:val="21"/>
                      <w:highlight w:val="none"/>
                      <w:lang w:eastAsia="zh-CN"/>
                      <w14:textFill>
                        <w14:solidFill>
                          <w14:schemeClr w14:val="tx1"/>
                        </w14:solidFill>
                      </w14:textFill>
                    </w:rPr>
                    <w:t>，</w:t>
                  </w:r>
                  <w:r>
                    <w:rPr>
                      <w:rFonts w:hint="eastAsia" w:cs="Times New Roman"/>
                      <w:bCs/>
                      <w:color w:val="000000" w:themeColor="text1"/>
                      <w:szCs w:val="21"/>
                      <w:highlight w:val="none"/>
                      <w:lang w:val="en-US" w:eastAsia="zh-CN"/>
                      <w14:textFill>
                        <w14:solidFill>
                          <w14:schemeClr w14:val="tx1"/>
                        </w14:solidFill>
                      </w14:textFill>
                    </w:rPr>
                    <w:t>地面进行硬化</w:t>
                  </w:r>
                </w:p>
              </w:tc>
              <w:tc>
                <w:tcPr>
                  <w:tcW w:w="1238" w:type="dxa"/>
                  <w:shd w:val="clear" w:color="auto" w:fill="FFFFFF"/>
                  <w:vAlign w:val="center"/>
                </w:tcPr>
                <w:p w14:paraId="307182C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eastAsia="zh-CN"/>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依托现有锅炉房</w:t>
                  </w:r>
                </w:p>
              </w:tc>
            </w:tr>
            <w:tr w14:paraId="5FCA2DC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375" w:type="dxa"/>
                  <w:vMerge w:val="continue"/>
                  <w:shd w:val="clear" w:color="auto" w:fill="auto"/>
                  <w:vAlign w:val="center"/>
                </w:tcPr>
                <w:p w14:paraId="511BB5F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040" w:type="dxa"/>
                  <w:shd w:val="clear" w:color="auto" w:fill="FFFFFF"/>
                  <w:vAlign w:val="center"/>
                </w:tcPr>
                <w:p w14:paraId="054D5AF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eastAsia="zh-CN"/>
                      <w14:textFill>
                        <w14:solidFill>
                          <w14:schemeClr w14:val="tx1"/>
                        </w14:solidFill>
                      </w14:textFill>
                    </w:rPr>
                    <w:t>灰渣</w:t>
                  </w:r>
                  <w:r>
                    <w:rPr>
                      <w:rFonts w:hint="eastAsia" w:cs="Times New Roman"/>
                      <w:color w:val="000000" w:themeColor="text1"/>
                      <w:szCs w:val="21"/>
                      <w:highlight w:val="none"/>
                      <w:lang w:val="en-US" w:eastAsia="zh-CN"/>
                      <w14:textFill>
                        <w14:solidFill>
                          <w14:schemeClr w14:val="tx1"/>
                        </w14:solidFill>
                      </w14:textFill>
                    </w:rPr>
                    <w:t>间</w:t>
                  </w:r>
                </w:p>
              </w:tc>
              <w:tc>
                <w:tcPr>
                  <w:tcW w:w="5358" w:type="dxa"/>
                  <w:shd w:val="clear" w:color="auto" w:fill="FFFFFF"/>
                  <w:vAlign w:val="center"/>
                </w:tcPr>
                <w:p w14:paraId="65B34DB4">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位于仓库内、密闭设计，</w:t>
                  </w:r>
                  <w:r>
                    <w:rPr>
                      <w:rFonts w:hint="default" w:ascii="Times New Roman" w:hAnsi="Times New Roman" w:eastAsia="宋体" w:cs="Times New Roman"/>
                      <w:color w:val="000000" w:themeColor="text1"/>
                      <w:szCs w:val="21"/>
                      <w:highlight w:val="none"/>
                      <w14:textFill>
                        <w14:solidFill>
                          <w14:schemeClr w14:val="tx1"/>
                        </w14:solidFill>
                      </w14:textFill>
                    </w:rPr>
                    <w:t>建筑</w:t>
                  </w:r>
                  <w:r>
                    <w:rPr>
                      <w:rFonts w:hint="eastAsia" w:ascii="Times New Roman" w:hAnsi="Times New Roman" w:eastAsia="宋体" w:cs="Times New Roman"/>
                      <w:bCs/>
                      <w:color w:val="000000" w:themeColor="text1"/>
                      <w:szCs w:val="21"/>
                      <w:highlight w:val="none"/>
                      <w:lang w:val="en-US" w:eastAsia="zh-CN"/>
                      <w14:textFill>
                        <w14:solidFill>
                          <w14:schemeClr w14:val="tx1"/>
                        </w14:solidFill>
                      </w14:textFill>
                    </w:rPr>
                    <w:t>面积</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为</w:t>
                  </w:r>
                  <w:r>
                    <w:rPr>
                      <w:rFonts w:hint="eastAsia" w:cs="Times New Roman"/>
                      <w:color w:val="000000" w:themeColor="text1"/>
                      <w:szCs w:val="21"/>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00</w:t>
                  </w:r>
                  <w:r>
                    <w:rPr>
                      <w:rFonts w:hint="default" w:ascii="Times New Roman" w:hAnsi="Times New Roman" w:eastAsia="宋体" w:cs="Times New Roman"/>
                      <w:color w:val="000000" w:themeColor="text1"/>
                      <w:szCs w:val="21"/>
                      <w:highlight w:val="none"/>
                      <w14:textFill>
                        <w14:solidFill>
                          <w14:schemeClr w14:val="tx1"/>
                        </w14:solidFill>
                      </w14:textFill>
                    </w:rPr>
                    <w:t>m</w:t>
                  </w:r>
                  <w:r>
                    <w:rPr>
                      <w:rFonts w:hint="eastAsia" w:ascii="Times New Roman" w:hAnsi="Times New Roman" w:eastAsia="宋体" w:cs="Times New Roman"/>
                      <w:color w:val="000000" w:themeColor="text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Cs w:val="21"/>
                      <w:highlight w:val="none"/>
                      <w14:textFill>
                        <w14:solidFill>
                          <w14:schemeClr w14:val="tx1"/>
                        </w14:solidFill>
                      </w14:textFill>
                    </w:rPr>
                    <w:t>，用于存放灰渣，最大储量为</w:t>
                  </w:r>
                  <w:r>
                    <w:rPr>
                      <w:rFonts w:hint="eastAsia" w:cs="Times New Roman"/>
                      <w:color w:val="000000" w:themeColor="text1"/>
                      <w:szCs w:val="21"/>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Cs w:val="21"/>
                      <w:highlight w:val="none"/>
                      <w14:textFill>
                        <w14:solidFill>
                          <w14:schemeClr w14:val="tx1"/>
                        </w14:solidFill>
                      </w14:textFill>
                    </w:rPr>
                    <w:t>t</w:t>
                  </w:r>
                  <w:r>
                    <w:rPr>
                      <w:rFonts w:hint="eastAsia" w:cs="Times New Roman"/>
                      <w:color w:val="000000" w:themeColor="text1"/>
                      <w:szCs w:val="21"/>
                      <w:highlight w:val="none"/>
                      <w:lang w:eastAsia="zh-CN"/>
                      <w14:textFill>
                        <w14:solidFill>
                          <w14:schemeClr w14:val="tx1"/>
                        </w14:solidFill>
                      </w14:textFill>
                    </w:rPr>
                    <w:t>，</w:t>
                  </w:r>
                  <w:r>
                    <w:rPr>
                      <w:rFonts w:hint="eastAsia" w:cs="Times New Roman"/>
                      <w:bCs/>
                      <w:color w:val="000000" w:themeColor="text1"/>
                      <w:szCs w:val="21"/>
                      <w:highlight w:val="none"/>
                      <w:lang w:val="en-US" w:eastAsia="zh-CN"/>
                      <w14:textFill>
                        <w14:solidFill>
                          <w14:schemeClr w14:val="tx1"/>
                        </w14:solidFill>
                      </w14:textFill>
                    </w:rPr>
                    <w:t>地面进行硬化</w:t>
                  </w:r>
                </w:p>
              </w:tc>
              <w:tc>
                <w:tcPr>
                  <w:tcW w:w="1238" w:type="dxa"/>
                  <w:shd w:val="clear" w:color="auto" w:fill="FFFFFF"/>
                  <w:vAlign w:val="center"/>
                </w:tcPr>
                <w:p w14:paraId="42228E1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依托现有</w:t>
                  </w:r>
                  <w:r>
                    <w:rPr>
                      <w:rFonts w:hint="default" w:ascii="Times New Roman" w:hAnsi="Times New Roman" w:eastAsia="宋体" w:cs="Times New Roman"/>
                      <w:color w:val="000000" w:themeColor="text1"/>
                      <w:szCs w:val="21"/>
                      <w:highlight w:val="none"/>
                      <w:lang w:eastAsia="zh-CN"/>
                      <w14:textFill>
                        <w14:solidFill>
                          <w14:schemeClr w14:val="tx1"/>
                        </w14:solidFill>
                      </w14:textFill>
                    </w:rPr>
                    <w:t>灰渣</w:t>
                  </w:r>
                  <w:r>
                    <w:rPr>
                      <w:rFonts w:hint="eastAsia" w:cs="Times New Roman"/>
                      <w:color w:val="000000" w:themeColor="text1"/>
                      <w:szCs w:val="21"/>
                      <w:highlight w:val="none"/>
                      <w:lang w:val="en-US" w:eastAsia="zh-CN"/>
                      <w14:textFill>
                        <w14:solidFill>
                          <w14:schemeClr w14:val="tx1"/>
                        </w14:solidFill>
                      </w14:textFill>
                    </w:rPr>
                    <w:t>间</w:t>
                  </w:r>
                </w:p>
              </w:tc>
            </w:tr>
            <w:tr w14:paraId="23276BC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82" w:hRule="atLeast"/>
                <w:jc w:val="center"/>
              </w:trPr>
              <w:tc>
                <w:tcPr>
                  <w:tcW w:w="375" w:type="dxa"/>
                  <w:vMerge w:val="continue"/>
                  <w:shd w:val="clear" w:color="auto" w:fill="auto"/>
                  <w:vAlign w:val="center"/>
                </w:tcPr>
                <w:p w14:paraId="08DE621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040" w:type="dxa"/>
                  <w:shd w:val="clear" w:color="auto" w:fill="FFFFFF"/>
                  <w:vAlign w:val="center"/>
                </w:tcPr>
                <w:p w14:paraId="606F3AF4">
                  <w:pPr>
                    <w:keepNext w:val="0"/>
                    <w:keepLines w:val="0"/>
                    <w:suppressLineNumbers w:val="0"/>
                    <w:spacing w:before="0" w:beforeAutospacing="0" w:after="0" w:afterAutospacing="0" w:line="240" w:lineRule="auto"/>
                    <w:ind w:left="0" w:right="0"/>
                    <w:jc w:val="center"/>
                    <w:rPr>
                      <w:rFonts w:hint="default" w:cs="Times New Roman"/>
                      <w:bCs/>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Cs w:val="21"/>
                      <w:highlight w:val="none"/>
                      <w:lang w:val="en-US" w:eastAsia="zh-CN"/>
                      <w14:textFill>
                        <w14:solidFill>
                          <w14:schemeClr w14:val="tx1"/>
                        </w14:solidFill>
                      </w14:textFill>
                    </w:rPr>
                    <w:t>平房仓</w:t>
                  </w:r>
                </w:p>
              </w:tc>
              <w:tc>
                <w:tcPr>
                  <w:tcW w:w="5358" w:type="dxa"/>
                  <w:shd w:val="clear" w:color="auto" w:fill="FFFFFF"/>
                  <w:vAlign w:val="center"/>
                </w:tcPr>
                <w:p w14:paraId="3A30FCC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Cs w:val="21"/>
                      <w:highlight w:val="none"/>
                      <w:lang w:val="en-US" w:eastAsia="zh-CN"/>
                      <w14:textFill>
                        <w14:solidFill>
                          <w14:schemeClr w14:val="tx1"/>
                        </w14:solidFill>
                      </w14:textFill>
                    </w:rPr>
                    <w:t>平房仓位于厂区西侧，彩钢结构，建筑面积为4000m</w:t>
                  </w:r>
                  <w:r>
                    <w:rPr>
                      <w:rFonts w:hint="eastAsia" w:ascii="Times New Roman" w:hAnsi="Times New Roman" w:eastAsia="宋体" w:cs="Times New Roman"/>
                      <w:bCs/>
                      <w:color w:val="000000" w:themeColor="text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bCs/>
                      <w:color w:val="000000" w:themeColor="text1"/>
                      <w:szCs w:val="21"/>
                      <w:highlight w:val="none"/>
                      <w:lang w:val="en-US" w:eastAsia="zh-CN"/>
                      <w14:textFill>
                        <w14:solidFill>
                          <w14:schemeClr w14:val="tx1"/>
                        </w14:solidFill>
                      </w14:textFill>
                    </w:rPr>
                    <w:t>，高度约8m，仓容为24000t，用于存干粮</w:t>
                  </w:r>
                  <w:r>
                    <w:rPr>
                      <w:rFonts w:hint="eastAsia" w:cs="Times New Roman"/>
                      <w:bCs/>
                      <w:color w:val="000000" w:themeColor="text1"/>
                      <w:szCs w:val="21"/>
                      <w:highlight w:val="none"/>
                      <w:lang w:val="en-US" w:eastAsia="zh-CN"/>
                      <w14:textFill>
                        <w14:solidFill>
                          <w14:schemeClr w14:val="tx1"/>
                        </w14:solidFill>
                      </w14:textFill>
                    </w:rPr>
                    <w:t>，贮存时间为当年10月-次年6月</w:t>
                  </w:r>
                </w:p>
              </w:tc>
              <w:tc>
                <w:tcPr>
                  <w:tcW w:w="1238" w:type="dxa"/>
                  <w:shd w:val="clear" w:color="auto" w:fill="FFFFFF"/>
                  <w:vAlign w:val="center"/>
                </w:tcPr>
                <w:p w14:paraId="605A23F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val="en-US"/>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新建</w:t>
                  </w:r>
                </w:p>
              </w:tc>
            </w:tr>
            <w:tr w14:paraId="1DA3D69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82" w:hRule="atLeast"/>
                <w:jc w:val="center"/>
              </w:trPr>
              <w:tc>
                <w:tcPr>
                  <w:tcW w:w="375" w:type="dxa"/>
                  <w:vMerge w:val="continue"/>
                  <w:shd w:val="clear" w:color="auto" w:fill="auto"/>
                  <w:vAlign w:val="center"/>
                </w:tcPr>
                <w:p w14:paraId="530B7E7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040" w:type="dxa"/>
                  <w:shd w:val="clear" w:color="auto" w:fill="FFFFFF"/>
                  <w:vAlign w:val="center"/>
                </w:tcPr>
                <w:p w14:paraId="15365CE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晾晒场</w:t>
                  </w:r>
                </w:p>
              </w:tc>
              <w:tc>
                <w:tcPr>
                  <w:tcW w:w="5358" w:type="dxa"/>
                  <w:shd w:val="clear" w:color="auto" w:fill="FFFFFF"/>
                  <w:vAlign w:val="center"/>
                </w:tcPr>
                <w:p w14:paraId="3DF07B08">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color w:val="000000" w:themeColor="text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厂区设置1处潮粮堆场，占地面积约为</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65</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00m</w:t>
                  </w:r>
                  <w:r>
                    <w:rPr>
                      <w:rFonts w:hint="default" w:ascii="Times New Roman" w:hAnsi="Times New Roman" w:cs="Times New Roman"/>
                      <w:color w:val="000000" w:themeColor="text1"/>
                      <w:sz w:val="21"/>
                      <w:szCs w:val="21"/>
                      <w:highlight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，堆场地面进行硬化，加盖苫布，设置防风抑尘网</w:t>
                  </w:r>
                  <w:r>
                    <w:rPr>
                      <w:rFonts w:hint="eastAsia"/>
                      <w:color w:val="000000" w:themeColor="text1"/>
                      <w:lang w:eastAsia="zh-CN"/>
                      <w14:textFill>
                        <w14:solidFill>
                          <w14:schemeClr w14:val="tx1"/>
                        </w14:solidFill>
                      </w14:textFill>
                    </w:rPr>
                    <w:t>，(高度</w:t>
                  </w:r>
                  <w:r>
                    <w:rPr>
                      <w:rFonts w:hint="eastAsia"/>
                      <w:color w:val="000000" w:themeColor="text1"/>
                      <w:lang w:val="en-US" w:eastAsia="zh-CN"/>
                      <w14:textFill>
                        <w14:solidFill>
                          <w14:schemeClr w14:val="tx1"/>
                        </w14:solidFill>
                      </w14:textFill>
                    </w:rPr>
                    <w:t>6</w:t>
                  </w:r>
                  <w:r>
                    <w:rPr>
                      <w:rFonts w:hint="eastAsia"/>
                      <w:color w:val="000000" w:themeColor="text1"/>
                      <w:lang w:eastAsia="zh-CN"/>
                      <w14:textFill>
                        <w14:solidFill>
                          <w14:schemeClr w14:val="tx1"/>
                        </w14:solidFill>
                      </w14:textFill>
                    </w:rPr>
                    <w:t>m，长约</w:t>
                  </w:r>
                  <w:r>
                    <w:rPr>
                      <w:rFonts w:hint="eastAsia"/>
                      <w:color w:val="000000" w:themeColor="text1"/>
                      <w:lang w:val="en-US" w:eastAsia="zh-CN"/>
                      <w14:textFill>
                        <w14:solidFill>
                          <w14:schemeClr w14:val="tx1"/>
                        </w14:solidFill>
                      </w14:textFill>
                    </w:rPr>
                    <w:t>32</w:t>
                  </w:r>
                  <w:r>
                    <w:rPr>
                      <w:rFonts w:hint="eastAsia"/>
                      <w:color w:val="000000" w:themeColor="text1"/>
                      <w:lang w:eastAsia="zh-CN"/>
                      <w14:textFill>
                        <w14:solidFill>
                          <w14:schemeClr w14:val="tx1"/>
                        </w14:solidFill>
                      </w14:textFill>
                    </w:rPr>
                    <w:t>0m)</w:t>
                  </w:r>
                </w:p>
              </w:tc>
              <w:tc>
                <w:tcPr>
                  <w:tcW w:w="1238" w:type="dxa"/>
                  <w:shd w:val="clear" w:color="auto" w:fill="FFFFFF"/>
                  <w:vAlign w:val="center"/>
                </w:tcPr>
                <w:p w14:paraId="7EAEF22E">
                  <w:pPr>
                    <w:keepNext w:val="0"/>
                    <w:keepLines w:val="0"/>
                    <w:suppressLineNumbers w:val="0"/>
                    <w:spacing w:before="0" w:beforeAutospacing="0" w:after="0" w:afterAutospacing="0" w:line="240" w:lineRule="auto"/>
                    <w:ind w:left="0" w:right="0"/>
                    <w:jc w:val="center"/>
                    <w:rPr>
                      <w:rFonts w:hint="eastAsia" w:cs="Times New Roman"/>
                      <w:bCs/>
                      <w:color w:val="000000" w:themeColor="text1"/>
                      <w:szCs w:val="21"/>
                      <w:highlight w:val="none"/>
                      <w:lang w:val="en-US" w:eastAsia="zh-CN"/>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依托现有</w:t>
                  </w:r>
                </w:p>
              </w:tc>
            </w:tr>
            <w:tr w14:paraId="12033A3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82" w:hRule="atLeast"/>
                <w:jc w:val="center"/>
              </w:trPr>
              <w:tc>
                <w:tcPr>
                  <w:tcW w:w="375" w:type="dxa"/>
                  <w:vMerge w:val="continue"/>
                  <w:shd w:val="clear" w:color="auto" w:fill="auto"/>
                  <w:vAlign w:val="center"/>
                </w:tcPr>
                <w:p w14:paraId="3E78411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040" w:type="dxa"/>
                  <w:shd w:val="clear" w:color="auto" w:fill="FFFFFF"/>
                  <w:vAlign w:val="center"/>
                </w:tcPr>
                <w:p w14:paraId="59B5BC6C">
                  <w:pPr>
                    <w:keepNext w:val="0"/>
                    <w:keepLines w:val="0"/>
                    <w:suppressLineNumbers w:val="0"/>
                    <w:spacing w:before="0" w:beforeAutospacing="0" w:after="0" w:afterAutospacing="0" w:line="240" w:lineRule="auto"/>
                    <w:ind w:left="0" w:right="0"/>
                    <w:jc w:val="center"/>
                    <w:rPr>
                      <w:rFonts w:hint="eastAsia" w:cs="Times New Roman"/>
                      <w:bCs/>
                      <w:color w:val="000000" w:themeColor="text1"/>
                      <w:szCs w:val="21"/>
                      <w:highlight w:val="none"/>
                      <w:lang w:val="en-US" w:eastAsia="zh-CN"/>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危险废物贮存库</w:t>
                  </w:r>
                </w:p>
              </w:tc>
              <w:tc>
                <w:tcPr>
                  <w:tcW w:w="5358" w:type="dxa"/>
                  <w:shd w:val="clear" w:color="auto" w:fill="FFFFFF"/>
                  <w:vAlign w:val="center"/>
                </w:tcPr>
                <w:p w14:paraId="6D9A9FF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危险废物贮存库占地面积5m</w:t>
                  </w:r>
                  <w:r>
                    <w:rPr>
                      <w:rFonts w:hint="default" w:ascii="Times New Roman" w:hAnsi="Times New Roman" w:cs="Times New Roman"/>
                      <w:color w:val="000000" w:themeColor="text1"/>
                      <w:sz w:val="21"/>
                      <w:szCs w:val="21"/>
                      <w:highlight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，位于仓库</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内</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，实时储存量不超过3t，采用</w:t>
                  </w:r>
                  <w:r>
                    <w:rPr>
                      <w:rFonts w:hint="eastAsia" w:cs="Times New Roman"/>
                      <w:color w:val="000000" w:themeColor="text1"/>
                      <w:sz w:val="21"/>
                      <w:szCs w:val="21"/>
                      <w:highlight w:val="none"/>
                      <w:lang w:val="en-US" w:eastAsia="zh-CN"/>
                      <w14:textFill>
                        <w14:solidFill>
                          <w14:schemeClr w14:val="tx1"/>
                        </w14:solidFill>
                      </w14:textFill>
                    </w:rPr>
                    <w:t>密闭</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桶收集，定期转运</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地面和裙脚做防渗，每个部分都应有防漏裙脚，地面与裙脚要用坚固、防渗材料建造，采用2mm厚的高密度聚乙烯，渗透系数≤1.0×10</w:t>
                  </w:r>
                  <w:r>
                    <w:rPr>
                      <w:rFonts w:hint="default" w:ascii="Times New Roman" w:hAnsi="Times New Roman" w:cs="Times New Roman"/>
                      <w:color w:val="000000" w:themeColor="text1"/>
                      <w:sz w:val="21"/>
                      <w:szCs w:val="21"/>
                      <w:highlight w:val="none"/>
                      <w:vertAlign w:val="superscript"/>
                      <w:lang w:val="en-US" w:eastAsia="zh-CN"/>
                      <w14:textFill>
                        <w14:solidFill>
                          <w14:schemeClr w14:val="tx1"/>
                        </w14:solidFill>
                      </w14:textFill>
                    </w:rPr>
                    <w:t>-10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cm/s，</w:t>
                  </w:r>
                  <w:r>
                    <w:rPr>
                      <w:rFonts w:hint="eastAsia" w:cs="Times New Roman"/>
                      <w:color w:val="000000" w:themeColor="text1"/>
                      <w:sz w:val="21"/>
                      <w:szCs w:val="21"/>
                      <w:highlight w:val="none"/>
                      <w:lang w:val="en-US" w:eastAsia="zh-CN"/>
                      <w14:textFill>
                        <w14:solidFill>
                          <w14:schemeClr w14:val="tx1"/>
                        </w14:solidFill>
                      </w14:textFill>
                    </w:rPr>
                    <w:t>贮存库</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外贴明显标识。</w:t>
                  </w:r>
                  <w:r>
                    <w:rPr>
                      <w:rFonts w:hint="default" w:ascii="Times New Roman" w:hAnsi="Times New Roman" w:cs="Times New Roman"/>
                      <w:bCs/>
                      <w:color w:val="000000" w:themeColor="text1"/>
                      <w:szCs w:val="21"/>
                      <w:highlight w:val="none"/>
                      <w:lang w:val="en-US" w:eastAsia="zh-CN"/>
                      <w14:textFill>
                        <w14:solidFill>
                          <w14:schemeClr w14:val="tx1"/>
                        </w14:solidFill>
                      </w14:textFill>
                    </w:rPr>
                    <w:t>符合《危险废物贮存污染控制标准》（GB18597-2023）要求，不属于仅贮存易产生粉尘、VOCs、酸雾、有毒有害废气、刺激性气味的危废仓库，因此，不建设配套的废气收集 + 净化处理设施。</w:t>
                  </w:r>
                </w:p>
              </w:tc>
              <w:tc>
                <w:tcPr>
                  <w:tcW w:w="1238" w:type="dxa"/>
                  <w:shd w:val="clear" w:color="auto" w:fill="FFFFFF"/>
                  <w:vAlign w:val="center"/>
                </w:tcPr>
                <w:p w14:paraId="0628F31C">
                  <w:pPr>
                    <w:keepNext w:val="0"/>
                    <w:keepLines w:val="0"/>
                    <w:suppressLineNumbers w:val="0"/>
                    <w:spacing w:before="0" w:beforeAutospacing="0" w:after="0" w:afterAutospacing="0" w:line="240" w:lineRule="auto"/>
                    <w:ind w:left="0" w:right="0"/>
                    <w:jc w:val="center"/>
                    <w:rPr>
                      <w:rFonts w:hint="eastAsia" w:cs="Times New Roman"/>
                      <w:bCs/>
                      <w:color w:val="000000" w:themeColor="text1"/>
                      <w:szCs w:val="21"/>
                      <w:highlight w:val="none"/>
                      <w:lang w:val="en-US" w:eastAsia="zh-CN"/>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新建</w:t>
                  </w:r>
                </w:p>
              </w:tc>
            </w:tr>
            <w:tr w14:paraId="57CAB58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52" w:hRule="atLeast"/>
                <w:jc w:val="center"/>
              </w:trPr>
              <w:tc>
                <w:tcPr>
                  <w:tcW w:w="375" w:type="dxa"/>
                  <w:vMerge w:val="restart"/>
                  <w:shd w:val="clear" w:color="auto" w:fill="auto"/>
                  <w:vAlign w:val="center"/>
                </w:tcPr>
                <w:p w14:paraId="4143618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辅助工程</w:t>
                  </w:r>
                </w:p>
              </w:tc>
              <w:tc>
                <w:tcPr>
                  <w:tcW w:w="1040" w:type="dxa"/>
                  <w:tcBorders>
                    <w:top w:val="single" w:color="auto" w:sz="4" w:space="0"/>
                  </w:tcBorders>
                  <w:shd w:val="clear" w:color="auto" w:fill="FFFFFF"/>
                  <w:vAlign w:val="center"/>
                </w:tcPr>
                <w:p w14:paraId="6C7EC23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办公室</w:t>
                  </w:r>
                </w:p>
              </w:tc>
              <w:tc>
                <w:tcPr>
                  <w:tcW w:w="5358" w:type="dxa"/>
                  <w:tcBorders>
                    <w:top w:val="single" w:color="auto" w:sz="4" w:space="0"/>
                  </w:tcBorders>
                  <w:shd w:val="clear" w:color="auto" w:fill="FFFFFF"/>
                  <w:vAlign w:val="center"/>
                </w:tcPr>
                <w:p w14:paraId="6767C01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一层</w:t>
                  </w:r>
                  <w:r>
                    <w:rPr>
                      <w:rFonts w:hint="eastAsia" w:cs="Times New Roman"/>
                      <w:bCs/>
                      <w:color w:val="000000" w:themeColor="text1"/>
                      <w:szCs w:val="21"/>
                      <w:highlight w:val="none"/>
                      <w:lang w:eastAsia="zh-CN"/>
                      <w14:textFill>
                        <w14:solidFill>
                          <w14:schemeClr w14:val="tx1"/>
                        </w14:solidFill>
                      </w14:textFill>
                    </w:rPr>
                    <w:t>砖木结构</w:t>
                  </w:r>
                  <w:r>
                    <w:rPr>
                      <w:rFonts w:hint="eastAsia" w:cs="Times New Roman"/>
                      <w:bCs/>
                      <w:color w:val="000000" w:themeColor="text1"/>
                      <w:szCs w:val="21"/>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建筑面积</w:t>
                  </w:r>
                  <w:r>
                    <w:rPr>
                      <w:rFonts w:hint="eastAsia" w:cs="Times New Roman"/>
                      <w:bCs/>
                      <w:color w:val="000000" w:themeColor="text1"/>
                      <w:szCs w:val="21"/>
                      <w:highlight w:val="none"/>
                      <w:lang w:val="en-US" w:eastAsia="zh-CN"/>
                      <w14:textFill>
                        <w14:solidFill>
                          <w14:schemeClr w14:val="tx1"/>
                        </w14:solidFill>
                      </w14:textFill>
                    </w:rPr>
                    <w:t>240</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m</w:t>
                  </w:r>
                  <w:r>
                    <w:rPr>
                      <w:rFonts w:hint="default" w:ascii="Times New Roman" w:hAnsi="Times New Roman" w:eastAsia="宋体" w:cs="Times New Roman"/>
                      <w:bCs/>
                      <w:color w:val="000000" w:themeColor="text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bCs/>
                      <w:color w:val="000000" w:themeColor="text1"/>
                      <w:szCs w:val="21"/>
                      <w:highlight w:val="none"/>
                      <w:vertAlign w:val="baseline"/>
                      <w:lang w:val="en-US" w:eastAsia="zh-CN"/>
                      <w14:textFill>
                        <w14:solidFill>
                          <w14:schemeClr w14:val="tx1"/>
                        </w14:solidFill>
                      </w14:textFill>
                    </w:rPr>
                    <w:t>，用于企业办公</w:t>
                  </w:r>
                  <w:r>
                    <w:rPr>
                      <w:rFonts w:hint="eastAsia" w:cs="Times New Roman"/>
                      <w:bCs/>
                      <w:color w:val="000000" w:themeColor="text1"/>
                      <w:szCs w:val="21"/>
                      <w:highlight w:val="none"/>
                      <w:vertAlign w:val="baseline"/>
                      <w:lang w:val="en-US" w:eastAsia="zh-CN"/>
                      <w14:textFill>
                        <w14:solidFill>
                          <w14:schemeClr w14:val="tx1"/>
                        </w14:solidFill>
                      </w14:textFill>
                    </w:rPr>
                    <w:t>、员工休息</w:t>
                  </w:r>
                </w:p>
              </w:tc>
              <w:tc>
                <w:tcPr>
                  <w:tcW w:w="1238" w:type="dxa"/>
                  <w:tcBorders>
                    <w:top w:val="single" w:color="auto" w:sz="4" w:space="0"/>
                  </w:tcBorders>
                  <w:shd w:val="clear" w:color="auto" w:fill="FFFFFF"/>
                  <w:vAlign w:val="center"/>
                </w:tcPr>
                <w:p w14:paraId="43521AD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依托现有厂房</w:t>
                  </w:r>
                </w:p>
              </w:tc>
            </w:tr>
            <w:tr w14:paraId="72DE441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52" w:hRule="atLeast"/>
                <w:jc w:val="center"/>
              </w:trPr>
              <w:tc>
                <w:tcPr>
                  <w:tcW w:w="375" w:type="dxa"/>
                  <w:vMerge w:val="continue"/>
                  <w:shd w:val="clear" w:color="auto" w:fill="auto"/>
                  <w:vAlign w:val="center"/>
                </w:tcPr>
                <w:p w14:paraId="1BE4C67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c>
                <w:tcPr>
                  <w:tcW w:w="1040" w:type="dxa"/>
                  <w:tcBorders>
                    <w:top w:val="single" w:color="auto" w:sz="4" w:space="0"/>
                  </w:tcBorders>
                  <w:shd w:val="clear" w:color="auto" w:fill="FFFFFF"/>
                  <w:vAlign w:val="center"/>
                </w:tcPr>
                <w:p w14:paraId="5781676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门卫</w:t>
                  </w:r>
                </w:p>
              </w:tc>
              <w:tc>
                <w:tcPr>
                  <w:tcW w:w="5358" w:type="dxa"/>
                  <w:tcBorders>
                    <w:top w:val="single" w:color="auto" w:sz="4" w:space="0"/>
                  </w:tcBorders>
                  <w:shd w:val="clear" w:color="auto" w:fill="FFFFFF"/>
                  <w:vAlign w:val="center"/>
                </w:tcPr>
                <w:p w14:paraId="07ADA673">
                  <w:pPr>
                    <w:keepNext w:val="0"/>
                    <w:keepLines w:val="0"/>
                    <w:suppressLineNumbers w:val="0"/>
                    <w:spacing w:before="0" w:beforeAutospacing="0" w:after="0" w:afterAutospacing="0" w:line="240" w:lineRule="auto"/>
                    <w:ind w:left="0" w:right="0"/>
                    <w:jc w:val="center"/>
                    <w:rPr>
                      <w:rFonts w:hint="default" w:cs="Times New Roman"/>
                      <w:bCs/>
                      <w:color w:val="000000" w:themeColor="text1"/>
                      <w:szCs w:val="21"/>
                      <w:highlight w:val="none"/>
                      <w:lang w:val="en-US" w:eastAsia="zh-CN"/>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一层</w:t>
                  </w:r>
                  <w:r>
                    <w:rPr>
                      <w:rFonts w:hint="eastAsia" w:cs="Times New Roman"/>
                      <w:bCs/>
                      <w:color w:val="000000" w:themeColor="text1"/>
                      <w:szCs w:val="21"/>
                      <w:highlight w:val="none"/>
                      <w:lang w:eastAsia="zh-CN"/>
                      <w14:textFill>
                        <w14:solidFill>
                          <w14:schemeClr w14:val="tx1"/>
                        </w14:solidFill>
                      </w14:textFill>
                    </w:rPr>
                    <w:t>砖木结构</w:t>
                  </w:r>
                  <w:r>
                    <w:rPr>
                      <w:rFonts w:hint="eastAsia" w:cs="Times New Roman"/>
                      <w:bCs/>
                      <w:color w:val="000000" w:themeColor="text1"/>
                      <w:szCs w:val="21"/>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建筑面积</w:t>
                  </w:r>
                  <w:r>
                    <w:rPr>
                      <w:rFonts w:hint="eastAsia" w:cs="Times New Roman"/>
                      <w:bCs/>
                      <w:color w:val="000000" w:themeColor="text1"/>
                      <w:szCs w:val="21"/>
                      <w:highlight w:val="none"/>
                      <w:lang w:val="en-US" w:eastAsia="zh-CN"/>
                      <w14:textFill>
                        <w14:solidFill>
                          <w14:schemeClr w14:val="tx1"/>
                        </w14:solidFill>
                      </w14:textFill>
                    </w:rPr>
                    <w:t>40</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m</w:t>
                  </w:r>
                  <w:r>
                    <w:rPr>
                      <w:rFonts w:hint="default" w:ascii="Times New Roman" w:hAnsi="Times New Roman" w:eastAsia="宋体" w:cs="Times New Roman"/>
                      <w:bCs/>
                      <w:color w:val="000000" w:themeColor="text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bCs/>
                      <w:color w:val="000000" w:themeColor="text1"/>
                      <w:szCs w:val="21"/>
                      <w:highlight w:val="none"/>
                      <w:vertAlign w:val="baseline"/>
                      <w:lang w:val="en-US" w:eastAsia="zh-CN"/>
                      <w14:textFill>
                        <w14:solidFill>
                          <w14:schemeClr w14:val="tx1"/>
                        </w14:solidFill>
                      </w14:textFill>
                    </w:rPr>
                    <w:t>，用于</w:t>
                  </w:r>
                  <w:r>
                    <w:rPr>
                      <w:rFonts w:hint="eastAsia" w:cs="Times New Roman"/>
                      <w:bCs/>
                      <w:color w:val="000000" w:themeColor="text1"/>
                      <w:szCs w:val="21"/>
                      <w:highlight w:val="none"/>
                      <w:vertAlign w:val="baseline"/>
                      <w:lang w:val="en-US" w:eastAsia="zh-CN"/>
                      <w14:textFill>
                        <w14:solidFill>
                          <w14:schemeClr w14:val="tx1"/>
                        </w14:solidFill>
                      </w14:textFill>
                    </w:rPr>
                    <w:t>值班休息</w:t>
                  </w:r>
                </w:p>
              </w:tc>
              <w:tc>
                <w:tcPr>
                  <w:tcW w:w="1238" w:type="dxa"/>
                  <w:tcBorders>
                    <w:top w:val="single" w:color="auto" w:sz="4" w:space="0"/>
                  </w:tcBorders>
                  <w:shd w:val="clear" w:color="auto" w:fill="FFFFFF"/>
                  <w:vAlign w:val="center"/>
                </w:tcPr>
                <w:p w14:paraId="0C5BA3E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eastAsia="zh-CN"/>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依托现有厂房</w:t>
                  </w:r>
                </w:p>
              </w:tc>
            </w:tr>
            <w:tr w14:paraId="6DDFB2A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84" w:hRule="atLeast"/>
                <w:jc w:val="center"/>
              </w:trPr>
              <w:tc>
                <w:tcPr>
                  <w:tcW w:w="375" w:type="dxa"/>
                  <w:vMerge w:val="continue"/>
                  <w:shd w:val="clear" w:color="auto" w:fill="auto"/>
                  <w:vAlign w:val="center"/>
                </w:tcPr>
                <w:p w14:paraId="1B553AB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c>
                <w:tcPr>
                  <w:tcW w:w="1040" w:type="dxa"/>
                  <w:tcBorders>
                    <w:top w:val="single" w:color="auto" w:sz="4" w:space="0"/>
                  </w:tcBorders>
                  <w:shd w:val="clear" w:color="auto" w:fill="FFFFFF"/>
                  <w:vAlign w:val="center"/>
                </w:tcPr>
                <w:p w14:paraId="6D452D2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仓库</w:t>
                  </w:r>
                </w:p>
              </w:tc>
              <w:tc>
                <w:tcPr>
                  <w:tcW w:w="5358" w:type="dxa"/>
                  <w:tcBorders>
                    <w:top w:val="single" w:color="auto" w:sz="4" w:space="0"/>
                  </w:tcBorders>
                  <w:shd w:val="clear" w:color="auto" w:fill="FFFFFF"/>
                  <w:vAlign w:val="center"/>
                </w:tcPr>
                <w:p w14:paraId="0BE269C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仓库位于厂区东侧，一层</w:t>
                  </w:r>
                  <w:r>
                    <w:rPr>
                      <w:rFonts w:hint="eastAsia" w:cs="Times New Roman"/>
                      <w:bCs/>
                      <w:color w:val="000000" w:themeColor="text1"/>
                      <w:szCs w:val="21"/>
                      <w:highlight w:val="none"/>
                      <w:lang w:eastAsia="zh-CN"/>
                      <w14:textFill>
                        <w14:solidFill>
                          <w14:schemeClr w14:val="tx1"/>
                        </w14:solidFill>
                      </w14:textFill>
                    </w:rPr>
                    <w:t>砖木结构</w:t>
                  </w:r>
                  <w:r>
                    <w:rPr>
                      <w:rFonts w:hint="eastAsia" w:cs="Times New Roman"/>
                      <w:bCs/>
                      <w:color w:val="000000" w:themeColor="text1"/>
                      <w:szCs w:val="21"/>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建筑面积</w:t>
                  </w:r>
                  <w:r>
                    <w:rPr>
                      <w:rFonts w:hint="eastAsia" w:cs="Times New Roman"/>
                      <w:bCs/>
                      <w:color w:val="000000" w:themeColor="text1"/>
                      <w:szCs w:val="21"/>
                      <w:highlight w:val="none"/>
                      <w:lang w:val="en-US" w:eastAsia="zh-CN"/>
                      <w14:textFill>
                        <w14:solidFill>
                          <w14:schemeClr w14:val="tx1"/>
                        </w14:solidFill>
                      </w14:textFill>
                    </w:rPr>
                    <w:t>200</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m</w:t>
                  </w:r>
                  <w:r>
                    <w:rPr>
                      <w:rFonts w:hint="default" w:ascii="Times New Roman" w:hAnsi="Times New Roman" w:eastAsia="宋体" w:cs="Times New Roman"/>
                      <w:bCs/>
                      <w:color w:val="000000" w:themeColor="text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bCs/>
                      <w:color w:val="000000" w:themeColor="text1"/>
                      <w:szCs w:val="21"/>
                      <w:highlight w:val="none"/>
                      <w:lang w:val="en-US" w:eastAsia="zh-CN"/>
                      <w14:textFill>
                        <w14:solidFill>
                          <w14:schemeClr w14:val="tx1"/>
                        </w14:solidFill>
                      </w14:textFill>
                    </w:rPr>
                    <w:t>，用于堆放闲置物品</w:t>
                  </w:r>
                </w:p>
              </w:tc>
              <w:tc>
                <w:tcPr>
                  <w:tcW w:w="1238" w:type="dxa"/>
                  <w:tcBorders>
                    <w:top w:val="single" w:color="auto" w:sz="4" w:space="0"/>
                  </w:tcBorders>
                  <w:shd w:val="clear" w:color="auto" w:fill="FFFFFF"/>
                  <w:vAlign w:val="center"/>
                </w:tcPr>
                <w:p w14:paraId="7AC2A3E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eastAsia="zh-CN"/>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依托现有厂房</w:t>
                  </w:r>
                </w:p>
              </w:tc>
            </w:tr>
            <w:tr w14:paraId="372F92E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1" w:hRule="atLeast"/>
                <w:jc w:val="center"/>
              </w:trPr>
              <w:tc>
                <w:tcPr>
                  <w:tcW w:w="375" w:type="dxa"/>
                  <w:vMerge w:val="restart"/>
                  <w:vAlign w:val="center"/>
                </w:tcPr>
                <w:p w14:paraId="695BF04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公用工程</w:t>
                  </w:r>
                </w:p>
              </w:tc>
              <w:tc>
                <w:tcPr>
                  <w:tcW w:w="1040" w:type="dxa"/>
                  <w:vAlign w:val="center"/>
                </w:tcPr>
                <w:p w14:paraId="628ACB7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供水</w:t>
                  </w:r>
                </w:p>
              </w:tc>
              <w:tc>
                <w:tcPr>
                  <w:tcW w:w="5358" w:type="dxa"/>
                  <w:vAlign w:val="center"/>
                </w:tcPr>
                <w:p w14:paraId="310B17B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由厂区自打水井供给</w:t>
                  </w:r>
                </w:p>
              </w:tc>
              <w:tc>
                <w:tcPr>
                  <w:tcW w:w="1238" w:type="dxa"/>
                  <w:vAlign w:val="center"/>
                </w:tcPr>
                <w:p w14:paraId="31451B7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bCs/>
                      <w:color w:val="000000" w:themeColor="text1"/>
                      <w:szCs w:val="21"/>
                      <w:highlight w:val="none"/>
                      <w14:textFill>
                        <w14:solidFill>
                          <w14:schemeClr w14:val="tx1"/>
                        </w14:solidFill>
                      </w14:textFill>
                    </w:rPr>
                    <w:t>/</w:t>
                  </w:r>
                </w:p>
              </w:tc>
            </w:tr>
            <w:tr w14:paraId="2B38C11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375" w:type="dxa"/>
                  <w:vMerge w:val="continue"/>
                  <w:shd w:val="clear" w:color="auto" w:fill="auto"/>
                  <w:vAlign w:val="center"/>
                </w:tcPr>
                <w:p w14:paraId="7AE91C5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040" w:type="dxa"/>
                  <w:shd w:val="clear" w:color="auto" w:fill="FFFFFF"/>
                  <w:vAlign w:val="center"/>
                </w:tcPr>
                <w:p w14:paraId="30F4DCD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排水</w:t>
                  </w:r>
                </w:p>
              </w:tc>
              <w:tc>
                <w:tcPr>
                  <w:tcW w:w="5358" w:type="dxa"/>
                  <w:shd w:val="clear" w:color="auto" w:fill="FFFFFF"/>
                  <w:vAlign w:val="center"/>
                </w:tcPr>
                <w:p w14:paraId="78743E8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本项目无生产用水，生活污水排入防渗旱厕</w:t>
                  </w:r>
                  <w:r>
                    <w:rPr>
                      <w:rFonts w:hint="eastAsia" w:cs="Times New Roman"/>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1"/>
                      <w:highlight w:val="none"/>
                      <w14:textFill>
                        <w14:solidFill>
                          <w14:schemeClr w14:val="tx1"/>
                        </w14:solidFill>
                      </w14:textFill>
                    </w:rPr>
                    <w:t>定期清掏</w:t>
                  </w:r>
                  <w:r>
                    <w:rPr>
                      <w:rFonts w:hint="eastAsia" w:cs="Times New Roman"/>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1"/>
                      <w:highlight w:val="none"/>
                      <w14:textFill>
                        <w14:solidFill>
                          <w14:schemeClr w14:val="tx1"/>
                        </w14:solidFill>
                      </w14:textFill>
                    </w:rPr>
                    <w:t>外运堆肥</w:t>
                  </w:r>
                </w:p>
              </w:tc>
              <w:tc>
                <w:tcPr>
                  <w:tcW w:w="1238" w:type="dxa"/>
                  <w:shd w:val="clear" w:color="auto" w:fill="FFFFFF"/>
                  <w:vAlign w:val="center"/>
                </w:tcPr>
                <w:p w14:paraId="5749BCD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bCs/>
                      <w:color w:val="000000" w:themeColor="text1"/>
                      <w:szCs w:val="21"/>
                      <w:highlight w:val="none"/>
                      <w14:textFill>
                        <w14:solidFill>
                          <w14:schemeClr w14:val="tx1"/>
                        </w14:solidFill>
                      </w14:textFill>
                    </w:rPr>
                    <w:t>/</w:t>
                  </w:r>
                </w:p>
              </w:tc>
            </w:tr>
            <w:tr w14:paraId="3124A8A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57" w:hRule="atLeast"/>
                <w:jc w:val="center"/>
              </w:trPr>
              <w:tc>
                <w:tcPr>
                  <w:tcW w:w="375" w:type="dxa"/>
                  <w:vMerge w:val="continue"/>
                  <w:shd w:val="clear" w:color="auto" w:fill="auto"/>
                  <w:vAlign w:val="center"/>
                </w:tcPr>
                <w:p w14:paraId="671158A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040" w:type="dxa"/>
                  <w:shd w:val="clear" w:color="auto" w:fill="FFFFFF"/>
                  <w:vAlign w:val="center"/>
                </w:tcPr>
                <w:p w14:paraId="711532D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供热</w:t>
                  </w:r>
                </w:p>
              </w:tc>
              <w:tc>
                <w:tcPr>
                  <w:tcW w:w="5358" w:type="dxa"/>
                  <w:shd w:val="clear" w:color="auto" w:fill="FFFFFF"/>
                  <w:vAlign w:val="center"/>
                </w:tcPr>
                <w:p w14:paraId="2D82BA0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生产供热由新建一台</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600万大卡</w:t>
                  </w:r>
                  <w:r>
                    <w:rPr>
                      <w:rFonts w:hint="default" w:ascii="Times New Roman" w:hAnsi="Times New Roman" w:eastAsia="宋体" w:cs="Times New Roman"/>
                      <w:color w:val="000000" w:themeColor="text1"/>
                      <w:szCs w:val="21"/>
                      <w:highlight w:val="none"/>
                      <w14:textFill>
                        <w14:solidFill>
                          <w14:schemeClr w14:val="tx1"/>
                        </w14:solidFill>
                      </w14:textFill>
                    </w:rPr>
                    <w:t>燃生物质热风炉提供，</w:t>
                  </w:r>
                  <w:r>
                    <w:rPr>
                      <w:rFonts w:hint="default" w:ascii="Times New Roman" w:hAnsi="Times New Roman" w:eastAsia="宋体" w:cs="Times New Roman"/>
                      <w:bCs/>
                      <w:color w:val="000000" w:themeColor="text1"/>
                      <w:szCs w:val="21"/>
                      <w:highlight w:val="none"/>
                      <w14:textFill>
                        <w14:solidFill>
                          <w14:schemeClr w14:val="tx1"/>
                        </w14:solidFill>
                      </w14:textFill>
                    </w:rPr>
                    <w:t>燃用生物质成型燃料，</w:t>
                  </w:r>
                  <w:r>
                    <w:rPr>
                      <w:rFonts w:hint="default" w:ascii="Times New Roman" w:hAnsi="Times New Roman" w:eastAsia="宋体" w:cs="Times New Roman"/>
                      <w:color w:val="000000" w:themeColor="text1"/>
                      <w:szCs w:val="21"/>
                      <w:highlight w:val="none"/>
                      <w14:textFill>
                        <w14:solidFill>
                          <w14:schemeClr w14:val="tx1"/>
                        </w14:solidFill>
                      </w14:textFill>
                    </w:rPr>
                    <w:t>消耗量为</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2507.74</w:t>
                  </w:r>
                  <w:r>
                    <w:rPr>
                      <w:rFonts w:hint="default" w:ascii="Times New Roman" w:hAnsi="Times New Roman" w:eastAsia="宋体" w:cs="Times New Roman"/>
                      <w:color w:val="000000" w:themeColor="text1"/>
                      <w:szCs w:val="21"/>
                      <w:highlight w:val="none"/>
                      <w14:textFill>
                        <w14:solidFill>
                          <w14:schemeClr w14:val="tx1"/>
                        </w14:solidFill>
                      </w14:textFill>
                    </w:rPr>
                    <w:t>t/a，烟囱高</w:t>
                  </w:r>
                  <w:r>
                    <w:rPr>
                      <w:rFonts w:hint="eastAsia" w:cs="Times New Roman"/>
                      <w:color w:val="000000" w:themeColor="text1"/>
                      <w:szCs w:val="21"/>
                      <w:highlight w:val="none"/>
                      <w:lang w:val="en-US" w:eastAsia="zh-CN"/>
                      <w14:textFill>
                        <w14:solidFill>
                          <w14:schemeClr w14:val="tx1"/>
                        </w14:solidFill>
                      </w14:textFill>
                    </w:rPr>
                    <w:t>15</w:t>
                  </w:r>
                  <w:r>
                    <w:rPr>
                      <w:rFonts w:hint="default" w:ascii="Times New Roman" w:hAnsi="Times New Roman" w:eastAsia="宋体" w:cs="Times New Roman"/>
                      <w:color w:val="000000" w:themeColor="text1"/>
                      <w:szCs w:val="21"/>
                      <w:highlight w:val="none"/>
                      <w14:textFill>
                        <w14:solidFill>
                          <w14:schemeClr w14:val="tx1"/>
                        </w14:solidFill>
                      </w14:textFill>
                    </w:rPr>
                    <w:t>m</w:t>
                  </w:r>
                  <w:r>
                    <w:rPr>
                      <w:rFonts w:hint="default" w:ascii="Times New Roman" w:hAnsi="Times New Roman" w:eastAsia="宋体" w:cs="Times New Roman"/>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办公室</w:t>
                  </w:r>
                  <w:r>
                    <w:rPr>
                      <w:rFonts w:hint="default" w:ascii="Times New Roman" w:hAnsi="Times New Roman" w:eastAsia="宋体" w:cs="Times New Roman"/>
                      <w:color w:val="000000" w:themeColor="text1"/>
                      <w:highlight w:val="none"/>
                      <w:lang w:val="en-US" w:eastAsia="zh-CN"/>
                      <w14:textFill>
                        <w14:solidFill>
                          <w14:schemeClr w14:val="tx1"/>
                        </w14:solidFill>
                      </w14:textFill>
                    </w:rPr>
                    <w:t>冬季供暖为电供暖</w:t>
                  </w:r>
                </w:p>
              </w:tc>
              <w:tc>
                <w:tcPr>
                  <w:tcW w:w="1238" w:type="dxa"/>
                  <w:shd w:val="clear" w:color="auto" w:fill="FFFFFF"/>
                  <w:vAlign w:val="center"/>
                </w:tcPr>
                <w:p w14:paraId="22097D9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新建</w:t>
                  </w:r>
                </w:p>
              </w:tc>
            </w:tr>
            <w:tr w14:paraId="0720CCC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375" w:type="dxa"/>
                  <w:vMerge w:val="continue"/>
                  <w:shd w:val="clear" w:color="auto" w:fill="auto"/>
                  <w:vAlign w:val="center"/>
                </w:tcPr>
                <w:p w14:paraId="64882D9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040" w:type="dxa"/>
                  <w:shd w:val="clear" w:color="auto" w:fill="FFFFFF"/>
                  <w:vAlign w:val="center"/>
                </w:tcPr>
                <w:p w14:paraId="6ACEAE6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供电</w:t>
                  </w:r>
                </w:p>
              </w:tc>
              <w:tc>
                <w:tcPr>
                  <w:tcW w:w="5358" w:type="dxa"/>
                  <w:shd w:val="clear" w:color="auto" w:fill="FFFFFF"/>
                  <w:vAlign w:val="center"/>
                </w:tcPr>
                <w:p w14:paraId="44A225B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用电由所在地供电电网提供</w:t>
                  </w:r>
                </w:p>
              </w:tc>
              <w:tc>
                <w:tcPr>
                  <w:tcW w:w="1238" w:type="dxa"/>
                  <w:shd w:val="clear" w:color="auto" w:fill="FFFFFF"/>
                  <w:vAlign w:val="center"/>
                </w:tcPr>
                <w:p w14:paraId="2377F3A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bCs/>
                      <w:color w:val="000000" w:themeColor="text1"/>
                      <w:szCs w:val="21"/>
                      <w:highlight w:val="none"/>
                      <w14:textFill>
                        <w14:solidFill>
                          <w14:schemeClr w14:val="tx1"/>
                        </w14:solidFill>
                      </w14:textFill>
                    </w:rPr>
                    <w:t>依托</w:t>
                  </w:r>
                </w:p>
              </w:tc>
            </w:tr>
            <w:tr w14:paraId="29FC144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472" w:hRule="atLeast"/>
                <w:jc w:val="center"/>
              </w:trPr>
              <w:tc>
                <w:tcPr>
                  <w:tcW w:w="375" w:type="dxa"/>
                  <w:vMerge w:val="restart"/>
                  <w:vAlign w:val="center"/>
                </w:tcPr>
                <w:p w14:paraId="28692B8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环保工程</w:t>
                  </w:r>
                </w:p>
              </w:tc>
              <w:tc>
                <w:tcPr>
                  <w:tcW w:w="1040" w:type="dxa"/>
                  <w:vAlign w:val="center"/>
                </w:tcPr>
                <w:p w14:paraId="0CA1C38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废气防治措施</w:t>
                  </w:r>
                </w:p>
              </w:tc>
              <w:tc>
                <w:tcPr>
                  <w:tcW w:w="5358" w:type="dxa"/>
                  <w:vAlign w:val="center"/>
                </w:tcPr>
                <w:p w14:paraId="2E67D62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晾晒</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场</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地面</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进行</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硬化，</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原</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粮含水率高不易起尘，加盖苫布，设置防风抑尘网，大风天气暂停装卸作业</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原粮</w:t>
                  </w:r>
                  <w:r>
                    <w:rPr>
                      <w:rFonts w:hint="default" w:ascii="Times New Roman" w:hAnsi="Times New Roman" w:eastAsia="宋体" w:cs="Times New Roman"/>
                      <w:color w:val="000000" w:themeColor="text1"/>
                      <w:szCs w:val="21"/>
                      <w:highlight w:val="none"/>
                      <w14:textFill>
                        <w14:solidFill>
                          <w14:schemeClr w14:val="tx1"/>
                        </w14:solidFill>
                      </w14:textFill>
                    </w:rPr>
                    <w:t>装卸过程通过设置临时围挡，减小装卸高度等措施进行降尘，粉尘排放量约减少</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Cs w:val="21"/>
                      <w:highlight w:val="none"/>
                      <w14:textFill>
                        <w14:solidFill>
                          <w14:schemeClr w14:val="tx1"/>
                        </w14:solidFill>
                      </w14:textFill>
                    </w:rPr>
                    <w:t>0%。输送过程采用封闭输送带进行输送，减少粉尘的产生</w:t>
                  </w:r>
                  <w:r>
                    <w:rPr>
                      <w:rFonts w:hint="eastAsia" w:cs="Times New Roman"/>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原粮</w:t>
                  </w:r>
                  <w:r>
                    <w:rPr>
                      <w:rFonts w:hint="default" w:ascii="Times New Roman" w:hAnsi="Times New Roman" w:eastAsia="宋体" w:cs="Times New Roman"/>
                      <w:color w:val="000000" w:themeColor="text1"/>
                      <w:szCs w:val="21"/>
                      <w:highlight w:val="none"/>
                      <w14:textFill>
                        <w14:solidFill>
                          <w14:schemeClr w14:val="tx1"/>
                        </w14:solidFill>
                      </w14:textFill>
                    </w:rPr>
                    <w:t>筛选过程中会有粉尘产生，采用</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密闭式滚筒筛</w:t>
                  </w:r>
                  <w:r>
                    <w:rPr>
                      <w:rFonts w:hint="default" w:ascii="Times New Roman" w:hAnsi="Times New Roman" w:eastAsia="宋体" w:cs="Times New Roman"/>
                      <w:color w:val="000000" w:themeColor="text1"/>
                      <w:szCs w:val="21"/>
                      <w:highlight w:val="none"/>
                      <w14:textFill>
                        <w14:solidFill>
                          <w14:schemeClr w14:val="tx1"/>
                        </w14:solidFill>
                      </w14:textFill>
                    </w:rPr>
                    <w:t>，原粮筛分粉尘排放量约为产生量的10%，粉尘以无组织方式排放</w:t>
                  </w:r>
                  <w:r>
                    <w:rPr>
                      <w:rFonts w:hint="eastAsia" w:cs="Times New Roman"/>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原粮</w:t>
                  </w:r>
                  <w:r>
                    <w:rPr>
                      <w:rFonts w:hint="default" w:ascii="Times New Roman" w:hAnsi="Times New Roman" w:eastAsia="宋体" w:cs="Times New Roman"/>
                      <w:color w:val="000000" w:themeColor="text1"/>
                      <w:szCs w:val="21"/>
                      <w:highlight w:val="none"/>
                      <w14:textFill>
                        <w14:solidFill>
                          <w14:schemeClr w14:val="tx1"/>
                        </w14:solidFill>
                      </w14:textFill>
                    </w:rPr>
                    <w:t>烘干过程中会有粉尘产生，烘干塔塔体两侧排气孔设置折流挡板，</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粉尘受挡板格挡后受重力作用回落到烘干塔底部收尘设施中</w:t>
                  </w:r>
                  <w:r>
                    <w:rPr>
                      <w:rFonts w:hint="eastAsia" w:cs="Times New Roman"/>
                      <w:color w:val="000000" w:themeColor="text1"/>
                      <w:szCs w:val="21"/>
                      <w:highlight w:val="none"/>
                      <w:lang w:val="en-US" w:eastAsia="zh-CN"/>
                      <w14:textFill>
                        <w14:solidFill>
                          <w14:schemeClr w14:val="tx1"/>
                        </w14:solidFill>
                      </w14:textFill>
                    </w:rPr>
                    <w:t>（定期收集外售综合利用）</w:t>
                  </w:r>
                  <w:r>
                    <w:rPr>
                      <w:rFonts w:hint="default" w:ascii="Times New Roman" w:hAnsi="Times New Roman" w:eastAsia="宋体" w:cs="Times New Roman"/>
                      <w:color w:val="000000" w:themeColor="text1"/>
                      <w:szCs w:val="21"/>
                      <w:highlight w:val="none"/>
                      <w14:textFill>
                        <w14:solidFill>
                          <w14:schemeClr w14:val="tx1"/>
                        </w14:solidFill>
                      </w14:textFill>
                    </w:rPr>
                    <w:t>，塔顶排气孔设滤尘网，除尘效率可达70%，可有效阻止粉尘无组织排放</w:t>
                  </w:r>
                  <w:r>
                    <w:rPr>
                      <w:rFonts w:hint="eastAsia" w:cs="Times New Roman"/>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无组织颗粒物排放达标。</w:t>
                  </w:r>
                  <w:r>
                    <w:rPr>
                      <w:rFonts w:hint="default" w:ascii="Times New Roman" w:hAnsi="Times New Roman" w:eastAsia="宋体" w:cs="Times New Roman"/>
                      <w:color w:val="000000" w:themeColor="text1"/>
                      <w:szCs w:val="21"/>
                      <w:highlight w:val="none"/>
                      <w14:textFill>
                        <w14:solidFill>
                          <w14:schemeClr w14:val="tx1"/>
                        </w14:solidFill>
                      </w14:textFill>
                    </w:rPr>
                    <w:t>热风炉废气经布袋除尘器（除尘效率</w:t>
                  </w:r>
                  <w:r>
                    <w:rPr>
                      <w:rFonts w:hint="eastAsia" w:cs="Times New Roman"/>
                      <w:color w:val="000000" w:themeColor="text1"/>
                      <w:szCs w:val="21"/>
                      <w:highlight w:val="none"/>
                      <w:lang w:eastAsia="zh-CN"/>
                      <w14:textFill>
                        <w14:solidFill>
                          <w14:schemeClr w14:val="tx1"/>
                        </w14:solidFill>
                      </w14:textFill>
                    </w:rPr>
                    <w:t>99.5%</w:t>
                  </w:r>
                  <w:r>
                    <w:rPr>
                      <w:rFonts w:hint="default" w:ascii="Times New Roman" w:hAnsi="Times New Roman" w:eastAsia="宋体" w:cs="Times New Roman"/>
                      <w:color w:val="000000" w:themeColor="text1"/>
                      <w:szCs w:val="21"/>
                      <w:highlight w:val="none"/>
                      <w14:textFill>
                        <w14:solidFill>
                          <w14:schemeClr w14:val="tx1"/>
                        </w14:solidFill>
                      </w14:textFill>
                    </w:rPr>
                    <w:t>）除尘后，经</w:t>
                  </w:r>
                  <w:r>
                    <w:rPr>
                      <w:rFonts w:hint="eastAsia" w:cs="Times New Roman"/>
                      <w:color w:val="000000" w:themeColor="text1"/>
                      <w:szCs w:val="21"/>
                      <w:highlight w:val="none"/>
                      <w:lang w:val="en-US" w:eastAsia="zh-CN"/>
                      <w14:textFill>
                        <w14:solidFill>
                          <w14:schemeClr w14:val="tx1"/>
                        </w14:solidFill>
                      </w14:textFill>
                    </w:rPr>
                    <w:t>15</w:t>
                  </w:r>
                  <w:r>
                    <w:rPr>
                      <w:rFonts w:hint="default" w:ascii="Times New Roman" w:hAnsi="Times New Roman" w:eastAsia="宋体" w:cs="Times New Roman"/>
                      <w:color w:val="000000" w:themeColor="text1"/>
                      <w:szCs w:val="21"/>
                      <w:highlight w:val="none"/>
                      <w14:textFill>
                        <w14:solidFill>
                          <w14:schemeClr w14:val="tx1"/>
                        </w14:solidFill>
                      </w14:textFill>
                    </w:rPr>
                    <w:t>m高烟囱</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（DA001）</w:t>
                  </w:r>
                  <w:r>
                    <w:rPr>
                      <w:rFonts w:hint="default" w:ascii="Times New Roman" w:hAnsi="Times New Roman" w:eastAsia="宋体" w:cs="Times New Roman"/>
                      <w:color w:val="000000" w:themeColor="text1"/>
                      <w:szCs w:val="21"/>
                      <w:highlight w:val="none"/>
                      <w14:textFill>
                        <w14:solidFill>
                          <w14:schemeClr w14:val="tx1"/>
                        </w14:solidFill>
                      </w14:textFill>
                    </w:rPr>
                    <w:t>排放。</w:t>
                  </w:r>
                </w:p>
              </w:tc>
              <w:tc>
                <w:tcPr>
                  <w:tcW w:w="1238" w:type="dxa"/>
                  <w:vAlign w:val="center"/>
                </w:tcPr>
                <w:p w14:paraId="2FA8E9AC">
                  <w:pPr>
                    <w:pStyle w:val="69"/>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新建</w:t>
                  </w:r>
                </w:p>
              </w:tc>
            </w:tr>
            <w:tr w14:paraId="2473866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98" w:hRule="atLeast"/>
                <w:jc w:val="center"/>
              </w:trPr>
              <w:tc>
                <w:tcPr>
                  <w:tcW w:w="375" w:type="dxa"/>
                  <w:vMerge w:val="continue"/>
                  <w:vAlign w:val="center"/>
                </w:tcPr>
                <w:p w14:paraId="4567475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040" w:type="dxa"/>
                  <w:vAlign w:val="center"/>
                </w:tcPr>
                <w:p w14:paraId="7F532A1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噪声防治措施</w:t>
                  </w:r>
                </w:p>
              </w:tc>
              <w:tc>
                <w:tcPr>
                  <w:tcW w:w="5358" w:type="dxa"/>
                  <w:vAlign w:val="center"/>
                </w:tcPr>
                <w:p w14:paraId="799AEF7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选用低噪声设备，采取隔声、减振等措施，热风炉房密闭等措施，厂界满足《工业企业厂界环境噪声排放标准》（GB12348-2008）中2类标准限值要求</w:t>
                  </w:r>
                </w:p>
              </w:tc>
              <w:tc>
                <w:tcPr>
                  <w:tcW w:w="1238" w:type="dxa"/>
                  <w:vAlign w:val="center"/>
                </w:tcPr>
                <w:p w14:paraId="4EA567A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新建</w:t>
                  </w:r>
                </w:p>
              </w:tc>
            </w:tr>
            <w:tr w14:paraId="04B9255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375" w:type="dxa"/>
                  <w:vMerge w:val="continue"/>
                  <w:vAlign w:val="center"/>
                </w:tcPr>
                <w:p w14:paraId="57A03D0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040" w:type="dxa"/>
                  <w:vAlign w:val="center"/>
                </w:tcPr>
                <w:p w14:paraId="50A8621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废水防治措施</w:t>
                  </w:r>
                </w:p>
              </w:tc>
              <w:tc>
                <w:tcPr>
                  <w:tcW w:w="5358" w:type="dxa"/>
                  <w:vAlign w:val="center"/>
                </w:tcPr>
                <w:p w14:paraId="081378A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无生产废水产生，不新增定员，无新增生活污水，现有工程员工生活污水</w:t>
                  </w:r>
                  <w:r>
                    <w:rPr>
                      <w:rFonts w:hint="default" w:ascii="Times New Roman" w:hAnsi="Times New Roman" w:eastAsia="宋体" w:cs="Times New Roman"/>
                      <w:color w:val="000000" w:themeColor="text1"/>
                      <w:kern w:val="0"/>
                      <w:szCs w:val="21"/>
                      <w:highlight w:val="none"/>
                      <w14:textFill>
                        <w14:solidFill>
                          <w14:schemeClr w14:val="tx1"/>
                        </w14:solidFill>
                      </w14:textFill>
                    </w:rPr>
                    <w:t>排入防渗</w:t>
                  </w:r>
                  <w: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t>旱厕</w:t>
                  </w:r>
                  <w:r>
                    <w:rPr>
                      <w:rFonts w:hint="default" w:ascii="Times New Roman" w:hAnsi="Times New Roman" w:eastAsia="宋体" w:cs="Times New Roman"/>
                      <w:color w:val="000000" w:themeColor="text1"/>
                      <w:kern w:val="0"/>
                      <w:szCs w:val="21"/>
                      <w:highlight w:val="none"/>
                      <w14:textFill>
                        <w14:solidFill>
                          <w14:schemeClr w14:val="tx1"/>
                        </w14:solidFill>
                      </w14:textFill>
                    </w:rPr>
                    <w:t>，定期清掏，外运堆肥</w:t>
                  </w:r>
                </w:p>
              </w:tc>
              <w:tc>
                <w:tcPr>
                  <w:tcW w:w="1238" w:type="dxa"/>
                  <w:vAlign w:val="center"/>
                </w:tcPr>
                <w:p w14:paraId="5E0B91D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bCs/>
                      <w:color w:val="000000" w:themeColor="text1"/>
                      <w:szCs w:val="21"/>
                      <w:highlight w:val="none"/>
                      <w14:textFill>
                        <w14:solidFill>
                          <w14:schemeClr w14:val="tx1"/>
                        </w14:solidFill>
                      </w14:textFill>
                    </w:rPr>
                    <w:t>/</w:t>
                  </w:r>
                </w:p>
              </w:tc>
            </w:tr>
            <w:tr w14:paraId="216117C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073" w:hRule="atLeast"/>
                <w:jc w:val="center"/>
              </w:trPr>
              <w:tc>
                <w:tcPr>
                  <w:tcW w:w="375" w:type="dxa"/>
                  <w:vMerge w:val="continue"/>
                  <w:vAlign w:val="center"/>
                </w:tcPr>
                <w:p w14:paraId="37E3D46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040" w:type="dxa"/>
                  <w:vAlign w:val="center"/>
                </w:tcPr>
                <w:p w14:paraId="7D2AA91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固体废物防治措施</w:t>
                  </w:r>
                </w:p>
              </w:tc>
              <w:tc>
                <w:tcPr>
                  <w:tcW w:w="5358" w:type="dxa"/>
                  <w:vAlign w:val="center"/>
                </w:tcPr>
                <w:p w14:paraId="7B88715A">
                  <w:pPr>
                    <w:keepNext w:val="0"/>
                    <w:keepLines w:val="0"/>
                    <w:suppressLineNumbers w:val="0"/>
                    <w:spacing w:before="0" w:beforeAutospacing="0" w:after="0" w:afterAutospacing="0" w:line="240" w:lineRule="auto"/>
                    <w:ind w:left="0" w:right="0" w:firstLine="420" w:firstLineChars="200"/>
                    <w:jc w:val="center"/>
                    <w:rPr>
                      <w:rFonts w:hint="default"/>
                      <w:color w:val="000000" w:themeColor="text1"/>
                      <w:highlight w:val="none"/>
                      <w14:textFill>
                        <w14:solidFill>
                          <w14:schemeClr w14:val="tx1"/>
                        </w14:solidFill>
                      </w14:textFill>
                    </w:rPr>
                  </w:pPr>
                  <w:r>
                    <w:rPr>
                      <w:rFonts w:hint="eastAsia" w:cs="Times New Roman"/>
                      <w:color w:val="000000" w:themeColor="text1"/>
                      <w:szCs w:val="21"/>
                      <w:highlight w:val="none"/>
                      <w:lang w:eastAsia="zh-CN"/>
                      <w14:textFill>
                        <w14:solidFill>
                          <w14:schemeClr w14:val="tx1"/>
                        </w14:solidFill>
                      </w14:textFill>
                    </w:rPr>
                    <w:t>生活垃圾</w:t>
                  </w:r>
                  <w:r>
                    <w:rPr>
                      <w:rFonts w:hint="default" w:ascii="Times New Roman" w:hAnsi="Times New Roman" w:eastAsia="宋体" w:cs="Times New Roman"/>
                      <w:color w:val="000000" w:themeColor="text1"/>
                      <w:szCs w:val="21"/>
                      <w:highlight w:val="none"/>
                      <w14:textFill>
                        <w14:solidFill>
                          <w14:schemeClr w14:val="tx1"/>
                        </w14:solidFill>
                      </w14:textFill>
                    </w:rPr>
                    <w:t>集中收集后，</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交由环卫部门统一清运处理</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w:t>
                  </w:r>
                  <w:r>
                    <w:rPr>
                      <w:rFonts w:hint="eastAsia" w:cs="Times New Roman"/>
                      <w:color w:val="000000" w:themeColor="text1"/>
                      <w:szCs w:val="21"/>
                      <w:highlight w:val="none"/>
                      <w:lang w:eastAsia="zh-CN"/>
                      <w14:textFill>
                        <w14:solidFill>
                          <w14:schemeClr w14:val="tx1"/>
                        </w14:solidFill>
                      </w14:textFill>
                    </w:rPr>
                    <w:t>杂质、热风炉灰渣、热风炉除尘系统收尘、烘干塔除尘系统收尘</w:t>
                  </w:r>
                  <w:r>
                    <w:rPr>
                      <w:rFonts w:hint="eastAsia" w:cs="Times New Roman"/>
                      <w:color w:val="000000" w:themeColor="text1"/>
                      <w:szCs w:val="21"/>
                      <w:highlight w:val="none"/>
                      <w:lang w:val="en-US" w:eastAsia="zh-CN"/>
                      <w14:textFill>
                        <w14:solidFill>
                          <w14:schemeClr w14:val="tx1"/>
                        </w14:solidFill>
                      </w14:textFill>
                    </w:rPr>
                    <w:t>及筛分粉尘，</w:t>
                  </w:r>
                  <w:r>
                    <w:rPr>
                      <w:rFonts w:hint="eastAsia" w:cs="Times New Roman"/>
                      <w:color w:val="000000" w:themeColor="text1"/>
                      <w:szCs w:val="21"/>
                      <w:highlight w:val="none"/>
                      <w:lang w:eastAsia="zh-CN"/>
                      <w14:textFill>
                        <w14:solidFill>
                          <w14:schemeClr w14:val="tx1"/>
                        </w14:solidFill>
                      </w14:textFill>
                    </w:rPr>
                    <w:t>装袋后统一收集暂存于灰渣</w:t>
                  </w:r>
                  <w:r>
                    <w:rPr>
                      <w:rFonts w:hint="eastAsia" w:cs="Times New Roman"/>
                      <w:color w:val="000000" w:themeColor="text1"/>
                      <w:szCs w:val="21"/>
                      <w:highlight w:val="none"/>
                      <w:lang w:val="en-US" w:eastAsia="zh-CN"/>
                      <w14:textFill>
                        <w14:solidFill>
                          <w14:schemeClr w14:val="tx1"/>
                        </w14:solidFill>
                      </w14:textFill>
                    </w:rPr>
                    <w:t>间</w:t>
                  </w:r>
                  <w:r>
                    <w:rPr>
                      <w:rFonts w:hint="eastAsia" w:cs="Times New Roman"/>
                      <w:color w:val="000000" w:themeColor="text1"/>
                      <w:szCs w:val="21"/>
                      <w:highlight w:val="none"/>
                      <w:lang w:eastAsia="zh-CN"/>
                      <w14:textFill>
                        <w14:solidFill>
                          <w14:schemeClr w14:val="tx1"/>
                        </w14:solidFill>
                      </w14:textFill>
                    </w:rPr>
                    <w:t>中，定期外售综合利用。废布袋集中收集后，由厂家定期回收。维修保养时产生的废润滑油及废润滑油油桶、</w:t>
                  </w:r>
                  <w:r>
                    <w:rPr>
                      <w:rFonts w:hint="eastAsia" w:cs="Times New Roman"/>
                      <w:color w:val="000000" w:themeColor="text1"/>
                      <w:szCs w:val="24"/>
                      <w:highlight w:val="none"/>
                      <w:lang w:val="en-US" w:eastAsia="zh-CN"/>
                      <w14:textFill>
                        <w14:solidFill>
                          <w14:schemeClr w14:val="tx1"/>
                        </w14:solidFill>
                      </w14:textFill>
                    </w:rPr>
                    <w:t>含油抹布及手套</w:t>
                  </w:r>
                  <w:r>
                    <w:rPr>
                      <w:rFonts w:hint="eastAsia" w:cs="Times New Roman"/>
                      <w:color w:val="000000" w:themeColor="text1"/>
                      <w:szCs w:val="21"/>
                      <w:highlight w:val="none"/>
                      <w:lang w:eastAsia="zh-CN"/>
                      <w14:textFill>
                        <w14:solidFill>
                          <w14:schemeClr w14:val="tx1"/>
                        </w14:solidFill>
                      </w14:textFill>
                    </w:rPr>
                    <w:t>集中收集定期交由有资质的单位处理。</w:t>
                  </w:r>
                </w:p>
              </w:tc>
              <w:tc>
                <w:tcPr>
                  <w:tcW w:w="1238" w:type="dxa"/>
                  <w:vAlign w:val="center"/>
                </w:tcPr>
                <w:p w14:paraId="2301B73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bCs/>
                      <w:color w:val="000000" w:themeColor="text1"/>
                      <w:szCs w:val="21"/>
                      <w:highlight w:val="none"/>
                      <w14:textFill>
                        <w14:solidFill>
                          <w14:schemeClr w14:val="tx1"/>
                        </w14:solidFill>
                      </w14:textFill>
                    </w:rPr>
                    <w:t>新建</w:t>
                  </w:r>
                </w:p>
              </w:tc>
            </w:tr>
          </w:tbl>
          <w:p w14:paraId="62E4178F">
            <w:pPr>
              <w:keepNext w:val="0"/>
              <w:keepLines w:val="0"/>
              <w:suppressLineNumbers w:val="0"/>
              <w:tabs>
                <w:tab w:val="left" w:pos="6480"/>
              </w:tabs>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eastAsia" w:cs="Times New Roman"/>
                <w:b/>
                <w:bCs/>
                <w:color w:val="000000" w:themeColor="text1"/>
                <w:sz w:val="24"/>
                <w:highlight w:val="none"/>
                <w:lang w:eastAsia="zh-CN"/>
                <w14:textFill>
                  <w14:solidFill>
                    <w14:schemeClr w14:val="tx1"/>
                  </w14:solidFill>
                </w14:textFill>
              </w:rPr>
              <w:t>二</w:t>
            </w:r>
            <w:r>
              <w:rPr>
                <w:rFonts w:hint="default" w:ascii="Times New Roman" w:hAnsi="Times New Roman" w:eastAsia="宋体" w:cs="Times New Roman"/>
                <w:b/>
                <w:bCs/>
                <w:color w:val="000000" w:themeColor="text1"/>
                <w:sz w:val="24"/>
                <w:highlight w:val="none"/>
                <w14:textFill>
                  <w14:solidFill>
                    <w14:schemeClr w14:val="tx1"/>
                  </w14:solidFill>
                </w14:textFill>
              </w:rPr>
              <w:t>、主要设备</w:t>
            </w:r>
          </w:p>
          <w:p w14:paraId="72395B23">
            <w:pPr>
              <w:keepNext w:val="0"/>
              <w:keepLines w:val="0"/>
              <w:suppressLineNumbers w:val="0"/>
              <w:autoSpaceDE w:val="0"/>
              <w:autoSpaceDN w:val="0"/>
              <w:adjustRightIn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本项目主要设备见下表2-2。</w:t>
            </w:r>
          </w:p>
          <w:p w14:paraId="51E473AE">
            <w:pPr>
              <w:keepNext w:val="0"/>
              <w:keepLines w:val="0"/>
              <w:suppressLineNumbers w:val="0"/>
              <w:spacing w:before="0" w:beforeAutospacing="0" w:after="0" w:afterAutospacing="0" w:line="360" w:lineRule="auto"/>
              <w:ind w:left="2823" w:right="0"/>
              <w:rPr>
                <w:rFonts w:hint="default" w:ascii="Times New Roman" w:hAnsi="Times New Roman" w:eastAsia="宋体" w:cs="Times New Roman"/>
                <w:b/>
                <w:bCs/>
                <w:color w:val="000000" w:themeColor="text1"/>
                <w:szCs w:val="21"/>
                <w:highlight w:val="none"/>
                <w14:textFill>
                  <w14:solidFill>
                    <w14:schemeClr w14:val="tx1"/>
                  </w14:solidFill>
                </w14:textFill>
              </w:rPr>
            </w:pPr>
            <w:r>
              <w:rPr>
                <w:rFonts w:hint="default" w:ascii="Times New Roman" w:hAnsi="Times New Roman" w:eastAsia="宋体" w:cs="Times New Roman"/>
                <w:b/>
                <w:bCs/>
                <w:color w:val="000000" w:themeColor="text1"/>
                <w:szCs w:val="21"/>
                <w:highlight w:val="none"/>
                <w14:textFill>
                  <w14:solidFill>
                    <w14:schemeClr w14:val="tx1"/>
                  </w14:solidFill>
                </w14:textFill>
              </w:rPr>
              <w:t>表2-2</w:t>
            </w:r>
            <w:r>
              <w:rPr>
                <w:rFonts w:hint="default" w:ascii="Times New Roman" w:hAnsi="Times New Roman" w:eastAsia="宋体" w:cs="Times New Roman"/>
                <w:b/>
                <w:bCs/>
                <w:color w:val="000000" w:themeColor="text1"/>
                <w:szCs w:val="21"/>
                <w:highlight w:val="none"/>
                <w:lang w:val="en-US" w:eastAsia="zh-CN"/>
                <w14:textFill>
                  <w14:solidFill>
                    <w14:schemeClr w14:val="tx1"/>
                  </w14:solidFill>
                </w14:textFill>
              </w:rPr>
              <w:t>主要</w:t>
            </w:r>
            <w:r>
              <w:rPr>
                <w:rFonts w:hint="default" w:ascii="Times New Roman" w:hAnsi="Times New Roman" w:eastAsia="宋体" w:cs="Times New Roman"/>
                <w:b/>
                <w:bCs/>
                <w:color w:val="000000" w:themeColor="text1"/>
                <w:szCs w:val="21"/>
                <w:highlight w:val="none"/>
                <w14:textFill>
                  <w14:solidFill>
                    <w14:schemeClr w14:val="tx1"/>
                  </w14:solidFill>
                </w14:textFill>
              </w:rPr>
              <w:t>设备表</w:t>
            </w:r>
          </w:p>
          <w:tbl>
            <w:tblPr>
              <w:tblStyle w:val="36"/>
              <w:tblW w:w="470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2068"/>
              <w:gridCol w:w="1849"/>
              <w:gridCol w:w="934"/>
              <w:gridCol w:w="1392"/>
            </w:tblGrid>
            <w:tr w14:paraId="74776A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5"/>
                  <w:tcBorders>
                    <w:tl2br w:val="nil"/>
                    <w:tr2bl w:val="nil"/>
                  </w:tcBorders>
                  <w:vAlign w:val="center"/>
                </w:tcPr>
                <w:p w14:paraId="168A8E8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b/>
                      <w:bCs/>
                      <w:color w:val="000000" w:themeColor="text1"/>
                      <w:szCs w:val="21"/>
                      <w:highlight w:val="none"/>
                      <w:lang w:val="en-US" w:eastAsia="zh-CN"/>
                      <w14:textFill>
                        <w14:solidFill>
                          <w14:schemeClr w14:val="tx1"/>
                        </w14:solidFill>
                      </w14:textFill>
                      <w14:ligatures w14:val="none"/>
                    </w:rPr>
                    <w:t>本工程</w:t>
                  </w:r>
                </w:p>
              </w:tc>
            </w:tr>
            <w:tr w14:paraId="102E8D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6" w:type="pct"/>
                  <w:tcBorders>
                    <w:tl2br w:val="nil"/>
                    <w:tr2bl w:val="nil"/>
                  </w:tcBorders>
                  <w:vAlign w:val="center"/>
                </w:tcPr>
                <w:p w14:paraId="1FE99CA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序号</w:t>
                  </w:r>
                </w:p>
              </w:tc>
              <w:tc>
                <w:tcPr>
                  <w:tcW w:w="1382" w:type="pct"/>
                  <w:tcBorders>
                    <w:tl2br w:val="nil"/>
                    <w:tr2bl w:val="nil"/>
                  </w:tcBorders>
                  <w:vAlign w:val="center"/>
                </w:tcPr>
                <w:p w14:paraId="75A81BE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名称</w:t>
                  </w:r>
                </w:p>
              </w:tc>
              <w:tc>
                <w:tcPr>
                  <w:tcW w:w="1235" w:type="pct"/>
                  <w:tcBorders>
                    <w:tl2br w:val="nil"/>
                    <w:tr2bl w:val="nil"/>
                  </w:tcBorders>
                  <w:vAlign w:val="center"/>
                </w:tcPr>
                <w:p w14:paraId="05A9F46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单位</w:t>
                  </w:r>
                </w:p>
              </w:tc>
              <w:tc>
                <w:tcPr>
                  <w:tcW w:w="624" w:type="pct"/>
                  <w:tcBorders>
                    <w:tl2br w:val="nil"/>
                    <w:tr2bl w:val="nil"/>
                  </w:tcBorders>
                  <w:shd w:val="clear" w:color="auto" w:fill="auto"/>
                  <w:vAlign w:val="center"/>
                </w:tcPr>
                <w:p w14:paraId="6E655CD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数量</w:t>
                  </w:r>
                </w:p>
              </w:tc>
              <w:tc>
                <w:tcPr>
                  <w:tcW w:w="930" w:type="pct"/>
                  <w:tcBorders>
                    <w:tl2br w:val="nil"/>
                    <w:tr2bl w:val="nil"/>
                  </w:tcBorders>
                  <w:vAlign w:val="center"/>
                </w:tcPr>
                <w:p w14:paraId="2409F86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备注</w:t>
                  </w:r>
                </w:p>
              </w:tc>
            </w:tr>
            <w:tr w14:paraId="78F327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826" w:type="pct"/>
                  <w:tcBorders>
                    <w:tl2br w:val="nil"/>
                    <w:tr2bl w:val="nil"/>
                  </w:tcBorders>
                  <w:vAlign w:val="center"/>
                </w:tcPr>
                <w:p w14:paraId="0854152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1</w:t>
                  </w:r>
                </w:p>
              </w:tc>
              <w:tc>
                <w:tcPr>
                  <w:tcW w:w="1382" w:type="pct"/>
                  <w:tcBorders>
                    <w:tl2br w:val="nil"/>
                    <w:tr2bl w:val="nil"/>
                  </w:tcBorders>
                  <w:shd w:val="clear" w:color="auto" w:fill="auto"/>
                  <w:vAlign w:val="center"/>
                </w:tcPr>
                <w:p w14:paraId="1CB91EB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热风炉</w:t>
                  </w:r>
                </w:p>
              </w:tc>
              <w:tc>
                <w:tcPr>
                  <w:tcW w:w="1235" w:type="pct"/>
                  <w:tcBorders>
                    <w:tl2br w:val="nil"/>
                    <w:tr2bl w:val="nil"/>
                  </w:tcBorders>
                  <w:shd w:val="clear" w:color="auto" w:fill="auto"/>
                  <w:vAlign w:val="center"/>
                </w:tcPr>
                <w:p w14:paraId="540CB95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600万大卡</w:t>
                  </w:r>
                </w:p>
              </w:tc>
              <w:tc>
                <w:tcPr>
                  <w:tcW w:w="624" w:type="pct"/>
                  <w:tcBorders>
                    <w:tl2br w:val="nil"/>
                    <w:tr2bl w:val="nil"/>
                  </w:tcBorders>
                  <w:shd w:val="clear" w:color="auto" w:fill="auto"/>
                  <w:vAlign w:val="center"/>
                </w:tcPr>
                <w:p w14:paraId="25AD4E3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1</w:t>
                  </w:r>
                </w:p>
              </w:tc>
              <w:tc>
                <w:tcPr>
                  <w:tcW w:w="930" w:type="pct"/>
                  <w:tcBorders>
                    <w:tl2br w:val="nil"/>
                    <w:tr2bl w:val="nil"/>
                  </w:tcBorders>
                  <w:shd w:val="clear" w:color="auto" w:fill="auto"/>
                  <w:vAlign w:val="center"/>
                </w:tcPr>
                <w:p w14:paraId="31C32EB4">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r w14:paraId="2DB9F1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826" w:type="pct"/>
                  <w:tcBorders>
                    <w:tl2br w:val="nil"/>
                    <w:tr2bl w:val="nil"/>
                  </w:tcBorders>
                  <w:vAlign w:val="center"/>
                </w:tcPr>
                <w:p w14:paraId="5743C8C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2</w:t>
                  </w:r>
                </w:p>
              </w:tc>
              <w:tc>
                <w:tcPr>
                  <w:tcW w:w="1382" w:type="pct"/>
                  <w:tcBorders>
                    <w:tl2br w:val="nil"/>
                    <w:tr2bl w:val="nil"/>
                  </w:tcBorders>
                  <w:shd w:val="clear" w:color="auto" w:fill="auto"/>
                  <w:vAlign w:val="center"/>
                </w:tcPr>
                <w:p w14:paraId="1B55485D">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提升机</w:t>
                  </w:r>
                </w:p>
              </w:tc>
              <w:tc>
                <w:tcPr>
                  <w:tcW w:w="1235" w:type="pct"/>
                  <w:tcBorders>
                    <w:tl2br w:val="nil"/>
                    <w:tr2bl w:val="nil"/>
                  </w:tcBorders>
                  <w:shd w:val="clear" w:color="auto" w:fill="auto"/>
                  <w:vAlign w:val="center"/>
                </w:tcPr>
                <w:p w14:paraId="2ABA2B8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c>
                <w:tcPr>
                  <w:tcW w:w="624" w:type="pct"/>
                  <w:tcBorders>
                    <w:tl2br w:val="nil"/>
                    <w:tr2bl w:val="nil"/>
                  </w:tcBorders>
                  <w:shd w:val="clear" w:color="auto" w:fill="auto"/>
                  <w:vAlign w:val="center"/>
                </w:tcPr>
                <w:p w14:paraId="5C8CD627">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2</w:t>
                  </w:r>
                </w:p>
              </w:tc>
              <w:tc>
                <w:tcPr>
                  <w:tcW w:w="930" w:type="pct"/>
                  <w:tcBorders>
                    <w:tl2br w:val="nil"/>
                    <w:tr2bl w:val="nil"/>
                  </w:tcBorders>
                  <w:shd w:val="clear" w:color="auto" w:fill="auto"/>
                  <w:vAlign w:val="center"/>
                </w:tcPr>
                <w:p w14:paraId="57334593">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r w14:paraId="6E44A4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826" w:type="pct"/>
                  <w:tcBorders>
                    <w:tl2br w:val="nil"/>
                    <w:tr2bl w:val="nil"/>
                  </w:tcBorders>
                  <w:vAlign w:val="center"/>
                </w:tcPr>
                <w:p w14:paraId="51077B6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3</w:t>
                  </w:r>
                </w:p>
              </w:tc>
              <w:tc>
                <w:tcPr>
                  <w:tcW w:w="1382" w:type="pct"/>
                  <w:tcBorders>
                    <w:tl2br w:val="nil"/>
                    <w:tr2bl w:val="nil"/>
                  </w:tcBorders>
                  <w:shd w:val="clear" w:color="auto" w:fill="auto"/>
                  <w:vAlign w:val="center"/>
                </w:tcPr>
                <w:p w14:paraId="18878C51">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初清筛</w:t>
                  </w:r>
                </w:p>
              </w:tc>
              <w:tc>
                <w:tcPr>
                  <w:tcW w:w="1235" w:type="pct"/>
                  <w:tcBorders>
                    <w:tl2br w:val="nil"/>
                    <w:tr2bl w:val="nil"/>
                  </w:tcBorders>
                  <w:shd w:val="clear" w:color="auto" w:fill="auto"/>
                  <w:vAlign w:val="center"/>
                </w:tcPr>
                <w:p w14:paraId="5F04A7C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c>
                <w:tcPr>
                  <w:tcW w:w="624" w:type="pct"/>
                  <w:tcBorders>
                    <w:tl2br w:val="nil"/>
                    <w:tr2bl w:val="nil"/>
                  </w:tcBorders>
                  <w:shd w:val="clear" w:color="auto" w:fill="auto"/>
                  <w:vAlign w:val="center"/>
                </w:tcPr>
                <w:p w14:paraId="6B7F18B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2</w:t>
                  </w:r>
                </w:p>
              </w:tc>
              <w:tc>
                <w:tcPr>
                  <w:tcW w:w="930" w:type="pct"/>
                  <w:tcBorders>
                    <w:tl2br w:val="nil"/>
                    <w:tr2bl w:val="nil"/>
                  </w:tcBorders>
                  <w:shd w:val="clear" w:color="auto" w:fill="auto"/>
                  <w:vAlign w:val="center"/>
                </w:tcPr>
                <w:p w14:paraId="2CF3702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r w14:paraId="23EAB8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826" w:type="pct"/>
                  <w:tcBorders>
                    <w:tl2br w:val="nil"/>
                    <w:tr2bl w:val="nil"/>
                  </w:tcBorders>
                  <w:vAlign w:val="center"/>
                </w:tcPr>
                <w:p w14:paraId="4125D72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4</w:t>
                  </w:r>
                </w:p>
              </w:tc>
              <w:tc>
                <w:tcPr>
                  <w:tcW w:w="1382" w:type="pct"/>
                  <w:tcBorders>
                    <w:tl2br w:val="nil"/>
                    <w:tr2bl w:val="nil"/>
                  </w:tcBorders>
                  <w:shd w:val="clear" w:color="auto" w:fill="auto"/>
                  <w:vAlign w:val="center"/>
                </w:tcPr>
                <w:p w14:paraId="1F3EDCB4">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地秤</w:t>
                  </w:r>
                </w:p>
              </w:tc>
              <w:tc>
                <w:tcPr>
                  <w:tcW w:w="1235" w:type="pct"/>
                  <w:tcBorders>
                    <w:tl2br w:val="nil"/>
                    <w:tr2bl w:val="nil"/>
                  </w:tcBorders>
                  <w:shd w:val="clear" w:color="auto" w:fill="auto"/>
                  <w:vAlign w:val="center"/>
                </w:tcPr>
                <w:p w14:paraId="67BE985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 xml:space="preserve">scs-100 </w:t>
                  </w:r>
                </w:p>
              </w:tc>
              <w:tc>
                <w:tcPr>
                  <w:tcW w:w="624" w:type="pct"/>
                  <w:tcBorders>
                    <w:tl2br w:val="nil"/>
                    <w:tr2bl w:val="nil"/>
                  </w:tcBorders>
                  <w:shd w:val="clear" w:color="auto" w:fill="auto"/>
                  <w:vAlign w:val="center"/>
                </w:tcPr>
                <w:p w14:paraId="0CE3F49A">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1</w:t>
                  </w:r>
                </w:p>
              </w:tc>
              <w:tc>
                <w:tcPr>
                  <w:tcW w:w="930" w:type="pct"/>
                  <w:tcBorders>
                    <w:tl2br w:val="nil"/>
                    <w:tr2bl w:val="nil"/>
                  </w:tcBorders>
                  <w:shd w:val="clear" w:color="auto" w:fill="auto"/>
                  <w:vAlign w:val="center"/>
                </w:tcPr>
                <w:p w14:paraId="1D1FC4E4">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r w14:paraId="0006CE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826" w:type="pct"/>
                  <w:tcBorders>
                    <w:tl2br w:val="nil"/>
                    <w:tr2bl w:val="nil"/>
                  </w:tcBorders>
                  <w:vAlign w:val="center"/>
                </w:tcPr>
                <w:p w14:paraId="3E949D3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5</w:t>
                  </w:r>
                </w:p>
              </w:tc>
              <w:tc>
                <w:tcPr>
                  <w:tcW w:w="1382" w:type="pct"/>
                  <w:tcBorders>
                    <w:tl2br w:val="nil"/>
                    <w:tr2bl w:val="nil"/>
                  </w:tcBorders>
                  <w:shd w:val="clear" w:color="auto" w:fill="auto"/>
                  <w:vAlign w:val="center"/>
                </w:tcPr>
                <w:p w14:paraId="72158E80">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输送机</w:t>
                  </w:r>
                </w:p>
              </w:tc>
              <w:tc>
                <w:tcPr>
                  <w:tcW w:w="1235" w:type="pct"/>
                  <w:tcBorders>
                    <w:tl2br w:val="nil"/>
                    <w:tr2bl w:val="nil"/>
                  </w:tcBorders>
                  <w:shd w:val="clear" w:color="auto" w:fill="auto"/>
                  <w:vAlign w:val="center"/>
                </w:tcPr>
                <w:p w14:paraId="5B3B26D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c>
                <w:tcPr>
                  <w:tcW w:w="624" w:type="pct"/>
                  <w:tcBorders>
                    <w:tl2br w:val="nil"/>
                    <w:tr2bl w:val="nil"/>
                  </w:tcBorders>
                  <w:shd w:val="clear" w:color="auto" w:fill="auto"/>
                  <w:vAlign w:val="center"/>
                </w:tcPr>
                <w:p w14:paraId="6669F6D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10</w:t>
                  </w:r>
                </w:p>
              </w:tc>
              <w:tc>
                <w:tcPr>
                  <w:tcW w:w="930" w:type="pct"/>
                  <w:tcBorders>
                    <w:tl2br w:val="nil"/>
                    <w:tr2bl w:val="nil"/>
                  </w:tcBorders>
                  <w:shd w:val="clear" w:color="auto" w:fill="auto"/>
                  <w:vAlign w:val="center"/>
                </w:tcPr>
                <w:p w14:paraId="72104643">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r w14:paraId="508484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826" w:type="pct"/>
                  <w:tcBorders>
                    <w:tl2br w:val="nil"/>
                    <w:tr2bl w:val="nil"/>
                  </w:tcBorders>
                  <w:vAlign w:val="center"/>
                </w:tcPr>
                <w:p w14:paraId="4210C15A">
                  <w:pPr>
                    <w:keepNext w:val="0"/>
                    <w:keepLines w:val="0"/>
                    <w:suppressLineNumbers w:val="0"/>
                    <w:spacing w:before="0" w:beforeAutospacing="0" w:after="0" w:afterAutospacing="0"/>
                    <w:ind w:left="0" w:leftChars="0" w:right="0" w:rightChars="0"/>
                    <w:jc w:val="center"/>
                    <w:rPr>
                      <w:rFonts w:hint="eastAsia"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6</w:t>
                  </w:r>
                </w:p>
              </w:tc>
              <w:tc>
                <w:tcPr>
                  <w:tcW w:w="1382" w:type="pct"/>
                  <w:tcBorders>
                    <w:tl2br w:val="nil"/>
                    <w:tr2bl w:val="nil"/>
                  </w:tcBorders>
                  <w:shd w:val="clear" w:color="auto" w:fill="auto"/>
                  <w:vAlign w:val="center"/>
                </w:tcPr>
                <w:p w14:paraId="7CE3DAE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烘干塔</w:t>
                  </w:r>
                </w:p>
              </w:tc>
              <w:tc>
                <w:tcPr>
                  <w:tcW w:w="1235" w:type="pct"/>
                  <w:tcBorders>
                    <w:tl2br w:val="nil"/>
                    <w:tr2bl w:val="nil"/>
                  </w:tcBorders>
                  <w:shd w:val="clear" w:color="auto" w:fill="auto"/>
                  <w:vAlign w:val="center"/>
                </w:tcPr>
                <w:p w14:paraId="26FA8E2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6</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00t/d</w:t>
                  </w:r>
                </w:p>
              </w:tc>
              <w:tc>
                <w:tcPr>
                  <w:tcW w:w="624" w:type="pct"/>
                  <w:tcBorders>
                    <w:tl2br w:val="nil"/>
                    <w:tr2bl w:val="nil"/>
                  </w:tcBorders>
                  <w:shd w:val="clear" w:color="auto" w:fill="auto"/>
                  <w:vAlign w:val="center"/>
                </w:tcPr>
                <w:p w14:paraId="4D32C1A2">
                  <w:pPr>
                    <w:keepNext w:val="0"/>
                    <w:keepLines w:val="0"/>
                    <w:suppressLineNumbers w:val="0"/>
                    <w:spacing w:before="0" w:beforeAutospacing="0" w:after="0" w:afterAutospacing="0"/>
                    <w:ind w:left="0" w:leftChars="0" w:right="0" w:rightChars="0"/>
                    <w:jc w:val="center"/>
                    <w:rPr>
                      <w:rFonts w:hint="eastAsia"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1</w:t>
                  </w:r>
                </w:p>
              </w:tc>
              <w:tc>
                <w:tcPr>
                  <w:tcW w:w="930" w:type="pct"/>
                  <w:tcBorders>
                    <w:tl2br w:val="nil"/>
                    <w:tr2bl w:val="nil"/>
                  </w:tcBorders>
                  <w:shd w:val="clear" w:color="auto" w:fill="auto"/>
                  <w:vAlign w:val="center"/>
                </w:tcPr>
                <w:p w14:paraId="3E92756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r w14:paraId="0A3880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826" w:type="pct"/>
                  <w:tcBorders>
                    <w:tl2br w:val="nil"/>
                    <w:tr2bl w:val="nil"/>
                  </w:tcBorders>
                  <w:vAlign w:val="center"/>
                </w:tcPr>
                <w:p w14:paraId="3ADFD19E">
                  <w:pPr>
                    <w:keepNext w:val="0"/>
                    <w:keepLines w:val="0"/>
                    <w:suppressLineNumbers w:val="0"/>
                    <w:spacing w:before="0" w:beforeAutospacing="0" w:after="0" w:afterAutospacing="0"/>
                    <w:ind w:left="0" w:leftChars="0" w:right="0" w:rightChars="0"/>
                    <w:jc w:val="center"/>
                    <w:rPr>
                      <w:rFonts w:hint="default"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7</w:t>
                  </w:r>
                </w:p>
              </w:tc>
              <w:tc>
                <w:tcPr>
                  <w:tcW w:w="1382" w:type="pct"/>
                  <w:tcBorders>
                    <w:tl2br w:val="nil"/>
                    <w:tr2bl w:val="nil"/>
                  </w:tcBorders>
                  <w:shd w:val="clear" w:color="auto" w:fill="auto"/>
                  <w:vAlign w:val="center"/>
                </w:tcPr>
                <w:p w14:paraId="7C2B719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风机</w:t>
                  </w:r>
                </w:p>
              </w:tc>
              <w:tc>
                <w:tcPr>
                  <w:tcW w:w="1235" w:type="pct"/>
                  <w:tcBorders>
                    <w:tl2br w:val="nil"/>
                    <w:tr2bl w:val="nil"/>
                  </w:tcBorders>
                  <w:shd w:val="clear" w:color="auto" w:fill="auto"/>
                  <w:vAlign w:val="center"/>
                </w:tcPr>
                <w:p w14:paraId="32C3345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c>
                <w:tcPr>
                  <w:tcW w:w="624" w:type="pct"/>
                  <w:tcBorders>
                    <w:tl2br w:val="nil"/>
                    <w:tr2bl w:val="nil"/>
                  </w:tcBorders>
                  <w:shd w:val="clear" w:color="auto" w:fill="auto"/>
                  <w:vAlign w:val="center"/>
                </w:tcPr>
                <w:p w14:paraId="7A817B3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1</w:t>
                  </w:r>
                </w:p>
              </w:tc>
              <w:tc>
                <w:tcPr>
                  <w:tcW w:w="930" w:type="pct"/>
                  <w:tcBorders>
                    <w:tl2br w:val="nil"/>
                    <w:tr2bl w:val="nil"/>
                  </w:tcBorders>
                  <w:shd w:val="clear" w:color="auto" w:fill="auto"/>
                  <w:vAlign w:val="center"/>
                </w:tcPr>
                <w:p w14:paraId="018DA51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r w14:paraId="45E26F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6" w:type="pct"/>
                  <w:tcBorders>
                    <w:tl2br w:val="nil"/>
                    <w:tr2bl w:val="nil"/>
                  </w:tcBorders>
                  <w:vAlign w:val="center"/>
                </w:tcPr>
                <w:p w14:paraId="119E0068">
                  <w:pPr>
                    <w:keepNext w:val="0"/>
                    <w:keepLines w:val="0"/>
                    <w:suppressLineNumbers w:val="0"/>
                    <w:spacing w:before="0" w:beforeAutospacing="0" w:after="0" w:afterAutospacing="0"/>
                    <w:ind w:left="0" w:leftChars="0" w:right="0" w:rightChars="0"/>
                    <w:jc w:val="center"/>
                    <w:rPr>
                      <w:rFonts w:hint="default"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8</w:t>
                  </w:r>
                </w:p>
              </w:tc>
              <w:tc>
                <w:tcPr>
                  <w:tcW w:w="1382" w:type="pct"/>
                  <w:tcBorders>
                    <w:tl2br w:val="nil"/>
                    <w:tr2bl w:val="nil"/>
                  </w:tcBorders>
                  <w:shd w:val="clear" w:color="auto" w:fill="auto"/>
                  <w:vAlign w:val="center"/>
                </w:tcPr>
                <w:p w14:paraId="6A235B81">
                  <w:pPr>
                    <w:keepNext w:val="0"/>
                    <w:keepLines w:val="0"/>
                    <w:suppressLineNumbers w:val="0"/>
                    <w:spacing w:before="0" w:beforeAutospacing="0" w:after="0" w:afterAutospacing="0"/>
                    <w:ind w:left="0" w:leftChars="0" w:right="0" w:rightChars="0"/>
                    <w:jc w:val="center"/>
                    <w:rPr>
                      <w:rFonts w:hint="eastAsia"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布袋除尘器</w:t>
                  </w:r>
                </w:p>
              </w:tc>
              <w:tc>
                <w:tcPr>
                  <w:tcW w:w="1235" w:type="pct"/>
                  <w:tcBorders>
                    <w:tl2br w:val="nil"/>
                    <w:tr2bl w:val="nil"/>
                  </w:tcBorders>
                  <w:shd w:val="clear" w:color="auto" w:fill="auto"/>
                  <w:vAlign w:val="center"/>
                </w:tcPr>
                <w:p w14:paraId="4048E84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c>
                <w:tcPr>
                  <w:tcW w:w="624" w:type="pct"/>
                  <w:tcBorders>
                    <w:tl2br w:val="nil"/>
                    <w:tr2bl w:val="nil"/>
                  </w:tcBorders>
                  <w:shd w:val="clear" w:color="auto" w:fill="auto"/>
                  <w:vAlign w:val="center"/>
                </w:tcPr>
                <w:p w14:paraId="1B6D577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1</w:t>
                  </w:r>
                </w:p>
              </w:tc>
              <w:tc>
                <w:tcPr>
                  <w:tcW w:w="930" w:type="pct"/>
                  <w:tcBorders>
                    <w:tl2br w:val="nil"/>
                    <w:tr2bl w:val="nil"/>
                  </w:tcBorders>
                  <w:shd w:val="clear" w:color="auto" w:fill="auto"/>
                  <w:vAlign w:val="center"/>
                </w:tcPr>
                <w:p w14:paraId="7620DC7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r w14:paraId="7FD877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5000" w:type="pct"/>
                  <w:gridSpan w:val="5"/>
                  <w:tcBorders>
                    <w:tl2br w:val="nil"/>
                    <w:tr2bl w:val="nil"/>
                  </w:tcBorders>
                  <w:vAlign w:val="center"/>
                </w:tcPr>
                <w:p w14:paraId="6453830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b/>
                      <w:bCs/>
                      <w:color w:val="000000" w:themeColor="text1"/>
                      <w:szCs w:val="21"/>
                      <w:highlight w:val="none"/>
                      <w:lang w:val="en-US" w:eastAsia="zh-CN"/>
                      <w14:textFill>
                        <w14:solidFill>
                          <w14:schemeClr w14:val="tx1"/>
                        </w14:solidFill>
                      </w14:textFill>
                      <w14:ligatures w14:val="none"/>
                    </w:rPr>
                    <w:t>现有工程</w:t>
                  </w:r>
                </w:p>
              </w:tc>
            </w:tr>
            <w:tr w14:paraId="082748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826" w:type="pct"/>
                  <w:tcBorders>
                    <w:tl2br w:val="nil"/>
                    <w:tr2bl w:val="nil"/>
                  </w:tcBorders>
                  <w:shd w:val="clear" w:color="auto" w:fill="auto"/>
                  <w:vAlign w:val="center"/>
                </w:tcPr>
                <w:p w14:paraId="36177C6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1</w:t>
                  </w:r>
                </w:p>
              </w:tc>
              <w:tc>
                <w:tcPr>
                  <w:tcW w:w="1382" w:type="pct"/>
                  <w:tcBorders>
                    <w:tl2br w:val="nil"/>
                    <w:tr2bl w:val="nil"/>
                  </w:tcBorders>
                  <w:shd w:val="clear" w:color="auto" w:fill="auto"/>
                  <w:vAlign w:val="center"/>
                </w:tcPr>
                <w:p w14:paraId="6E52B3D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热风炉</w:t>
                  </w:r>
                </w:p>
              </w:tc>
              <w:tc>
                <w:tcPr>
                  <w:tcW w:w="1235" w:type="pct"/>
                  <w:tcBorders>
                    <w:tl2br w:val="nil"/>
                    <w:tr2bl w:val="nil"/>
                  </w:tcBorders>
                  <w:shd w:val="clear" w:color="auto" w:fill="auto"/>
                  <w:vAlign w:val="center"/>
                </w:tcPr>
                <w:p w14:paraId="7955DFD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240万大卡</w:t>
                  </w:r>
                </w:p>
              </w:tc>
              <w:tc>
                <w:tcPr>
                  <w:tcW w:w="624" w:type="pct"/>
                  <w:tcBorders>
                    <w:tl2br w:val="nil"/>
                    <w:tr2bl w:val="nil"/>
                  </w:tcBorders>
                  <w:shd w:val="clear" w:color="auto" w:fill="auto"/>
                  <w:vAlign w:val="center"/>
                </w:tcPr>
                <w:p w14:paraId="1059965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1</w:t>
                  </w:r>
                </w:p>
              </w:tc>
              <w:tc>
                <w:tcPr>
                  <w:tcW w:w="930" w:type="pct"/>
                  <w:tcBorders>
                    <w:tl2br w:val="nil"/>
                    <w:tr2bl w:val="nil"/>
                  </w:tcBorders>
                  <w:shd w:val="clear" w:color="auto" w:fill="auto"/>
                  <w:vAlign w:val="center"/>
                </w:tcPr>
                <w:p w14:paraId="5F80987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r w14:paraId="33CF1D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826" w:type="pct"/>
                  <w:tcBorders>
                    <w:tl2br w:val="nil"/>
                    <w:tr2bl w:val="nil"/>
                  </w:tcBorders>
                  <w:shd w:val="clear" w:color="auto" w:fill="auto"/>
                  <w:vAlign w:val="center"/>
                </w:tcPr>
                <w:p w14:paraId="4A3ECDE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2</w:t>
                  </w:r>
                </w:p>
              </w:tc>
              <w:tc>
                <w:tcPr>
                  <w:tcW w:w="1382" w:type="pct"/>
                  <w:tcBorders>
                    <w:tl2br w:val="nil"/>
                    <w:tr2bl w:val="nil"/>
                  </w:tcBorders>
                  <w:shd w:val="clear" w:color="auto" w:fill="auto"/>
                  <w:vAlign w:val="center"/>
                </w:tcPr>
                <w:p w14:paraId="31D0630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提升机</w:t>
                  </w:r>
                </w:p>
              </w:tc>
              <w:tc>
                <w:tcPr>
                  <w:tcW w:w="1235" w:type="pct"/>
                  <w:tcBorders>
                    <w:tl2br w:val="nil"/>
                    <w:tr2bl w:val="nil"/>
                  </w:tcBorders>
                  <w:shd w:val="clear" w:color="auto" w:fill="auto"/>
                  <w:vAlign w:val="center"/>
                </w:tcPr>
                <w:p w14:paraId="579A803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c>
                <w:tcPr>
                  <w:tcW w:w="624" w:type="pct"/>
                  <w:tcBorders>
                    <w:tl2br w:val="nil"/>
                    <w:tr2bl w:val="nil"/>
                  </w:tcBorders>
                  <w:shd w:val="clear" w:color="auto" w:fill="auto"/>
                  <w:vAlign w:val="center"/>
                </w:tcPr>
                <w:p w14:paraId="7BE35D8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1</w:t>
                  </w:r>
                </w:p>
              </w:tc>
              <w:tc>
                <w:tcPr>
                  <w:tcW w:w="930" w:type="pct"/>
                  <w:tcBorders>
                    <w:tl2br w:val="nil"/>
                    <w:tr2bl w:val="nil"/>
                  </w:tcBorders>
                  <w:shd w:val="clear" w:color="auto" w:fill="auto"/>
                  <w:vAlign w:val="center"/>
                </w:tcPr>
                <w:p w14:paraId="2FA77CB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r w14:paraId="1B9565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826" w:type="pct"/>
                  <w:tcBorders>
                    <w:tl2br w:val="nil"/>
                    <w:tr2bl w:val="nil"/>
                  </w:tcBorders>
                  <w:shd w:val="clear" w:color="auto" w:fill="auto"/>
                  <w:vAlign w:val="center"/>
                </w:tcPr>
                <w:p w14:paraId="27C2CE0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3</w:t>
                  </w:r>
                </w:p>
              </w:tc>
              <w:tc>
                <w:tcPr>
                  <w:tcW w:w="1382" w:type="pct"/>
                  <w:tcBorders>
                    <w:tl2br w:val="nil"/>
                    <w:tr2bl w:val="nil"/>
                  </w:tcBorders>
                  <w:shd w:val="clear" w:color="auto" w:fill="auto"/>
                  <w:vAlign w:val="center"/>
                </w:tcPr>
                <w:p w14:paraId="0C31797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清选机</w:t>
                  </w:r>
                </w:p>
              </w:tc>
              <w:tc>
                <w:tcPr>
                  <w:tcW w:w="1235" w:type="pct"/>
                  <w:tcBorders>
                    <w:tl2br w:val="nil"/>
                    <w:tr2bl w:val="nil"/>
                  </w:tcBorders>
                  <w:shd w:val="clear" w:color="auto" w:fill="auto"/>
                  <w:vAlign w:val="center"/>
                </w:tcPr>
                <w:p w14:paraId="3D22054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c>
                <w:tcPr>
                  <w:tcW w:w="624" w:type="pct"/>
                  <w:tcBorders>
                    <w:tl2br w:val="nil"/>
                    <w:tr2bl w:val="nil"/>
                  </w:tcBorders>
                  <w:shd w:val="clear" w:color="auto" w:fill="auto"/>
                  <w:vAlign w:val="center"/>
                </w:tcPr>
                <w:p w14:paraId="4D09EA5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1</w:t>
                  </w:r>
                </w:p>
              </w:tc>
              <w:tc>
                <w:tcPr>
                  <w:tcW w:w="930" w:type="pct"/>
                  <w:tcBorders>
                    <w:tl2br w:val="nil"/>
                    <w:tr2bl w:val="nil"/>
                  </w:tcBorders>
                  <w:shd w:val="clear" w:color="auto" w:fill="auto"/>
                  <w:vAlign w:val="center"/>
                </w:tcPr>
                <w:p w14:paraId="7F6B9DB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r w14:paraId="2F229B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826" w:type="pct"/>
                  <w:tcBorders>
                    <w:tl2br w:val="nil"/>
                    <w:tr2bl w:val="nil"/>
                  </w:tcBorders>
                  <w:shd w:val="clear" w:color="auto" w:fill="auto"/>
                  <w:vAlign w:val="center"/>
                </w:tcPr>
                <w:p w14:paraId="59BC995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4</w:t>
                  </w:r>
                </w:p>
              </w:tc>
              <w:tc>
                <w:tcPr>
                  <w:tcW w:w="1382" w:type="pct"/>
                  <w:tcBorders>
                    <w:tl2br w:val="nil"/>
                    <w:tr2bl w:val="nil"/>
                  </w:tcBorders>
                  <w:shd w:val="clear" w:color="auto" w:fill="auto"/>
                  <w:vAlign w:val="center"/>
                </w:tcPr>
                <w:p w14:paraId="2B32312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地秤</w:t>
                  </w:r>
                </w:p>
              </w:tc>
              <w:tc>
                <w:tcPr>
                  <w:tcW w:w="1235" w:type="pct"/>
                  <w:tcBorders>
                    <w:tl2br w:val="nil"/>
                    <w:tr2bl w:val="nil"/>
                  </w:tcBorders>
                  <w:shd w:val="clear" w:color="auto" w:fill="auto"/>
                  <w:vAlign w:val="center"/>
                </w:tcPr>
                <w:p w14:paraId="7F9DC3C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 xml:space="preserve">scs-100 </w:t>
                  </w:r>
                </w:p>
              </w:tc>
              <w:tc>
                <w:tcPr>
                  <w:tcW w:w="624" w:type="pct"/>
                  <w:tcBorders>
                    <w:tl2br w:val="nil"/>
                    <w:tr2bl w:val="nil"/>
                  </w:tcBorders>
                  <w:shd w:val="clear" w:color="auto" w:fill="auto"/>
                  <w:vAlign w:val="center"/>
                </w:tcPr>
                <w:p w14:paraId="4F67362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1</w:t>
                  </w:r>
                </w:p>
              </w:tc>
              <w:tc>
                <w:tcPr>
                  <w:tcW w:w="930" w:type="pct"/>
                  <w:tcBorders>
                    <w:tl2br w:val="nil"/>
                    <w:tr2bl w:val="nil"/>
                  </w:tcBorders>
                  <w:shd w:val="clear" w:color="auto" w:fill="auto"/>
                  <w:vAlign w:val="center"/>
                </w:tcPr>
                <w:p w14:paraId="2903812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r w14:paraId="2053FE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826" w:type="pct"/>
                  <w:tcBorders>
                    <w:tl2br w:val="nil"/>
                    <w:tr2bl w:val="nil"/>
                  </w:tcBorders>
                  <w:shd w:val="clear" w:color="auto" w:fill="auto"/>
                  <w:vAlign w:val="center"/>
                </w:tcPr>
                <w:p w14:paraId="0FCBEDD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5</w:t>
                  </w:r>
                </w:p>
              </w:tc>
              <w:tc>
                <w:tcPr>
                  <w:tcW w:w="1382" w:type="pct"/>
                  <w:tcBorders>
                    <w:tl2br w:val="nil"/>
                    <w:tr2bl w:val="nil"/>
                  </w:tcBorders>
                  <w:shd w:val="clear" w:color="auto" w:fill="auto"/>
                  <w:vAlign w:val="center"/>
                </w:tcPr>
                <w:p w14:paraId="42CC796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输送机</w:t>
                  </w:r>
                </w:p>
              </w:tc>
              <w:tc>
                <w:tcPr>
                  <w:tcW w:w="1235" w:type="pct"/>
                  <w:tcBorders>
                    <w:tl2br w:val="nil"/>
                    <w:tr2bl w:val="nil"/>
                  </w:tcBorders>
                  <w:shd w:val="clear" w:color="auto" w:fill="auto"/>
                  <w:vAlign w:val="center"/>
                </w:tcPr>
                <w:p w14:paraId="11F317C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c>
                <w:tcPr>
                  <w:tcW w:w="624" w:type="pct"/>
                  <w:tcBorders>
                    <w:tl2br w:val="nil"/>
                    <w:tr2bl w:val="nil"/>
                  </w:tcBorders>
                  <w:shd w:val="clear" w:color="auto" w:fill="auto"/>
                  <w:vAlign w:val="center"/>
                </w:tcPr>
                <w:p w14:paraId="2D516DD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4</w:t>
                  </w:r>
                </w:p>
              </w:tc>
              <w:tc>
                <w:tcPr>
                  <w:tcW w:w="930" w:type="pct"/>
                  <w:tcBorders>
                    <w:tl2br w:val="nil"/>
                    <w:tr2bl w:val="nil"/>
                  </w:tcBorders>
                  <w:shd w:val="clear" w:color="auto" w:fill="auto"/>
                  <w:vAlign w:val="center"/>
                </w:tcPr>
                <w:p w14:paraId="20EEC98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r w14:paraId="0C6B82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826" w:type="pct"/>
                  <w:tcBorders>
                    <w:tl2br w:val="nil"/>
                    <w:tr2bl w:val="nil"/>
                  </w:tcBorders>
                  <w:shd w:val="clear" w:color="auto" w:fill="auto"/>
                  <w:vAlign w:val="center"/>
                </w:tcPr>
                <w:p w14:paraId="6434C77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6</w:t>
                  </w:r>
                </w:p>
              </w:tc>
              <w:tc>
                <w:tcPr>
                  <w:tcW w:w="1382" w:type="pct"/>
                  <w:tcBorders>
                    <w:tl2br w:val="nil"/>
                    <w:tr2bl w:val="nil"/>
                  </w:tcBorders>
                  <w:shd w:val="clear" w:color="auto" w:fill="auto"/>
                  <w:vAlign w:val="center"/>
                </w:tcPr>
                <w:p w14:paraId="1A0AF64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烘干塔</w:t>
                  </w:r>
                </w:p>
              </w:tc>
              <w:tc>
                <w:tcPr>
                  <w:tcW w:w="1235" w:type="pct"/>
                  <w:tcBorders>
                    <w:tl2br w:val="nil"/>
                    <w:tr2bl w:val="nil"/>
                  </w:tcBorders>
                  <w:shd w:val="clear" w:color="auto" w:fill="auto"/>
                  <w:vAlign w:val="center"/>
                </w:tcPr>
                <w:p w14:paraId="49E8C26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2</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00t/d</w:t>
                  </w:r>
                </w:p>
              </w:tc>
              <w:tc>
                <w:tcPr>
                  <w:tcW w:w="624" w:type="pct"/>
                  <w:tcBorders>
                    <w:tl2br w:val="nil"/>
                    <w:tr2bl w:val="nil"/>
                  </w:tcBorders>
                  <w:shd w:val="clear" w:color="auto" w:fill="auto"/>
                  <w:vAlign w:val="center"/>
                </w:tcPr>
                <w:p w14:paraId="18724A5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1</w:t>
                  </w:r>
                </w:p>
              </w:tc>
              <w:tc>
                <w:tcPr>
                  <w:tcW w:w="930" w:type="pct"/>
                  <w:tcBorders>
                    <w:tl2br w:val="nil"/>
                    <w:tr2bl w:val="nil"/>
                  </w:tcBorders>
                  <w:shd w:val="clear" w:color="auto" w:fill="auto"/>
                  <w:vAlign w:val="center"/>
                </w:tcPr>
                <w:p w14:paraId="1DA92D1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bl>
          <w:p w14:paraId="1A2DCEB9">
            <w:pPr>
              <w:keepNext w:val="0"/>
              <w:keepLines w:val="0"/>
              <w:suppressLineNumbers w:val="0"/>
              <w:spacing w:before="0" w:beforeAutospacing="0" w:after="0" w:afterAutospacing="0" w:line="82" w:lineRule="auto"/>
              <w:ind w:left="0" w:right="0"/>
              <w:rPr>
                <w:rFonts w:hint="default" w:ascii="Times New Roman" w:hAnsi="Times New Roman" w:eastAsia="宋体" w:cs="Times New Roman"/>
                <w:color w:val="000000" w:themeColor="text1"/>
                <w:sz w:val="2"/>
                <w:highlight w:val="none"/>
                <w14:textFill>
                  <w14:solidFill>
                    <w14:schemeClr w14:val="tx1"/>
                  </w14:solidFill>
                </w14:textFill>
              </w:rPr>
            </w:pPr>
          </w:p>
          <w:p w14:paraId="1D3DAA51">
            <w:pPr>
              <w:keepNext w:val="0"/>
              <w:keepLines w:val="0"/>
              <w:suppressLineNumbers w:val="0"/>
              <w:autoSpaceDE w:val="0"/>
              <w:autoSpaceDN w:val="0"/>
              <w:adjustRightInd w:val="0"/>
              <w:spacing w:before="0" w:beforeAutospacing="0" w:after="0" w:afterAutospacing="0" w:line="360" w:lineRule="auto"/>
              <w:ind w:left="0" w:right="0" w:firstLine="480" w:firstLineChars="200"/>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固定机械设备检修方案：1、日常点检（每班）：操作工检查设备异响、温度、皮带、密封、除尘运行情况，发现漏料、漏油、堵料立即上报。</w:t>
            </w:r>
          </w:p>
          <w:p w14:paraId="7CDAE760">
            <w:pPr>
              <w:keepNext w:val="0"/>
              <w:keepLines w:val="0"/>
              <w:suppressLineNumbers w:val="0"/>
              <w:autoSpaceDE w:val="0"/>
              <w:autoSpaceDN w:val="0"/>
              <w:adjustRightInd w:val="0"/>
              <w:spacing w:before="0" w:beforeAutospacing="0" w:after="0" w:afterAutospacing="0" w:line="360" w:lineRule="auto"/>
              <w:ind w:left="0" w:right="0" w:firstLine="480" w:firstLineChars="200"/>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2、月保养：紧固全部螺栓，加注润滑油，清理烘干塔、除尘器积尘积粮，检修输送皮带、提升机链条。</w:t>
            </w:r>
          </w:p>
          <w:p w14:paraId="6E0081B4">
            <w:pPr>
              <w:keepNext w:val="0"/>
              <w:keepLines w:val="0"/>
              <w:suppressLineNumbers w:val="0"/>
              <w:autoSpaceDE w:val="0"/>
              <w:autoSpaceDN w:val="0"/>
              <w:adjustRightInd w:val="0"/>
              <w:spacing w:before="0" w:beforeAutospacing="0" w:after="0" w:afterAutospacing="0" w:line="360" w:lineRule="auto"/>
              <w:ind w:left="0" w:right="0" w:firstLine="480" w:firstLineChars="200"/>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3、半年检修：拆解风机轴承、热风炉管路，更换磨损托辊、密封胶皮、除尘器滤袋，校验地秤计量精度。</w:t>
            </w:r>
          </w:p>
          <w:p w14:paraId="0A9CF92E">
            <w:pPr>
              <w:keepNext w:val="0"/>
              <w:keepLines w:val="0"/>
              <w:suppressLineNumbers w:val="0"/>
              <w:autoSpaceDE w:val="0"/>
              <w:autoSpaceDN w:val="0"/>
              <w:adjustRightInd w:val="0"/>
              <w:spacing w:before="0" w:beforeAutospacing="0" w:after="0" w:afterAutospacing="0" w:line="360" w:lineRule="auto"/>
              <w:ind w:left="0" w:right="0" w:firstLine="480" w:firstLineChars="200"/>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4、年度大修：烘干塔、热风炉整体检修，修补炉体、塔体锈蚀破损；全面检修除尘清灰系统，整机空载、带料试运行。</w:t>
            </w:r>
          </w:p>
          <w:p w14:paraId="44B3B564">
            <w:pPr>
              <w:keepNext w:val="0"/>
              <w:keepLines w:val="0"/>
              <w:suppressLineNumbers w:val="0"/>
              <w:autoSpaceDE w:val="0"/>
              <w:autoSpaceDN w:val="0"/>
              <w:adjustRightInd w:val="0"/>
              <w:spacing w:before="0" w:beforeAutospacing="0" w:after="0" w:afterAutospacing="0" w:line="360" w:lineRule="auto"/>
              <w:ind w:left="0" w:right="0" w:firstLine="480" w:firstLineChars="200"/>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5、故障抢修：设备卡堵、热风泄漏、除尘失效等突发问题，停机断电后及时抢修。</w:t>
            </w:r>
          </w:p>
          <w:p w14:paraId="14CE0581">
            <w:pPr>
              <w:keepNext w:val="0"/>
              <w:keepLines w:val="0"/>
              <w:suppressLineNumbers w:val="0"/>
              <w:tabs>
                <w:tab w:val="left" w:pos="6480"/>
              </w:tabs>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highlight w:val="none"/>
                <w:lang w:eastAsia="zh-CN"/>
                <w14:textFill>
                  <w14:solidFill>
                    <w14:schemeClr w14:val="tx1"/>
                  </w14:solidFill>
                </w14:textFill>
              </w:rPr>
            </w:pPr>
            <w:r>
              <w:rPr>
                <w:rFonts w:hint="eastAsia" w:cs="Times New Roman"/>
                <w:b/>
                <w:bCs/>
                <w:color w:val="000000" w:themeColor="text1"/>
                <w:sz w:val="24"/>
                <w:highlight w:val="none"/>
                <w:lang w:eastAsia="zh-CN"/>
                <w14:textFill>
                  <w14:solidFill>
                    <w14:schemeClr w14:val="tx1"/>
                  </w14:solidFill>
                </w14:textFill>
              </w:rPr>
              <w:t>三</w:t>
            </w:r>
            <w:r>
              <w:rPr>
                <w:rFonts w:hint="default" w:ascii="Times New Roman" w:hAnsi="Times New Roman" w:eastAsia="宋体" w:cs="Times New Roman"/>
                <w:b/>
                <w:bCs/>
                <w:color w:val="000000" w:themeColor="text1"/>
                <w:sz w:val="24"/>
                <w:highlight w:val="none"/>
                <w14:textFill>
                  <w14:solidFill>
                    <w14:schemeClr w14:val="tx1"/>
                  </w14:solidFill>
                </w14:textFill>
              </w:rPr>
              <w:t>、主要原辅材料及能耗情况</w:t>
            </w:r>
          </w:p>
          <w:p w14:paraId="6AEA87D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表2-3</w:t>
            </w:r>
            <w:r>
              <w:rPr>
                <w:rFonts w:hint="eastAsia"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现有工程与本工程</w:t>
            </w: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原辅材料一览表</w:t>
            </w:r>
          </w:p>
          <w:tbl>
            <w:tblPr>
              <w:tblStyle w:val="35"/>
              <w:tblW w:w="7937"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30" w:type="dxa"/>
                <w:bottom w:w="0" w:type="dxa"/>
                <w:right w:w="30" w:type="dxa"/>
              </w:tblCellMar>
            </w:tblPr>
            <w:tblGrid>
              <w:gridCol w:w="605"/>
              <w:gridCol w:w="1800"/>
              <w:gridCol w:w="1178"/>
              <w:gridCol w:w="1178"/>
              <w:gridCol w:w="1587"/>
              <w:gridCol w:w="1589"/>
            </w:tblGrid>
            <w:tr w14:paraId="2FF7C06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90" w:hRule="atLeast"/>
                <w:jc w:val="center"/>
              </w:trPr>
              <w:tc>
                <w:tcPr>
                  <w:tcW w:w="605" w:type="dxa"/>
                  <w:vAlign w:val="center"/>
                </w:tcPr>
                <w:p w14:paraId="436A3D0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000000" w:themeColor="text1"/>
                      <w:szCs w:val="21"/>
                      <w:highlight w:val="none"/>
                      <w14:textFill>
                        <w14:solidFill>
                          <w14:schemeClr w14:val="tx1"/>
                        </w14:solidFill>
                      </w14:textFill>
                      <w14:ligatures w14:val="none"/>
                    </w:rPr>
                  </w:pPr>
                  <w:r>
                    <w:rPr>
                      <w:rFonts w:hint="default" w:ascii="Times New Roman" w:hAnsi="Times New Roman" w:eastAsia="宋体" w:cs="Times New Roman"/>
                      <w:bCs/>
                      <w:snapToGrid w:val="0"/>
                      <w:color w:val="000000" w:themeColor="text1"/>
                      <w:szCs w:val="21"/>
                      <w:highlight w:val="none"/>
                      <w14:textFill>
                        <w14:solidFill>
                          <w14:schemeClr w14:val="tx1"/>
                        </w14:solidFill>
                      </w14:textFill>
                      <w14:ligatures w14:val="none"/>
                    </w:rPr>
                    <w:t>序号</w:t>
                  </w:r>
                </w:p>
              </w:tc>
              <w:tc>
                <w:tcPr>
                  <w:tcW w:w="1800" w:type="dxa"/>
                  <w:vAlign w:val="center"/>
                </w:tcPr>
                <w:p w14:paraId="12CFFA6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napToGrid w:val="0"/>
                      <w:color w:val="000000" w:themeColor="text1"/>
                      <w:szCs w:val="21"/>
                      <w:highlight w:val="none"/>
                      <w:lang w:val="en-US" w:eastAsia="zh-CN"/>
                      <w14:textFill>
                        <w14:solidFill>
                          <w14:schemeClr w14:val="tx1"/>
                        </w14:solidFill>
                      </w14:textFill>
                      <w14:ligatures w14:val="none"/>
                    </w:rPr>
                  </w:pPr>
                  <w:r>
                    <w:rPr>
                      <w:rFonts w:hint="eastAsia" w:cs="Times New Roman"/>
                      <w:bCs/>
                      <w:snapToGrid w:val="0"/>
                      <w:color w:val="000000" w:themeColor="text1"/>
                      <w:szCs w:val="21"/>
                      <w:highlight w:val="none"/>
                      <w:lang w:val="en-US" w:eastAsia="zh-CN"/>
                      <w14:textFill>
                        <w14:solidFill>
                          <w14:schemeClr w14:val="tx1"/>
                        </w14:solidFill>
                      </w14:textFill>
                      <w14:ligatures w14:val="none"/>
                    </w:rPr>
                    <w:t>名称</w:t>
                  </w:r>
                </w:p>
              </w:tc>
              <w:tc>
                <w:tcPr>
                  <w:tcW w:w="1178" w:type="dxa"/>
                  <w:vAlign w:val="center"/>
                </w:tcPr>
                <w:p w14:paraId="51FCA51D">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Cs w:val="21"/>
                      <w:highlight w:val="none"/>
                      <w14:textFill>
                        <w14:solidFill>
                          <w14:schemeClr w14:val="tx1"/>
                        </w14:solidFill>
                      </w14:textFill>
                      <w14:ligatures w14:val="none"/>
                    </w:rPr>
                  </w:pPr>
                  <w:r>
                    <w:rPr>
                      <w:rFonts w:hint="default" w:ascii="Times New Roman" w:hAnsi="Times New Roman" w:eastAsia="宋体" w:cs="Times New Roman"/>
                      <w:bCs/>
                      <w:color w:val="000000" w:themeColor="text1"/>
                      <w:szCs w:val="21"/>
                      <w:highlight w:val="none"/>
                      <w14:textFill>
                        <w14:solidFill>
                          <w14:schemeClr w14:val="tx1"/>
                        </w14:solidFill>
                      </w14:textFill>
                      <w14:ligatures w14:val="none"/>
                    </w:rPr>
                    <w:t>单位</w:t>
                  </w:r>
                </w:p>
              </w:tc>
              <w:tc>
                <w:tcPr>
                  <w:tcW w:w="1178" w:type="dxa"/>
                  <w:vAlign w:val="center"/>
                </w:tcPr>
                <w:p w14:paraId="2022ABBC">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14:ligatures w14:val="none"/>
                    </w:rPr>
                  </w:pP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14:ligatures w14:val="none"/>
                    </w:rPr>
                    <w:t>现有工程</w:t>
                  </w:r>
                </w:p>
              </w:tc>
              <w:tc>
                <w:tcPr>
                  <w:tcW w:w="1587" w:type="dxa"/>
                  <w:vAlign w:val="center"/>
                </w:tcPr>
                <w:p w14:paraId="7D164709">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Cs w:val="21"/>
                      <w:highlight w:val="none"/>
                      <w14:textFill>
                        <w14:solidFill>
                          <w14:schemeClr w14:val="tx1"/>
                        </w14:solidFill>
                      </w14:textFill>
                      <w14:ligatures w14:val="none"/>
                    </w:rPr>
                  </w:pP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14:ligatures w14:val="none"/>
                    </w:rPr>
                    <w:t>本工程</w:t>
                  </w:r>
                </w:p>
              </w:tc>
              <w:tc>
                <w:tcPr>
                  <w:tcW w:w="1589" w:type="dxa"/>
                  <w:vAlign w:val="center"/>
                </w:tcPr>
                <w:p w14:paraId="413DAA26">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14:ligatures w14:val="none"/>
                    </w:rPr>
                  </w:pPr>
                  <w:r>
                    <w:rPr>
                      <w:rFonts w:hint="eastAsia" w:cs="Times New Roman"/>
                      <w:bCs/>
                      <w:color w:val="000000" w:themeColor="text1"/>
                      <w:szCs w:val="21"/>
                      <w:highlight w:val="none"/>
                      <w:lang w:val="en-US" w:eastAsia="zh-CN"/>
                      <w14:textFill>
                        <w14:solidFill>
                          <w14:schemeClr w14:val="tx1"/>
                        </w14:solidFill>
                      </w14:textFill>
                      <w14:ligatures w14:val="none"/>
                    </w:rPr>
                    <w:t>变化情况</w:t>
                  </w:r>
                </w:p>
              </w:tc>
            </w:tr>
            <w:tr w14:paraId="66BEE9C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90" w:hRule="atLeast"/>
                <w:jc w:val="center"/>
              </w:trPr>
              <w:tc>
                <w:tcPr>
                  <w:tcW w:w="605" w:type="dxa"/>
                  <w:vAlign w:val="center"/>
                </w:tcPr>
                <w:p w14:paraId="7BC5D646">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bCs/>
                      <w:snapToGrid w:val="0"/>
                      <w:color w:val="000000" w:themeColor="text1"/>
                      <w:szCs w:val="21"/>
                      <w:highlight w:val="none"/>
                      <w:lang w:val="en-US" w:eastAsia="zh-CN"/>
                      <w14:textFill>
                        <w14:solidFill>
                          <w14:schemeClr w14:val="tx1"/>
                        </w14:solidFill>
                      </w14:textFill>
                      <w14:ligatures w14:val="none"/>
                    </w:rPr>
                  </w:pPr>
                  <w:r>
                    <w:rPr>
                      <w:rFonts w:hint="eastAsia" w:cs="Times New Roman"/>
                      <w:bCs/>
                      <w:snapToGrid w:val="0"/>
                      <w:color w:val="000000" w:themeColor="text1"/>
                      <w:szCs w:val="21"/>
                      <w:highlight w:val="none"/>
                      <w:lang w:val="en-US" w:eastAsia="zh-CN"/>
                      <w14:textFill>
                        <w14:solidFill>
                          <w14:schemeClr w14:val="tx1"/>
                        </w14:solidFill>
                      </w14:textFill>
                      <w14:ligatures w14:val="none"/>
                    </w:rPr>
                    <w:t>1</w:t>
                  </w:r>
                </w:p>
              </w:tc>
              <w:tc>
                <w:tcPr>
                  <w:tcW w:w="1800" w:type="dxa"/>
                  <w:vAlign w:val="center"/>
                </w:tcPr>
                <w:p w14:paraId="4E07F49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napToGrid w:val="0"/>
                      <w:color w:val="000000" w:themeColor="text1"/>
                      <w:szCs w:val="21"/>
                      <w:highlight w:val="none"/>
                      <w14:textFill>
                        <w14:solidFill>
                          <w14:schemeClr w14:val="tx1"/>
                        </w14:solidFill>
                      </w14:textFill>
                      <w14:ligatures w14:val="none"/>
                    </w:rPr>
                  </w:pPr>
                  <w:r>
                    <w:rPr>
                      <w:rFonts w:hint="default" w:ascii="Times New Roman" w:hAnsi="Times New Roman" w:eastAsia="宋体" w:cs="Times New Roman"/>
                      <w:color w:val="000000" w:themeColor="text1"/>
                      <w:szCs w:val="21"/>
                      <w:highlight w:val="none"/>
                      <w14:textFill>
                        <w14:solidFill>
                          <w14:schemeClr w14:val="tx1"/>
                        </w14:solidFill>
                      </w14:textFill>
                      <w14:ligatures w14:val="none"/>
                    </w:rPr>
                    <w:t>玉米（含水率</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28</w:t>
                  </w:r>
                  <w:r>
                    <w:rPr>
                      <w:rFonts w:hint="default" w:ascii="Times New Roman" w:hAnsi="Times New Roman" w:eastAsia="宋体" w:cs="Times New Roman"/>
                      <w:color w:val="000000" w:themeColor="text1"/>
                      <w:szCs w:val="21"/>
                      <w:highlight w:val="none"/>
                      <w14:textFill>
                        <w14:solidFill>
                          <w14:schemeClr w14:val="tx1"/>
                        </w14:solidFill>
                      </w14:textFill>
                      <w14:ligatures w14:val="none"/>
                    </w:rPr>
                    <w:t>%）</w:t>
                  </w:r>
                </w:p>
              </w:tc>
              <w:tc>
                <w:tcPr>
                  <w:tcW w:w="1178" w:type="dxa"/>
                  <w:vAlign w:val="center"/>
                </w:tcPr>
                <w:p w14:paraId="629C56B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color w:val="000000" w:themeColor="text1"/>
                      <w:szCs w:val="21"/>
                      <w:highlight w:val="none"/>
                      <w14:textFill>
                        <w14:solidFill>
                          <w14:schemeClr w14:val="tx1"/>
                        </w14:solidFill>
                      </w14:textFill>
                      <w14:ligatures w14:val="none"/>
                    </w:rPr>
                  </w:pPr>
                  <w:r>
                    <w:rPr>
                      <w:rFonts w:hint="default" w:ascii="Times New Roman" w:hAnsi="Times New Roman" w:eastAsia="宋体" w:cs="Times New Roman"/>
                      <w:color w:val="000000" w:themeColor="text1"/>
                      <w:szCs w:val="21"/>
                      <w:highlight w:val="none"/>
                      <w14:textFill>
                        <w14:solidFill>
                          <w14:schemeClr w14:val="tx1"/>
                        </w14:solidFill>
                      </w14:textFill>
                      <w14:ligatures w14:val="none"/>
                    </w:rPr>
                    <w:t>t/a</w:t>
                  </w:r>
                </w:p>
              </w:tc>
              <w:tc>
                <w:tcPr>
                  <w:tcW w:w="1178" w:type="dxa"/>
                  <w:vAlign w:val="center"/>
                </w:tcPr>
                <w:p w14:paraId="622377DA">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14:ligatures w14:val="none"/>
                    </w:rPr>
                  </w:pPr>
                  <w:r>
                    <w:rPr>
                      <w:rFonts w:hint="eastAsia" w:cs="Times New Roman"/>
                      <w:bCs/>
                      <w:color w:val="000000" w:themeColor="text1"/>
                      <w:szCs w:val="21"/>
                      <w:highlight w:val="none"/>
                      <w:lang w:val="en-US" w:eastAsia="zh-CN"/>
                      <w14:textFill>
                        <w14:solidFill>
                          <w14:schemeClr w14:val="tx1"/>
                        </w14:solidFill>
                      </w14:textFill>
                      <w14:ligatures w14:val="none"/>
                    </w:rPr>
                    <w:t>10000</w:t>
                  </w:r>
                </w:p>
              </w:tc>
              <w:tc>
                <w:tcPr>
                  <w:tcW w:w="1587" w:type="dxa"/>
                  <w:vAlign w:val="center"/>
                </w:tcPr>
                <w:p w14:paraId="795ED4EF">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14:ligatures w14:val="none"/>
                    </w:rPr>
                  </w:pP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14:ligatures w14:val="none"/>
                    </w:rPr>
                    <w:t>36000</w:t>
                  </w:r>
                </w:p>
              </w:tc>
              <w:tc>
                <w:tcPr>
                  <w:tcW w:w="1589" w:type="dxa"/>
                  <w:vAlign w:val="center"/>
                </w:tcPr>
                <w:p w14:paraId="15440C43">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14:ligatures w14:val="none"/>
                    </w:rPr>
                  </w:pPr>
                  <w:r>
                    <w:rPr>
                      <w:rFonts w:hint="eastAsia" w:cs="Times New Roman"/>
                      <w:bCs/>
                      <w:color w:val="000000" w:themeColor="text1"/>
                      <w:szCs w:val="21"/>
                      <w:highlight w:val="none"/>
                      <w:lang w:val="en-US" w:eastAsia="zh-CN"/>
                      <w14:textFill>
                        <w14:solidFill>
                          <w14:schemeClr w14:val="tx1"/>
                        </w14:solidFill>
                      </w14:textFill>
                      <w14:ligatures w14:val="none"/>
                    </w:rPr>
                    <w:t>+26000</w:t>
                  </w:r>
                </w:p>
              </w:tc>
            </w:tr>
            <w:tr w14:paraId="543A559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90" w:hRule="atLeast"/>
                <w:jc w:val="center"/>
              </w:trPr>
              <w:tc>
                <w:tcPr>
                  <w:tcW w:w="605" w:type="dxa"/>
                  <w:vAlign w:val="center"/>
                </w:tcPr>
                <w:p w14:paraId="3FAF487D">
                  <w:pPr>
                    <w:keepNext w:val="0"/>
                    <w:keepLines w:val="0"/>
                    <w:suppressLineNumbers w:val="0"/>
                    <w:adjustRightInd w:val="0"/>
                    <w:snapToGrid w:val="0"/>
                    <w:spacing w:before="0" w:beforeAutospacing="0" w:after="0" w:afterAutospacing="0"/>
                    <w:ind w:left="0" w:right="0"/>
                    <w:jc w:val="center"/>
                    <w:rPr>
                      <w:rFonts w:hint="default" w:cs="Times New Roman"/>
                      <w:bCs/>
                      <w:snapToGrid w:val="0"/>
                      <w:color w:val="000000" w:themeColor="text1"/>
                      <w:szCs w:val="21"/>
                      <w:highlight w:val="none"/>
                      <w:lang w:val="en-US" w:eastAsia="zh-CN"/>
                      <w14:textFill>
                        <w14:solidFill>
                          <w14:schemeClr w14:val="tx1"/>
                        </w14:solidFill>
                      </w14:textFill>
                      <w14:ligatures w14:val="none"/>
                    </w:rPr>
                  </w:pPr>
                  <w:r>
                    <w:rPr>
                      <w:rFonts w:hint="eastAsia" w:cs="Times New Roman"/>
                      <w:bCs/>
                      <w:snapToGrid w:val="0"/>
                      <w:color w:val="000000" w:themeColor="text1"/>
                      <w:szCs w:val="21"/>
                      <w:highlight w:val="none"/>
                      <w:lang w:val="en-US" w:eastAsia="zh-CN"/>
                      <w14:textFill>
                        <w14:solidFill>
                          <w14:schemeClr w14:val="tx1"/>
                        </w14:solidFill>
                      </w14:textFill>
                      <w14:ligatures w14:val="none"/>
                    </w:rPr>
                    <w:t>2</w:t>
                  </w:r>
                </w:p>
              </w:tc>
              <w:tc>
                <w:tcPr>
                  <w:tcW w:w="1800" w:type="dxa"/>
                  <w:vAlign w:val="center"/>
                </w:tcPr>
                <w:p w14:paraId="612E8D8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14:ligatures w14:val="none"/>
                    </w:rPr>
                  </w:pPr>
                  <w:r>
                    <w:rPr>
                      <w:rFonts w:hint="default" w:ascii="Times New Roman" w:hAnsi="Times New Roman" w:eastAsia="宋体" w:cs="Times New Roman"/>
                      <w:color w:val="000000" w:themeColor="text1"/>
                      <w:szCs w:val="21"/>
                      <w:highlight w:val="none"/>
                      <w14:textFill>
                        <w14:solidFill>
                          <w14:schemeClr w14:val="tx1"/>
                        </w14:solidFill>
                      </w14:textFill>
                      <w14:ligatures w14:val="none"/>
                    </w:rPr>
                    <w:t>生物质成型燃料</w:t>
                  </w:r>
                </w:p>
              </w:tc>
              <w:tc>
                <w:tcPr>
                  <w:tcW w:w="1178" w:type="dxa"/>
                  <w:vAlign w:val="center"/>
                </w:tcPr>
                <w:p w14:paraId="152A4C6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color w:val="000000" w:themeColor="text1"/>
                      <w:szCs w:val="21"/>
                      <w:highlight w:val="none"/>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t/a</w:t>
                  </w:r>
                </w:p>
              </w:tc>
              <w:tc>
                <w:tcPr>
                  <w:tcW w:w="1178" w:type="dxa"/>
                  <w:vAlign w:val="center"/>
                </w:tcPr>
                <w:p w14:paraId="466607E2">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themeColor="text1"/>
                      <w:szCs w:val="21"/>
                      <w:highlight w:val="none"/>
                      <w:lang w:val="en-US" w:eastAsia="zh-CN"/>
                      <w14:textFill>
                        <w14:solidFill>
                          <w14:schemeClr w14:val="tx1"/>
                        </w14:solidFill>
                      </w14:textFill>
                      <w14:ligatures w14:val="none"/>
                    </w:rPr>
                  </w:pPr>
                  <w:r>
                    <w:rPr>
                      <w:rFonts w:hint="eastAsia" w:cs="Times New Roman"/>
                      <w:bCs/>
                      <w:color w:val="000000" w:themeColor="text1"/>
                      <w:szCs w:val="21"/>
                      <w:highlight w:val="none"/>
                      <w:lang w:val="en-US" w:eastAsia="zh-CN"/>
                      <w14:textFill>
                        <w14:solidFill>
                          <w14:schemeClr w14:val="tx1"/>
                        </w14:solidFill>
                      </w14:textFill>
                      <w14:ligatures w14:val="none"/>
                    </w:rPr>
                    <w:t>/</w:t>
                  </w:r>
                </w:p>
              </w:tc>
              <w:tc>
                <w:tcPr>
                  <w:tcW w:w="1587" w:type="dxa"/>
                  <w:vAlign w:val="center"/>
                </w:tcPr>
                <w:p w14:paraId="2D36051F">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14:ligatures w14:val="none"/>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2507.74</w:t>
                  </w:r>
                </w:p>
              </w:tc>
              <w:tc>
                <w:tcPr>
                  <w:tcW w:w="1589" w:type="dxa"/>
                  <w:vAlign w:val="center"/>
                </w:tcPr>
                <w:p w14:paraId="726E7BF9">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000000" w:themeColor="text1"/>
                      <w:szCs w:val="21"/>
                      <w:highlight w:val="none"/>
                      <w:lang w:val="en-US" w:eastAsia="zh-CN"/>
                      <w14:textFill>
                        <w14:solidFill>
                          <w14:schemeClr w14:val="tx1"/>
                        </w14:solidFill>
                      </w14:textFill>
                      <w14:ligatures w14:val="none"/>
                    </w:rPr>
                  </w:pPr>
                  <w:r>
                    <w:rPr>
                      <w:rFonts w:hint="eastAsia" w:cs="Times New Roman"/>
                      <w:bCs/>
                      <w:color w:val="000000" w:themeColor="text1"/>
                      <w:szCs w:val="21"/>
                      <w:highlight w:val="none"/>
                      <w:lang w:val="en-US" w:eastAsia="zh-CN"/>
                      <w14:textFill>
                        <w14:solidFill>
                          <w14:schemeClr w14:val="tx1"/>
                        </w14:solidFill>
                      </w14:textFill>
                      <w14:ligatures w14:val="none"/>
                    </w:rPr>
                    <w:t>+</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2507.74</w:t>
                  </w:r>
                </w:p>
              </w:tc>
            </w:tr>
            <w:tr w14:paraId="5CCACE9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90" w:hRule="atLeast"/>
                <w:jc w:val="center"/>
              </w:trPr>
              <w:tc>
                <w:tcPr>
                  <w:tcW w:w="605" w:type="dxa"/>
                  <w:vAlign w:val="center"/>
                </w:tcPr>
                <w:p w14:paraId="28248B68">
                  <w:pPr>
                    <w:keepNext w:val="0"/>
                    <w:keepLines w:val="0"/>
                    <w:suppressLineNumbers w:val="0"/>
                    <w:adjustRightInd w:val="0"/>
                    <w:snapToGrid w:val="0"/>
                    <w:spacing w:before="0" w:beforeAutospacing="0" w:after="0" w:afterAutospacing="0"/>
                    <w:ind w:left="0" w:right="0"/>
                    <w:jc w:val="center"/>
                    <w:rPr>
                      <w:rFonts w:hint="default" w:cs="Times New Roman"/>
                      <w:bCs/>
                      <w:snapToGrid w:val="0"/>
                      <w:color w:val="000000" w:themeColor="text1"/>
                      <w:szCs w:val="21"/>
                      <w:highlight w:val="none"/>
                      <w:lang w:val="en-US" w:eastAsia="zh-CN"/>
                      <w14:textFill>
                        <w14:solidFill>
                          <w14:schemeClr w14:val="tx1"/>
                        </w14:solidFill>
                      </w14:textFill>
                      <w14:ligatures w14:val="none"/>
                    </w:rPr>
                  </w:pPr>
                  <w:r>
                    <w:rPr>
                      <w:rFonts w:hint="eastAsia" w:cs="Times New Roman"/>
                      <w:bCs/>
                      <w:snapToGrid w:val="0"/>
                      <w:color w:val="000000" w:themeColor="text1"/>
                      <w:szCs w:val="21"/>
                      <w:highlight w:val="none"/>
                      <w:lang w:val="en-US" w:eastAsia="zh-CN"/>
                      <w14:textFill>
                        <w14:solidFill>
                          <w14:schemeClr w14:val="tx1"/>
                        </w14:solidFill>
                      </w14:textFill>
                      <w14:ligatures w14:val="none"/>
                    </w:rPr>
                    <w:t>3</w:t>
                  </w:r>
                </w:p>
              </w:tc>
              <w:tc>
                <w:tcPr>
                  <w:tcW w:w="1800" w:type="dxa"/>
                  <w:vAlign w:val="center"/>
                </w:tcPr>
                <w:p w14:paraId="61562D73">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煤</w:t>
                  </w:r>
                </w:p>
              </w:tc>
              <w:tc>
                <w:tcPr>
                  <w:tcW w:w="1178" w:type="dxa"/>
                  <w:vAlign w:val="center"/>
                </w:tcPr>
                <w:p w14:paraId="30839DF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t/a</w:t>
                  </w:r>
                </w:p>
              </w:tc>
              <w:tc>
                <w:tcPr>
                  <w:tcW w:w="1178" w:type="dxa"/>
                  <w:vAlign w:val="center"/>
                </w:tcPr>
                <w:p w14:paraId="312014B0">
                  <w:pPr>
                    <w:keepNext w:val="0"/>
                    <w:keepLines w:val="0"/>
                    <w:suppressLineNumbers w:val="0"/>
                    <w:spacing w:before="0" w:beforeAutospacing="0" w:after="0" w:afterAutospacing="0"/>
                    <w:ind w:left="0" w:right="0"/>
                    <w:jc w:val="center"/>
                    <w:rPr>
                      <w:rFonts w:hint="eastAsia" w:cs="Times New Roman"/>
                      <w:bCs/>
                      <w:color w:val="000000" w:themeColor="text1"/>
                      <w:szCs w:val="21"/>
                      <w:highlight w:val="none"/>
                      <w:lang w:val="en-US" w:eastAsia="zh-CN"/>
                      <w14:textFill>
                        <w14:solidFill>
                          <w14:schemeClr w14:val="tx1"/>
                        </w14:solidFill>
                      </w14:textFill>
                      <w14:ligatures w14:val="none"/>
                    </w:rPr>
                  </w:pPr>
                  <w:r>
                    <w:rPr>
                      <w:rFonts w:hint="eastAsia" w:cs="Times New Roman"/>
                      <w:bCs/>
                      <w:color w:val="000000" w:themeColor="text1"/>
                      <w:szCs w:val="21"/>
                      <w:highlight w:val="none"/>
                      <w:lang w:val="en-US" w:eastAsia="zh-CN"/>
                      <w14:textFill>
                        <w14:solidFill>
                          <w14:schemeClr w14:val="tx1"/>
                        </w14:solidFill>
                      </w14:textFill>
                      <w14:ligatures w14:val="none"/>
                    </w:rPr>
                    <w:t>500</w:t>
                  </w:r>
                </w:p>
              </w:tc>
              <w:tc>
                <w:tcPr>
                  <w:tcW w:w="1587" w:type="dxa"/>
                  <w:vAlign w:val="center"/>
                </w:tcPr>
                <w:p w14:paraId="4C5ACC5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c>
                <w:tcPr>
                  <w:tcW w:w="1589" w:type="dxa"/>
                  <w:vAlign w:val="center"/>
                </w:tcPr>
                <w:p w14:paraId="32030A9F">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14:ligatures w14:val="none"/>
                    </w:rPr>
                  </w:pPr>
                  <w:r>
                    <w:rPr>
                      <w:rFonts w:hint="eastAsia" w:cs="Times New Roman"/>
                      <w:bCs/>
                      <w:color w:val="000000" w:themeColor="text1"/>
                      <w:szCs w:val="21"/>
                      <w:highlight w:val="none"/>
                      <w:lang w:val="en-US" w:eastAsia="zh-CN"/>
                      <w14:textFill>
                        <w14:solidFill>
                          <w14:schemeClr w14:val="tx1"/>
                        </w14:solidFill>
                      </w14:textFill>
                      <w14:ligatures w14:val="none"/>
                    </w:rPr>
                    <w:t>-500</w:t>
                  </w:r>
                </w:p>
              </w:tc>
            </w:tr>
          </w:tbl>
          <w:p w14:paraId="0D7E582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表2-</w:t>
            </w:r>
            <w:r>
              <w:rPr>
                <w:rFonts w:hint="eastAsia" w:cs="Times New Roman"/>
                <w:b/>
                <w:bCs/>
                <w:color w:val="000000" w:themeColor="text1"/>
                <w:kern w:val="0"/>
                <w:sz w:val="21"/>
                <w:szCs w:val="21"/>
                <w:highlight w:val="none"/>
                <w:lang w:val="en-US" w:eastAsia="zh-CN" w:bidi="ar-SA"/>
                <w14:textFill>
                  <w14:solidFill>
                    <w14:schemeClr w14:val="tx1"/>
                  </w14:solidFill>
                </w14:textFill>
              </w:rPr>
              <w:t>4</w:t>
            </w: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燃料生物质成分分析一览表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928"/>
              <w:gridCol w:w="1306"/>
              <w:gridCol w:w="1529"/>
              <w:gridCol w:w="2182"/>
            </w:tblGrid>
            <w:tr w14:paraId="367FD3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1843" w:type="pct"/>
                  <w:noWrap w:val="0"/>
                  <w:vAlign w:val="center"/>
                </w:tcPr>
                <w:p w14:paraId="5D79334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名称</w:t>
                  </w:r>
                </w:p>
              </w:tc>
              <w:tc>
                <w:tcPr>
                  <w:tcW w:w="822" w:type="pct"/>
                  <w:noWrap w:val="0"/>
                  <w:vAlign w:val="center"/>
                </w:tcPr>
                <w:p w14:paraId="51EE390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符号</w:t>
                  </w:r>
                </w:p>
              </w:tc>
              <w:tc>
                <w:tcPr>
                  <w:tcW w:w="962" w:type="pct"/>
                  <w:noWrap w:val="0"/>
                  <w:vAlign w:val="center"/>
                </w:tcPr>
                <w:p w14:paraId="2E9B872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单位</w:t>
                  </w:r>
                </w:p>
              </w:tc>
              <w:tc>
                <w:tcPr>
                  <w:tcW w:w="1373" w:type="pct"/>
                  <w:noWrap w:val="0"/>
                  <w:vAlign w:val="center"/>
                </w:tcPr>
                <w:p w14:paraId="6342A44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数值</w:t>
                  </w:r>
                </w:p>
              </w:tc>
            </w:tr>
            <w:tr w14:paraId="050C7F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843" w:type="pct"/>
                  <w:noWrap w:val="0"/>
                  <w:vAlign w:val="center"/>
                </w:tcPr>
                <w:p w14:paraId="2603D4D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全水分</w:t>
                  </w:r>
                </w:p>
              </w:tc>
              <w:tc>
                <w:tcPr>
                  <w:tcW w:w="822" w:type="pct"/>
                  <w:noWrap w:val="0"/>
                  <w:vAlign w:val="center"/>
                </w:tcPr>
                <w:p w14:paraId="6191177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Mar</w:t>
                  </w:r>
                </w:p>
              </w:tc>
              <w:tc>
                <w:tcPr>
                  <w:tcW w:w="962" w:type="pct"/>
                  <w:noWrap w:val="0"/>
                  <w:vAlign w:val="center"/>
                </w:tcPr>
                <w:p w14:paraId="588E9EC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w:t>
                  </w:r>
                </w:p>
              </w:tc>
              <w:tc>
                <w:tcPr>
                  <w:tcW w:w="1373" w:type="pct"/>
                  <w:noWrap w:val="0"/>
                  <w:vAlign w:val="center"/>
                </w:tcPr>
                <w:p w14:paraId="3F489FF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29.48</w:t>
                  </w:r>
                </w:p>
              </w:tc>
            </w:tr>
            <w:tr w14:paraId="6D4D7D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843" w:type="pct"/>
                  <w:noWrap w:val="0"/>
                  <w:vAlign w:val="center"/>
                </w:tcPr>
                <w:p w14:paraId="089C0AA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收到基灰分</w:t>
                  </w:r>
                </w:p>
              </w:tc>
              <w:tc>
                <w:tcPr>
                  <w:tcW w:w="822" w:type="pct"/>
                  <w:noWrap w:val="0"/>
                  <w:vAlign w:val="center"/>
                </w:tcPr>
                <w:p w14:paraId="125375C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Aar</w:t>
                  </w:r>
                </w:p>
              </w:tc>
              <w:tc>
                <w:tcPr>
                  <w:tcW w:w="962" w:type="pct"/>
                  <w:noWrap w:val="0"/>
                  <w:vAlign w:val="center"/>
                </w:tcPr>
                <w:p w14:paraId="581CB34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w:t>
                  </w:r>
                </w:p>
              </w:tc>
              <w:tc>
                <w:tcPr>
                  <w:tcW w:w="1373" w:type="pct"/>
                  <w:noWrap w:val="0"/>
                  <w:vAlign w:val="center"/>
                </w:tcPr>
                <w:p w14:paraId="0F0C2FD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4.65</w:t>
                  </w:r>
                </w:p>
              </w:tc>
            </w:tr>
            <w:tr w14:paraId="6D48C5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843" w:type="pct"/>
                  <w:noWrap w:val="0"/>
                  <w:vAlign w:val="top"/>
                </w:tcPr>
                <w:p w14:paraId="025C1C2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收到基碳</w:t>
                  </w:r>
                </w:p>
              </w:tc>
              <w:tc>
                <w:tcPr>
                  <w:tcW w:w="822" w:type="pct"/>
                  <w:noWrap w:val="0"/>
                  <w:vAlign w:val="top"/>
                </w:tcPr>
                <w:p w14:paraId="303C857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C,ar</w:t>
                  </w:r>
                </w:p>
              </w:tc>
              <w:tc>
                <w:tcPr>
                  <w:tcW w:w="962" w:type="pct"/>
                  <w:noWrap w:val="0"/>
                  <w:vAlign w:val="center"/>
                </w:tcPr>
                <w:p w14:paraId="09836CE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w:t>
                  </w:r>
                </w:p>
              </w:tc>
              <w:tc>
                <w:tcPr>
                  <w:tcW w:w="1373" w:type="pct"/>
                  <w:noWrap w:val="0"/>
                  <w:vAlign w:val="center"/>
                </w:tcPr>
                <w:p w14:paraId="24D158E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11.14</w:t>
                  </w:r>
                </w:p>
              </w:tc>
            </w:tr>
            <w:tr w14:paraId="4EF256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843" w:type="pct"/>
                  <w:noWrap w:val="0"/>
                  <w:vAlign w:val="top"/>
                </w:tcPr>
                <w:p w14:paraId="5B632C7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收到基氢</w:t>
                  </w:r>
                </w:p>
              </w:tc>
              <w:tc>
                <w:tcPr>
                  <w:tcW w:w="822" w:type="pct"/>
                  <w:noWrap w:val="0"/>
                  <w:vAlign w:val="top"/>
                </w:tcPr>
                <w:p w14:paraId="4201CFC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H,ar</w:t>
                  </w:r>
                </w:p>
              </w:tc>
              <w:tc>
                <w:tcPr>
                  <w:tcW w:w="962" w:type="pct"/>
                  <w:noWrap w:val="0"/>
                  <w:vAlign w:val="center"/>
                </w:tcPr>
                <w:p w14:paraId="0E3EB22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w:t>
                  </w:r>
                </w:p>
              </w:tc>
              <w:tc>
                <w:tcPr>
                  <w:tcW w:w="1373" w:type="pct"/>
                  <w:noWrap w:val="0"/>
                  <w:vAlign w:val="center"/>
                </w:tcPr>
                <w:p w14:paraId="721EBED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4.</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09</w:t>
                  </w:r>
                </w:p>
              </w:tc>
            </w:tr>
            <w:tr w14:paraId="4763DC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843" w:type="pct"/>
                  <w:noWrap w:val="0"/>
                  <w:vAlign w:val="top"/>
                </w:tcPr>
                <w:p w14:paraId="0B5AEF3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收到基氮</w:t>
                  </w:r>
                </w:p>
              </w:tc>
              <w:tc>
                <w:tcPr>
                  <w:tcW w:w="822" w:type="pct"/>
                  <w:noWrap w:val="0"/>
                  <w:vAlign w:val="top"/>
                </w:tcPr>
                <w:p w14:paraId="48F277B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N,ar</w:t>
                  </w:r>
                </w:p>
              </w:tc>
              <w:tc>
                <w:tcPr>
                  <w:tcW w:w="962" w:type="pct"/>
                  <w:noWrap w:val="0"/>
                  <w:vAlign w:val="center"/>
                </w:tcPr>
                <w:p w14:paraId="4BAA074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w:t>
                  </w:r>
                </w:p>
              </w:tc>
              <w:tc>
                <w:tcPr>
                  <w:tcW w:w="1373" w:type="pct"/>
                  <w:noWrap w:val="0"/>
                  <w:vAlign w:val="center"/>
                </w:tcPr>
                <w:p w14:paraId="0FF1A97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&lt;0.01</w:t>
                  </w:r>
                </w:p>
              </w:tc>
            </w:tr>
            <w:tr w14:paraId="7D4540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843" w:type="pct"/>
                  <w:noWrap w:val="0"/>
                  <w:vAlign w:val="top"/>
                </w:tcPr>
                <w:p w14:paraId="1D3289E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收到基氧</w:t>
                  </w:r>
                </w:p>
              </w:tc>
              <w:tc>
                <w:tcPr>
                  <w:tcW w:w="822" w:type="pct"/>
                  <w:noWrap w:val="0"/>
                  <w:vAlign w:val="top"/>
                </w:tcPr>
                <w:p w14:paraId="759C114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O,ar</w:t>
                  </w:r>
                </w:p>
              </w:tc>
              <w:tc>
                <w:tcPr>
                  <w:tcW w:w="962" w:type="pct"/>
                  <w:noWrap w:val="0"/>
                  <w:vAlign w:val="center"/>
                </w:tcPr>
                <w:p w14:paraId="452D129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w:t>
                  </w:r>
                </w:p>
              </w:tc>
              <w:tc>
                <w:tcPr>
                  <w:tcW w:w="1373" w:type="pct"/>
                  <w:noWrap w:val="0"/>
                  <w:vAlign w:val="center"/>
                </w:tcPr>
                <w:p w14:paraId="57EDE95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29.43</w:t>
                  </w:r>
                </w:p>
              </w:tc>
            </w:tr>
            <w:tr w14:paraId="4916EC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1843" w:type="pct"/>
                  <w:noWrap w:val="0"/>
                  <w:vAlign w:val="center"/>
                </w:tcPr>
                <w:p w14:paraId="783FD4F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收到基全硫</w:t>
                  </w:r>
                </w:p>
              </w:tc>
              <w:tc>
                <w:tcPr>
                  <w:tcW w:w="822" w:type="pct"/>
                  <w:noWrap w:val="0"/>
                  <w:vAlign w:val="center"/>
                </w:tcPr>
                <w:p w14:paraId="0D48FA6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St,ar</w:t>
                  </w:r>
                </w:p>
              </w:tc>
              <w:tc>
                <w:tcPr>
                  <w:tcW w:w="962" w:type="pct"/>
                  <w:noWrap w:val="0"/>
                  <w:vAlign w:val="center"/>
                </w:tcPr>
                <w:p w14:paraId="3C4681F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w:t>
                  </w:r>
                </w:p>
              </w:tc>
              <w:tc>
                <w:tcPr>
                  <w:tcW w:w="1373" w:type="pct"/>
                  <w:noWrap w:val="0"/>
                  <w:vAlign w:val="center"/>
                </w:tcPr>
                <w:p w14:paraId="7C98E95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0.0</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5</w:t>
                  </w:r>
                </w:p>
              </w:tc>
            </w:tr>
            <w:tr w14:paraId="3354BC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843" w:type="pct"/>
                  <w:vMerge w:val="restart"/>
                  <w:noWrap w:val="0"/>
                  <w:vAlign w:val="center"/>
                </w:tcPr>
                <w:p w14:paraId="1C7A6CF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收到基低位发热量</w:t>
                  </w:r>
                </w:p>
              </w:tc>
              <w:tc>
                <w:tcPr>
                  <w:tcW w:w="822" w:type="pct"/>
                  <w:vMerge w:val="restart"/>
                  <w:noWrap w:val="0"/>
                  <w:vAlign w:val="center"/>
                </w:tcPr>
                <w:p w14:paraId="5EEDF85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Qnet,ar</w:t>
                  </w:r>
                </w:p>
              </w:tc>
              <w:tc>
                <w:tcPr>
                  <w:tcW w:w="962" w:type="pct"/>
                  <w:noWrap w:val="0"/>
                  <w:vAlign w:val="center"/>
                </w:tcPr>
                <w:p w14:paraId="70C1802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MJ/kg</w:t>
                  </w:r>
                </w:p>
              </w:tc>
              <w:tc>
                <w:tcPr>
                  <w:tcW w:w="1373" w:type="pct"/>
                  <w:noWrap w:val="0"/>
                  <w:vAlign w:val="center"/>
                </w:tcPr>
                <w:p w14:paraId="7F146FB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14.40</w:t>
                  </w:r>
                </w:p>
              </w:tc>
            </w:tr>
            <w:tr w14:paraId="461434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843" w:type="pct"/>
                  <w:vMerge w:val="continue"/>
                  <w:noWrap w:val="0"/>
                  <w:vAlign w:val="center"/>
                </w:tcPr>
                <w:p w14:paraId="6642BA4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c>
                <w:tcPr>
                  <w:tcW w:w="822" w:type="pct"/>
                  <w:vMerge w:val="continue"/>
                  <w:noWrap w:val="0"/>
                  <w:vAlign w:val="center"/>
                </w:tcPr>
                <w:p w14:paraId="77F94D0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c>
                <w:tcPr>
                  <w:tcW w:w="962" w:type="pct"/>
                  <w:noWrap w:val="0"/>
                  <w:vAlign w:val="center"/>
                </w:tcPr>
                <w:p w14:paraId="4A5E187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Kcal/kg</w:t>
                  </w:r>
                </w:p>
              </w:tc>
              <w:tc>
                <w:tcPr>
                  <w:tcW w:w="1373" w:type="pct"/>
                  <w:noWrap w:val="0"/>
                  <w:vAlign w:val="center"/>
                </w:tcPr>
                <w:p w14:paraId="3AD38A8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3600</w:t>
                  </w:r>
                </w:p>
              </w:tc>
            </w:tr>
          </w:tbl>
          <w:p w14:paraId="5F6E7050">
            <w:pPr>
              <w:keepNext w:val="0"/>
              <w:keepLines w:val="0"/>
              <w:suppressLineNumbers w:val="0"/>
              <w:spacing w:before="0" w:beforeAutospacing="0" w:after="0" w:afterAutospacing="0" w:line="360" w:lineRule="auto"/>
              <w:ind w:left="2823" w:right="0"/>
              <w:rPr>
                <w:rFonts w:hint="default" w:ascii="Times New Roman" w:hAnsi="Times New Roman" w:eastAsia="宋体" w:cs="Times New Roman"/>
                <w:b/>
                <w:bCs/>
                <w:color w:val="000000" w:themeColor="text1"/>
                <w:szCs w:val="21"/>
                <w:highlight w:val="none"/>
                <w14:textFill>
                  <w14:solidFill>
                    <w14:schemeClr w14:val="tx1"/>
                  </w14:solidFill>
                </w14:textFill>
              </w:rPr>
            </w:pPr>
          </w:p>
          <w:p w14:paraId="2B549148">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 xml:space="preserve">本项目水分蒸发量依据 W=G（ω1-ω2）÷（100-ω2）进行计算。 </w:t>
            </w:r>
          </w:p>
          <w:p w14:paraId="4F85F4EA">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 xml:space="preserve">W：水分蒸发量 </w:t>
            </w:r>
          </w:p>
          <w:p w14:paraId="15277C93">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G：处理量（玉米</w:t>
            </w:r>
            <w:r>
              <w:rPr>
                <w:rFonts w:hint="eastAsia" w:cs="Times New Roman"/>
                <w:color w:val="000000" w:themeColor="text1"/>
                <w:kern w:val="0"/>
                <w:sz w:val="24"/>
                <w:szCs w:val="24"/>
                <w:highlight w:val="none"/>
                <w:lang w:val="en-US" w:eastAsia="zh-CN" w:bidi="ar"/>
                <w14:textFill>
                  <w14:solidFill>
                    <w14:schemeClr w14:val="tx1"/>
                  </w14:solidFill>
                </w14:textFill>
              </w:rPr>
              <w:t>36000</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 xml:space="preserve">吨） </w:t>
            </w:r>
          </w:p>
          <w:p w14:paraId="438530F5">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ω1：进料含水量百分数（玉米为</w:t>
            </w:r>
            <w:r>
              <w:rPr>
                <w:rFonts w:hint="eastAsia" w:cs="Times New Roman"/>
                <w:color w:val="000000" w:themeColor="text1"/>
                <w:kern w:val="0"/>
                <w:sz w:val="24"/>
                <w:szCs w:val="24"/>
                <w:highlight w:val="none"/>
                <w:lang w:val="en-US" w:eastAsia="zh-CN" w:bidi="ar"/>
                <w14:textFill>
                  <w14:solidFill>
                    <w14:schemeClr w14:val="tx1"/>
                  </w14:solidFill>
                </w14:textFill>
              </w:rPr>
              <w:t>28</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 xml:space="preserve">%） </w:t>
            </w:r>
          </w:p>
          <w:p w14:paraId="178DDCAE">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ω2：出料含水量百分数（玉米为1</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4.5</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 xml:space="preserve">%） </w:t>
            </w:r>
          </w:p>
          <w:p w14:paraId="36E1FA87">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 xml:space="preserve">1千卡（kcal）=4186焦耳（J） </w:t>
            </w:r>
          </w:p>
          <w:p w14:paraId="3C5DAB54">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 xml:space="preserve">本项目水分蒸发量为： </w:t>
            </w:r>
          </w:p>
          <w:p w14:paraId="76706683">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W</w:t>
            </w:r>
            <w:r>
              <w:rPr>
                <w:rFonts w:hint="default" w:ascii="Times New Roman" w:hAnsi="Times New Roman" w:eastAsia="宋体" w:cs="Times New Roman"/>
                <w:color w:val="000000" w:themeColor="text1"/>
                <w:kern w:val="0"/>
                <w:sz w:val="24"/>
                <w:szCs w:val="24"/>
                <w:highlight w:val="none"/>
                <w:vertAlign w:val="subscript"/>
                <w:lang w:val="en-US" w:eastAsia="zh-CN" w:bidi="ar"/>
                <w14:textFill>
                  <w14:solidFill>
                    <w14:schemeClr w14:val="tx1"/>
                  </w14:solidFill>
                </w14:textFill>
              </w:rPr>
              <w:t>玉米</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 xml:space="preserve">=G（ω1-ω2）÷（100-ω2） </w:t>
            </w:r>
          </w:p>
          <w:p w14:paraId="66756426">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w:t>
            </w:r>
            <w:r>
              <w:rPr>
                <w:rFonts w:hint="eastAsia" w:cs="Times New Roman"/>
                <w:color w:val="000000" w:themeColor="text1"/>
                <w:kern w:val="0"/>
                <w:sz w:val="24"/>
                <w:szCs w:val="24"/>
                <w:highlight w:val="none"/>
                <w:lang w:val="en-US" w:eastAsia="zh-CN" w:bidi="ar"/>
                <w14:textFill>
                  <w14:solidFill>
                    <w14:schemeClr w14:val="tx1"/>
                  </w14:solidFill>
                </w14:textFill>
              </w:rPr>
              <w:t>36000</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w:t>
            </w:r>
            <w:r>
              <w:rPr>
                <w:rFonts w:hint="eastAsia" w:cs="Times New Roman"/>
                <w:color w:val="000000" w:themeColor="text1"/>
                <w:kern w:val="0"/>
                <w:sz w:val="24"/>
                <w:szCs w:val="24"/>
                <w:highlight w:val="none"/>
                <w:lang w:val="en-US" w:eastAsia="zh-CN" w:bidi="ar"/>
                <w14:textFill>
                  <w14:solidFill>
                    <w14:schemeClr w14:val="tx1"/>
                  </w14:solidFill>
                </w14:textFill>
              </w:rPr>
              <w:t>28</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w:t>
            </w:r>
            <w:r>
              <w:rPr>
                <w:rFonts w:hint="eastAsia" w:cs="Times New Roman"/>
                <w:color w:val="000000" w:themeColor="text1"/>
                <w:kern w:val="0"/>
                <w:sz w:val="24"/>
                <w:szCs w:val="24"/>
                <w:highlight w:val="none"/>
                <w:lang w:val="en-US" w:eastAsia="zh-CN" w:bidi="ar"/>
                <w14:textFill>
                  <w14:solidFill>
                    <w14:schemeClr w14:val="tx1"/>
                  </w14:solidFill>
                </w14:textFill>
              </w:rPr>
              <w:t>14.5</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）÷（100-</w:t>
            </w:r>
            <w:r>
              <w:rPr>
                <w:rFonts w:hint="eastAsia" w:cs="Times New Roman"/>
                <w:color w:val="000000" w:themeColor="text1"/>
                <w:kern w:val="0"/>
                <w:sz w:val="24"/>
                <w:szCs w:val="24"/>
                <w:highlight w:val="none"/>
                <w:lang w:val="en-US" w:eastAsia="zh-CN" w:bidi="ar"/>
                <w14:textFill>
                  <w14:solidFill>
                    <w14:schemeClr w14:val="tx1"/>
                  </w14:solidFill>
                </w14:textFill>
              </w:rPr>
              <w:t>14.5</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w:t>
            </w:r>
            <w:r>
              <w:rPr>
                <w:rFonts w:hint="eastAsia" w:cs="Times New Roman"/>
                <w:color w:val="000000" w:themeColor="text1"/>
                <w:kern w:val="0"/>
                <w:sz w:val="24"/>
                <w:szCs w:val="24"/>
                <w:highlight w:val="none"/>
                <w:lang w:val="en-US" w:eastAsia="zh-CN" w:bidi="ar"/>
                <w14:textFill>
                  <w14:solidFill>
                    <w14:schemeClr w14:val="tx1"/>
                  </w14:solidFill>
                </w14:textFill>
              </w:rPr>
              <w:t>5684.21</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 xml:space="preserve">t </w:t>
            </w:r>
          </w:p>
          <w:p w14:paraId="4E4CA0FC">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热风炉热效率为</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8</w:t>
            </w:r>
            <w:r>
              <w:rPr>
                <w:rFonts w:hint="eastAsia" w:cs="Times New Roman"/>
                <w:color w:val="000000" w:themeColor="text1"/>
                <w:kern w:val="0"/>
                <w:sz w:val="24"/>
                <w:szCs w:val="24"/>
                <w:highlight w:val="none"/>
                <w:lang w:val="en-US" w:eastAsia="zh-CN" w:bidi="ar"/>
                <w14:textFill>
                  <w14:solidFill>
                    <w14:schemeClr w14:val="tx1"/>
                  </w14:solidFill>
                </w14:textFill>
              </w:rPr>
              <w:t>5</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w:t>
            </w:r>
          </w:p>
          <w:p w14:paraId="65570DD5">
            <w:pPr>
              <w:keepNext w:val="0"/>
              <w:keepLines w:val="0"/>
              <w:suppressLineNumbers w:val="0"/>
              <w:tabs>
                <w:tab w:val="left" w:pos="6480"/>
              </w:tabs>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烘干能耗：E=W×能耗=</w:t>
            </w:r>
            <w:r>
              <w:rPr>
                <w:rFonts w:hint="eastAsia" w:cs="Times New Roman"/>
                <w:color w:val="000000" w:themeColor="text1"/>
                <w:kern w:val="0"/>
                <w:sz w:val="24"/>
                <w:szCs w:val="24"/>
                <w:highlight w:val="none"/>
                <w:lang w:val="en-US" w:eastAsia="zh-CN" w:bidi="ar"/>
                <w14:textFill>
                  <w14:solidFill>
                    <w14:schemeClr w14:val="tx1"/>
                  </w14:solidFill>
                </w14:textFill>
              </w:rPr>
              <w:t>5684.21</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×5400kJ/kg×10</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=30694734000 kJ/a</w:t>
            </w:r>
          </w:p>
          <w:p w14:paraId="20A0D821">
            <w:pPr>
              <w:keepNext w:val="0"/>
              <w:keepLines w:val="0"/>
              <w:suppressLineNumbers w:val="0"/>
              <w:tabs>
                <w:tab w:val="left" w:pos="6480"/>
              </w:tabs>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cs="Times New Roman"/>
                <w:color w:val="000000" w:themeColor="text1"/>
                <w:kern w:val="0"/>
                <w:sz w:val="24"/>
                <w:szCs w:val="24"/>
                <w:highlight w:val="none"/>
                <w:lang w:val="en-US" w:eastAsia="zh-CN" w:bidi="ar"/>
                <w14:textFill>
                  <w14:solidFill>
                    <w14:schemeClr w14:val="tx1"/>
                  </w14:solidFill>
                </w14:textFill>
              </w:rPr>
              <w:t>热风炉能耗：6000000 kcal/h*1440h</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*4.184kJ/kcal</w:t>
            </w:r>
            <w:r>
              <w:rPr>
                <w:rFonts w:hint="eastAsia" w:cs="Times New Roman"/>
                <w:color w:val="000000" w:themeColor="text1"/>
                <w:kern w:val="0"/>
                <w:sz w:val="24"/>
                <w:szCs w:val="24"/>
                <w:highlight w:val="none"/>
                <w:lang w:val="en-US" w:eastAsia="zh-CN" w:bidi="ar"/>
                <w14:textFill>
                  <w14:solidFill>
                    <w14:schemeClr w14:val="tx1"/>
                  </w14:solidFill>
                </w14:textFill>
              </w:rPr>
              <w:t>=36149760000</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kJ/a</w:t>
            </w:r>
          </w:p>
          <w:p w14:paraId="7A22D0A7">
            <w:pPr>
              <w:keepNext w:val="0"/>
              <w:keepLines w:val="0"/>
              <w:suppressLineNumbers w:val="0"/>
              <w:tabs>
                <w:tab w:val="left" w:pos="6480"/>
              </w:tabs>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燃料消耗量=E÷热值÷热效率=3</w:t>
            </w:r>
            <w:r>
              <w:rPr>
                <w:rFonts w:hint="eastAsia" w:cs="Times New Roman"/>
                <w:color w:val="000000" w:themeColor="text1"/>
                <w:kern w:val="0"/>
                <w:sz w:val="24"/>
                <w:szCs w:val="24"/>
                <w:highlight w:val="none"/>
                <w:lang w:val="en-US" w:eastAsia="zh-CN" w:bidi="ar"/>
                <w14:textFill>
                  <w14:solidFill>
                    <w14:schemeClr w14:val="tx1"/>
                  </w14:solidFill>
                </w14:textFill>
              </w:rPr>
              <w:t>0694734</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000 ÷1</w:t>
            </w:r>
            <w:r>
              <w:rPr>
                <w:rFonts w:hint="eastAsia" w:cs="Times New Roman"/>
                <w:color w:val="000000" w:themeColor="text1"/>
                <w:kern w:val="0"/>
                <w:sz w:val="24"/>
                <w:szCs w:val="24"/>
                <w:highlight w:val="none"/>
                <w:lang w:val="en-US" w:eastAsia="zh-CN" w:bidi="ar"/>
                <w14:textFill>
                  <w14:solidFill>
                    <w14:schemeClr w14:val="tx1"/>
                  </w14:solidFill>
                </w14:textFill>
              </w:rPr>
              <w:t>4.40</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÷8</w:t>
            </w:r>
            <w:r>
              <w:rPr>
                <w:rFonts w:hint="eastAsia" w:cs="Times New Roman"/>
                <w:color w:val="000000" w:themeColor="text1"/>
                <w:kern w:val="0"/>
                <w:sz w:val="24"/>
                <w:szCs w:val="24"/>
                <w:highlight w:val="none"/>
                <w:lang w:val="en-US" w:eastAsia="zh-CN" w:bidi="ar"/>
                <w14:textFill>
                  <w14:solidFill>
                    <w14:schemeClr w14:val="tx1"/>
                  </w14:solidFill>
                </w14:textFill>
              </w:rPr>
              <w:t>5</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%×10</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-6</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eastAsia" w:cs="Times New Roman"/>
                <w:color w:val="000000" w:themeColor="text1"/>
                <w:kern w:val="0"/>
                <w:sz w:val="24"/>
                <w:szCs w:val="24"/>
                <w:highlight w:val="none"/>
                <w:lang w:val="en-US" w:eastAsia="zh-CN" w:bidi="ar"/>
                <w14:textFill>
                  <w14:solidFill>
                    <w14:schemeClr w14:val="tx1"/>
                  </w14:solidFill>
                </w14:textFill>
              </w:rPr>
              <w:t>2507.74</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t/a</w:t>
            </w:r>
          </w:p>
          <w:p w14:paraId="5B9A1699">
            <w:pPr>
              <w:keepNext w:val="0"/>
              <w:keepLines w:val="0"/>
              <w:suppressLineNumbers w:val="0"/>
              <w:tabs>
                <w:tab w:val="left" w:pos="6480"/>
              </w:tabs>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综上，本项目生物质燃料总量为2507.74t/a</w:t>
            </w:r>
          </w:p>
          <w:p w14:paraId="3FDB5A71">
            <w:pPr>
              <w:keepNext w:val="0"/>
              <w:keepLines w:val="0"/>
              <w:suppressLineNumbers w:val="0"/>
              <w:tabs>
                <w:tab w:val="left" w:pos="6480"/>
              </w:tabs>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eastAsia" w:cs="Times New Roman"/>
                <w:b/>
                <w:bCs/>
                <w:color w:val="000000" w:themeColor="text1"/>
                <w:sz w:val="24"/>
                <w:highlight w:val="none"/>
                <w:lang w:eastAsia="zh-CN"/>
                <w14:textFill>
                  <w14:solidFill>
                    <w14:schemeClr w14:val="tx1"/>
                  </w14:solidFill>
                </w14:textFill>
              </w:rPr>
              <w:t>四</w:t>
            </w:r>
            <w:r>
              <w:rPr>
                <w:rFonts w:hint="default" w:ascii="Times New Roman" w:hAnsi="Times New Roman" w:eastAsia="宋体" w:cs="Times New Roman"/>
                <w:b/>
                <w:bCs/>
                <w:color w:val="000000" w:themeColor="text1"/>
                <w:sz w:val="24"/>
                <w:highlight w:val="none"/>
                <w14:textFill>
                  <w14:solidFill>
                    <w14:schemeClr w14:val="tx1"/>
                  </w14:solidFill>
                </w14:textFill>
              </w:rPr>
              <w:t>、产品方案</w:t>
            </w:r>
            <w:r>
              <w:rPr>
                <w:rFonts w:hint="eastAsia" w:cs="Times New Roman"/>
                <w:b/>
                <w:bCs/>
                <w:color w:val="000000" w:themeColor="text1"/>
                <w:sz w:val="24"/>
                <w:highlight w:val="none"/>
                <w:lang w:val="en-US" w:eastAsia="zh-CN"/>
                <w14:textFill>
                  <w14:solidFill>
                    <w14:schemeClr w14:val="tx1"/>
                  </w14:solidFill>
                </w14:textFill>
              </w:rPr>
              <w:t>及物料平衡</w:t>
            </w:r>
          </w:p>
          <w:p w14:paraId="114A35A4">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239" w:leftChars="114" w:right="0"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项目拟</w:t>
            </w:r>
            <w:r>
              <w:rPr>
                <w:rFonts w:hint="eastAsia" w:cs="Times New Roman"/>
                <w:color w:val="000000" w:themeColor="text1"/>
                <w:sz w:val="24"/>
                <w:highlight w:val="none"/>
                <w:lang w:val="en-US" w:eastAsia="zh-CN"/>
                <w14:textFill>
                  <w14:solidFill>
                    <w14:schemeClr w14:val="tx1"/>
                  </w14:solidFill>
                </w14:textFill>
              </w:rPr>
              <w:t>建设</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一座</w:t>
            </w:r>
            <w:r>
              <w:rPr>
                <w:rFonts w:hint="eastAsia" w:cs="Times New Roman"/>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00t/d烘干塔，配备一台</w:t>
            </w:r>
            <w:r>
              <w:rPr>
                <w:rFonts w:hint="eastAsia" w:cs="Times New Roman"/>
                <w:color w:val="000000" w:themeColor="text1"/>
                <w:sz w:val="24"/>
                <w:highlight w:val="none"/>
                <w:lang w:val="en-US" w:eastAsia="zh-CN"/>
                <w14:textFill>
                  <w14:solidFill>
                    <w14:schemeClr w14:val="tx1"/>
                  </w14:solidFill>
                </w14:textFill>
              </w:rPr>
              <w:t>600万大卡</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燃生物质热风炉，年烘干玉米</w:t>
            </w:r>
            <w:r>
              <w:rPr>
                <w:rFonts w:hint="eastAsia" w:cs="Times New Roman"/>
                <w:color w:val="000000" w:themeColor="text1"/>
                <w:sz w:val="24"/>
                <w:highlight w:val="none"/>
                <w:lang w:val="en-US" w:eastAsia="zh-CN"/>
                <w14:textFill>
                  <w14:solidFill>
                    <w14:schemeClr w14:val="tx1"/>
                  </w14:solidFill>
                </w14:textFill>
              </w:rPr>
              <w:t>36000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吨</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厂区</w:t>
            </w:r>
            <w:r>
              <w:rPr>
                <w:rFonts w:hint="default" w:ascii="Times New Roman" w:hAnsi="Times New Roman" w:eastAsia="宋体" w:cs="Times New Roman"/>
                <w:color w:val="000000" w:themeColor="text1"/>
                <w:sz w:val="24"/>
                <w:highlight w:val="none"/>
                <w14:textFill>
                  <w14:solidFill>
                    <w14:schemeClr w14:val="tx1"/>
                  </w14:solidFill>
                </w14:textFill>
              </w:rPr>
              <w:t>产品方案见表2-5。</w:t>
            </w:r>
          </w:p>
          <w:p w14:paraId="7B6040AB">
            <w:pPr>
              <w:pStyle w:val="56"/>
              <w:keepNext w:val="0"/>
              <w:keepLines w:val="0"/>
              <w:suppressLineNumbers w:val="0"/>
              <w:spacing w:before="0" w:beforeAutospacing="0" w:after="0" w:afterAutospacing="0" w:line="360" w:lineRule="auto"/>
              <w:ind w:left="0" w:right="0" w:firstLine="422"/>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表2</w:t>
            </w:r>
            <w:r>
              <w:rPr>
                <w:rFonts w:hint="eastAsia" w:cs="Times New Roman"/>
                <w:b/>
                <w:bCs/>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厂区</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产品方案一览表</w:t>
            </w:r>
          </w:p>
          <w:tbl>
            <w:tblPr>
              <w:tblStyle w:val="35"/>
              <w:tblW w:w="7937"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30" w:type="dxa"/>
                <w:bottom w:w="0" w:type="dxa"/>
                <w:right w:w="30" w:type="dxa"/>
              </w:tblCellMar>
            </w:tblPr>
            <w:tblGrid>
              <w:gridCol w:w="605"/>
              <w:gridCol w:w="1800"/>
              <w:gridCol w:w="1178"/>
              <w:gridCol w:w="1178"/>
              <w:gridCol w:w="1587"/>
              <w:gridCol w:w="1589"/>
            </w:tblGrid>
            <w:tr w14:paraId="1F9E97B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cantSplit/>
                <w:trHeight w:val="90" w:hRule="atLeast"/>
                <w:jc w:val="center"/>
              </w:trPr>
              <w:tc>
                <w:tcPr>
                  <w:tcW w:w="605" w:type="dxa"/>
                  <w:vAlign w:val="center"/>
                </w:tcPr>
                <w:p w14:paraId="46FCA76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000000" w:themeColor="text1"/>
                      <w:szCs w:val="21"/>
                      <w:highlight w:val="none"/>
                      <w14:textFill>
                        <w14:solidFill>
                          <w14:schemeClr w14:val="tx1"/>
                        </w14:solidFill>
                      </w14:textFill>
                      <w14:ligatures w14:val="none"/>
                    </w:rPr>
                  </w:pPr>
                  <w:r>
                    <w:rPr>
                      <w:rFonts w:hint="default" w:ascii="Times New Roman" w:hAnsi="Times New Roman" w:eastAsia="宋体" w:cs="Times New Roman"/>
                      <w:bCs/>
                      <w:snapToGrid w:val="0"/>
                      <w:color w:val="000000" w:themeColor="text1"/>
                      <w:szCs w:val="21"/>
                      <w:highlight w:val="none"/>
                      <w14:textFill>
                        <w14:solidFill>
                          <w14:schemeClr w14:val="tx1"/>
                        </w14:solidFill>
                      </w14:textFill>
                      <w14:ligatures w14:val="none"/>
                    </w:rPr>
                    <w:t>序号</w:t>
                  </w:r>
                </w:p>
              </w:tc>
              <w:tc>
                <w:tcPr>
                  <w:tcW w:w="1800" w:type="dxa"/>
                  <w:vAlign w:val="center"/>
                </w:tcPr>
                <w:p w14:paraId="6CBB471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napToGrid w:val="0"/>
                      <w:color w:val="000000" w:themeColor="text1"/>
                      <w:szCs w:val="21"/>
                      <w:highlight w:val="none"/>
                      <w:lang w:val="en-US" w:eastAsia="zh-CN"/>
                      <w14:textFill>
                        <w14:solidFill>
                          <w14:schemeClr w14:val="tx1"/>
                        </w14:solidFill>
                      </w14:textFill>
                      <w14:ligatures w14:val="none"/>
                    </w:rPr>
                  </w:pPr>
                  <w:r>
                    <w:rPr>
                      <w:rFonts w:hint="eastAsia" w:cs="Times New Roman"/>
                      <w:bCs/>
                      <w:snapToGrid w:val="0"/>
                      <w:color w:val="000000" w:themeColor="text1"/>
                      <w:szCs w:val="21"/>
                      <w:highlight w:val="none"/>
                      <w:lang w:val="en-US" w:eastAsia="zh-CN"/>
                      <w14:textFill>
                        <w14:solidFill>
                          <w14:schemeClr w14:val="tx1"/>
                        </w14:solidFill>
                      </w14:textFill>
                      <w14:ligatures w14:val="none"/>
                    </w:rPr>
                    <w:t>名称</w:t>
                  </w:r>
                </w:p>
              </w:tc>
              <w:tc>
                <w:tcPr>
                  <w:tcW w:w="1178" w:type="dxa"/>
                  <w:vAlign w:val="center"/>
                </w:tcPr>
                <w:p w14:paraId="04A67894">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Cs w:val="21"/>
                      <w:highlight w:val="none"/>
                      <w14:textFill>
                        <w14:solidFill>
                          <w14:schemeClr w14:val="tx1"/>
                        </w14:solidFill>
                      </w14:textFill>
                      <w14:ligatures w14:val="none"/>
                    </w:rPr>
                  </w:pPr>
                  <w:r>
                    <w:rPr>
                      <w:rFonts w:hint="default" w:ascii="Times New Roman" w:hAnsi="Times New Roman" w:eastAsia="宋体" w:cs="Times New Roman"/>
                      <w:bCs/>
                      <w:color w:val="000000" w:themeColor="text1"/>
                      <w:szCs w:val="21"/>
                      <w:highlight w:val="none"/>
                      <w14:textFill>
                        <w14:solidFill>
                          <w14:schemeClr w14:val="tx1"/>
                        </w14:solidFill>
                      </w14:textFill>
                      <w14:ligatures w14:val="none"/>
                    </w:rPr>
                    <w:t>单位</w:t>
                  </w:r>
                </w:p>
              </w:tc>
              <w:tc>
                <w:tcPr>
                  <w:tcW w:w="1178" w:type="dxa"/>
                  <w:vAlign w:val="center"/>
                </w:tcPr>
                <w:p w14:paraId="1A334DBA">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14:ligatures w14:val="none"/>
                    </w:rPr>
                  </w:pP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14:ligatures w14:val="none"/>
                    </w:rPr>
                    <w:t>现有工程</w:t>
                  </w:r>
                </w:p>
              </w:tc>
              <w:tc>
                <w:tcPr>
                  <w:tcW w:w="1587" w:type="dxa"/>
                  <w:vAlign w:val="center"/>
                </w:tcPr>
                <w:p w14:paraId="2A7ADD56">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Cs w:val="21"/>
                      <w:highlight w:val="none"/>
                      <w14:textFill>
                        <w14:solidFill>
                          <w14:schemeClr w14:val="tx1"/>
                        </w14:solidFill>
                      </w14:textFill>
                      <w14:ligatures w14:val="none"/>
                    </w:rPr>
                  </w:pP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14:ligatures w14:val="none"/>
                    </w:rPr>
                    <w:t>本工程</w:t>
                  </w:r>
                </w:p>
              </w:tc>
              <w:tc>
                <w:tcPr>
                  <w:tcW w:w="1589" w:type="dxa"/>
                  <w:vAlign w:val="center"/>
                </w:tcPr>
                <w:p w14:paraId="69A1028F">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14:ligatures w14:val="none"/>
                    </w:rPr>
                  </w:pPr>
                  <w:r>
                    <w:rPr>
                      <w:rFonts w:hint="eastAsia" w:cs="Times New Roman"/>
                      <w:bCs/>
                      <w:color w:val="000000" w:themeColor="text1"/>
                      <w:szCs w:val="21"/>
                      <w:highlight w:val="none"/>
                      <w:lang w:val="en-US" w:eastAsia="zh-CN"/>
                      <w14:textFill>
                        <w14:solidFill>
                          <w14:schemeClr w14:val="tx1"/>
                        </w14:solidFill>
                      </w14:textFill>
                      <w14:ligatures w14:val="none"/>
                    </w:rPr>
                    <w:t>变化情况</w:t>
                  </w:r>
                </w:p>
              </w:tc>
            </w:tr>
            <w:tr w14:paraId="7E8FCA1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90" w:hRule="atLeast"/>
                <w:jc w:val="center"/>
              </w:trPr>
              <w:tc>
                <w:tcPr>
                  <w:tcW w:w="605" w:type="dxa"/>
                  <w:vAlign w:val="center"/>
                </w:tcPr>
                <w:p w14:paraId="72AB8310">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bCs/>
                      <w:snapToGrid w:val="0"/>
                      <w:color w:val="000000" w:themeColor="text1"/>
                      <w:szCs w:val="21"/>
                      <w:highlight w:val="none"/>
                      <w:lang w:val="en-US" w:eastAsia="zh-CN"/>
                      <w14:textFill>
                        <w14:solidFill>
                          <w14:schemeClr w14:val="tx1"/>
                        </w14:solidFill>
                      </w14:textFill>
                      <w14:ligatures w14:val="none"/>
                    </w:rPr>
                  </w:pPr>
                  <w:r>
                    <w:rPr>
                      <w:rFonts w:hint="eastAsia" w:cs="Times New Roman"/>
                      <w:bCs/>
                      <w:snapToGrid w:val="0"/>
                      <w:color w:val="000000" w:themeColor="text1"/>
                      <w:szCs w:val="21"/>
                      <w:highlight w:val="none"/>
                      <w:lang w:val="en-US" w:eastAsia="zh-CN"/>
                      <w14:textFill>
                        <w14:solidFill>
                          <w14:schemeClr w14:val="tx1"/>
                        </w14:solidFill>
                      </w14:textFill>
                      <w14:ligatures w14:val="none"/>
                    </w:rPr>
                    <w:t>1</w:t>
                  </w:r>
                </w:p>
              </w:tc>
              <w:tc>
                <w:tcPr>
                  <w:tcW w:w="1800" w:type="dxa"/>
                  <w:vAlign w:val="center"/>
                </w:tcPr>
                <w:p w14:paraId="211D9F8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napToGrid w:val="0"/>
                      <w:color w:val="000000" w:themeColor="text1"/>
                      <w:szCs w:val="21"/>
                      <w:highlight w:val="none"/>
                      <w14:textFill>
                        <w14:solidFill>
                          <w14:schemeClr w14:val="tx1"/>
                        </w14:solidFill>
                      </w14:textFill>
                      <w14:ligatures w14:val="none"/>
                    </w:rPr>
                  </w:pPr>
                  <w:r>
                    <w:rPr>
                      <w:rFonts w:hint="eastAsia"/>
                      <w:color w:val="000000" w:themeColor="text1"/>
                      <w:sz w:val="21"/>
                      <w:szCs w:val="21"/>
                      <w:highlight w:val="none"/>
                      <w:lang w:eastAsia="zh-CN"/>
                      <w14:textFill>
                        <w14:solidFill>
                          <w14:schemeClr w14:val="tx1"/>
                        </w14:solidFill>
                      </w14:textFill>
                    </w:rPr>
                    <w:t>玉米</w:t>
                  </w:r>
                  <w:r>
                    <w:rPr>
                      <w:rFonts w:hint="default"/>
                      <w:color w:val="000000" w:themeColor="text1"/>
                      <w:sz w:val="21"/>
                      <w:szCs w:val="21"/>
                      <w:highlight w:val="none"/>
                      <w14:textFill>
                        <w14:solidFill>
                          <w14:schemeClr w14:val="tx1"/>
                        </w14:solidFill>
                      </w14:textFill>
                    </w:rPr>
                    <w:t>（烘干后含水率为14</w:t>
                  </w:r>
                  <w:r>
                    <w:rPr>
                      <w:rFonts w:hint="eastAsia"/>
                      <w:color w:val="000000" w:themeColor="text1"/>
                      <w:sz w:val="21"/>
                      <w:szCs w:val="21"/>
                      <w:highlight w:val="none"/>
                      <w:lang w:val="en-US" w:eastAsia="zh-CN"/>
                      <w14:textFill>
                        <w14:solidFill>
                          <w14:schemeClr w14:val="tx1"/>
                        </w14:solidFill>
                      </w14:textFill>
                    </w:rPr>
                    <w:t>.5</w:t>
                  </w:r>
                  <w:r>
                    <w:rPr>
                      <w:rFonts w:hint="default"/>
                      <w:color w:val="000000" w:themeColor="text1"/>
                      <w:sz w:val="21"/>
                      <w:szCs w:val="21"/>
                      <w:highlight w:val="none"/>
                      <w14:textFill>
                        <w14:solidFill>
                          <w14:schemeClr w14:val="tx1"/>
                        </w14:solidFill>
                      </w14:textFill>
                    </w:rPr>
                    <w:t>%）</w:t>
                  </w:r>
                </w:p>
              </w:tc>
              <w:tc>
                <w:tcPr>
                  <w:tcW w:w="1178" w:type="dxa"/>
                  <w:vAlign w:val="center"/>
                </w:tcPr>
                <w:p w14:paraId="0189131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color w:val="000000" w:themeColor="text1"/>
                      <w:szCs w:val="21"/>
                      <w:highlight w:val="none"/>
                      <w14:textFill>
                        <w14:solidFill>
                          <w14:schemeClr w14:val="tx1"/>
                        </w14:solidFill>
                      </w14:textFill>
                      <w14:ligatures w14:val="none"/>
                    </w:rPr>
                  </w:pPr>
                  <w:r>
                    <w:rPr>
                      <w:rFonts w:hint="default" w:ascii="Times New Roman" w:hAnsi="Times New Roman" w:eastAsia="宋体" w:cs="Times New Roman"/>
                      <w:color w:val="000000" w:themeColor="text1"/>
                      <w:szCs w:val="21"/>
                      <w:highlight w:val="none"/>
                      <w14:textFill>
                        <w14:solidFill>
                          <w14:schemeClr w14:val="tx1"/>
                        </w14:solidFill>
                      </w14:textFill>
                      <w14:ligatures w14:val="none"/>
                    </w:rPr>
                    <w:t>t/a</w:t>
                  </w:r>
                </w:p>
              </w:tc>
              <w:tc>
                <w:tcPr>
                  <w:tcW w:w="1178" w:type="dxa"/>
                  <w:vAlign w:val="center"/>
                </w:tcPr>
                <w:p w14:paraId="2C794506">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14:ligatures w14:val="none"/>
                    </w:rPr>
                  </w:pPr>
                  <w:r>
                    <w:rPr>
                      <w:rFonts w:hint="eastAsia" w:cs="Times New Roman"/>
                      <w:snapToGrid w:val="0"/>
                      <w:color w:val="000000" w:themeColor="text1"/>
                      <w:kern w:val="2"/>
                      <w:sz w:val="21"/>
                      <w:szCs w:val="21"/>
                      <w:highlight w:val="none"/>
                      <w:lang w:val="en-US" w:eastAsia="zh-CN" w:bidi="ar-SA"/>
                      <w14:textFill>
                        <w14:solidFill>
                          <w14:schemeClr w14:val="tx1"/>
                        </w14:solidFill>
                      </w14:textFill>
                    </w:rPr>
                    <w:t>8416.45</w:t>
                  </w:r>
                </w:p>
              </w:tc>
              <w:tc>
                <w:tcPr>
                  <w:tcW w:w="1587" w:type="dxa"/>
                  <w:vAlign w:val="center"/>
                </w:tcPr>
                <w:p w14:paraId="7EB7A122">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14:ligatures w14:val="none"/>
                    </w:rPr>
                  </w:pPr>
                  <w:r>
                    <w:rPr>
                      <w:rFonts w:hint="default"/>
                      <w:color w:val="000000" w:themeColor="text1"/>
                      <w:sz w:val="21"/>
                      <w:szCs w:val="21"/>
                      <w:highlight w:val="none"/>
                      <w:lang w:val="en-US" w:eastAsia="zh-CN"/>
                      <w14:textFill>
                        <w14:solidFill>
                          <w14:schemeClr w14:val="tx1"/>
                        </w14:solidFill>
                      </w14:textFill>
                    </w:rPr>
                    <w:t>30299.213</w:t>
                  </w:r>
                </w:p>
              </w:tc>
              <w:tc>
                <w:tcPr>
                  <w:tcW w:w="1589" w:type="dxa"/>
                  <w:vAlign w:val="center"/>
                </w:tcPr>
                <w:p w14:paraId="43289354">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14:ligatures w14:val="none"/>
                    </w:rPr>
                  </w:pPr>
                  <w:r>
                    <w:rPr>
                      <w:rFonts w:hint="eastAsia" w:cs="Times New Roman"/>
                      <w:bCs/>
                      <w:color w:val="000000" w:themeColor="text1"/>
                      <w:szCs w:val="21"/>
                      <w:highlight w:val="none"/>
                      <w:lang w:val="en-US" w:eastAsia="zh-CN"/>
                      <w14:textFill>
                        <w14:solidFill>
                          <w14:schemeClr w14:val="tx1"/>
                        </w14:solidFill>
                      </w14:textFill>
                      <w14:ligatures w14:val="none"/>
                    </w:rPr>
                    <w:t>+21882.763</w:t>
                  </w:r>
                </w:p>
              </w:tc>
            </w:tr>
          </w:tbl>
          <w:p w14:paraId="07C02CCB">
            <w:pPr>
              <w:keepNext w:val="0"/>
              <w:keepLines w:val="0"/>
              <w:suppressLineNumbers w:val="0"/>
              <w:adjustRightInd w:val="0"/>
              <w:snapToGrid w:val="0"/>
              <w:spacing w:before="0" w:beforeAutospacing="0" w:after="0" w:afterAutospacing="0"/>
              <w:ind w:left="0" w:right="0" w:firstLine="480"/>
              <w:jc w:val="cente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表2-</w:t>
            </w:r>
            <w:r>
              <w:rPr>
                <w:rFonts w:hint="eastAsia" w:cs="Times New Roman"/>
                <w:b/>
                <w:bCs/>
                <w:color w:val="000000" w:themeColor="text1"/>
                <w:kern w:val="0"/>
                <w:sz w:val="21"/>
                <w:szCs w:val="21"/>
                <w:highlight w:val="none"/>
                <w:lang w:val="en-US" w:eastAsia="zh-CN" w:bidi="ar-SA"/>
                <w14:textFill>
                  <w14:solidFill>
                    <w14:schemeClr w14:val="tx1"/>
                  </w14:solidFill>
                </w14:textFill>
              </w:rPr>
              <w:t>6</w:t>
            </w: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本项目物料平衡表</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05"/>
              <w:gridCol w:w="1536"/>
              <w:gridCol w:w="2577"/>
              <w:gridCol w:w="1827"/>
            </w:tblGrid>
            <w:tr w14:paraId="2C526B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 w:hRule="atLeast"/>
                <w:jc w:val="center"/>
              </w:trPr>
              <w:tc>
                <w:tcPr>
                  <w:tcW w:w="1261" w:type="pct"/>
                  <w:tcBorders>
                    <w:top w:val="single" w:color="auto" w:sz="12" w:space="0"/>
                    <w:left w:val="nil"/>
                    <w:bottom w:val="single" w:color="auto" w:sz="4" w:space="0"/>
                    <w:right w:val="single" w:color="auto" w:sz="4" w:space="0"/>
                  </w:tcBorders>
                  <w:vAlign w:val="center"/>
                </w:tcPr>
                <w:p w14:paraId="728322B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原料</w:t>
                  </w:r>
                </w:p>
              </w:tc>
              <w:tc>
                <w:tcPr>
                  <w:tcW w:w="966" w:type="pct"/>
                  <w:tcBorders>
                    <w:top w:val="single" w:color="auto" w:sz="12" w:space="0"/>
                    <w:left w:val="single" w:color="auto" w:sz="4" w:space="0"/>
                    <w:bottom w:val="single" w:color="auto" w:sz="4" w:space="0"/>
                    <w:right w:val="single" w:color="auto" w:sz="4" w:space="0"/>
                  </w:tcBorders>
                  <w:vAlign w:val="center"/>
                </w:tcPr>
                <w:p w14:paraId="2BD79E7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进料量（t/a）</w:t>
                  </w:r>
                </w:p>
              </w:tc>
              <w:tc>
                <w:tcPr>
                  <w:tcW w:w="1621" w:type="pct"/>
                  <w:tcBorders>
                    <w:top w:val="single" w:color="auto" w:sz="12" w:space="0"/>
                    <w:left w:val="single" w:color="auto" w:sz="4" w:space="0"/>
                    <w:bottom w:val="single" w:color="auto" w:sz="4" w:space="0"/>
                    <w:right w:val="single" w:color="auto" w:sz="4" w:space="0"/>
                  </w:tcBorders>
                  <w:vAlign w:val="center"/>
                </w:tcPr>
                <w:p w14:paraId="09E65ED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产生</w:t>
                  </w:r>
                </w:p>
              </w:tc>
              <w:tc>
                <w:tcPr>
                  <w:tcW w:w="1149" w:type="pct"/>
                  <w:tcBorders>
                    <w:top w:val="single" w:color="auto" w:sz="12" w:space="0"/>
                    <w:left w:val="single" w:color="auto" w:sz="4" w:space="0"/>
                    <w:bottom w:val="single" w:color="auto" w:sz="4" w:space="0"/>
                    <w:right w:val="nil"/>
                  </w:tcBorders>
                  <w:vAlign w:val="center"/>
                </w:tcPr>
                <w:p w14:paraId="65D15FB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产生量（t/a）</w:t>
                  </w:r>
                </w:p>
              </w:tc>
            </w:tr>
            <w:tr w14:paraId="342D70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 w:hRule="atLeast"/>
                <w:jc w:val="center"/>
              </w:trPr>
              <w:tc>
                <w:tcPr>
                  <w:tcW w:w="1261" w:type="pct"/>
                  <w:tcBorders>
                    <w:top w:val="single" w:color="auto" w:sz="4" w:space="0"/>
                    <w:left w:val="nil"/>
                    <w:bottom w:val="single" w:color="auto" w:sz="4" w:space="0"/>
                    <w:right w:val="single" w:color="auto" w:sz="4" w:space="0"/>
                  </w:tcBorders>
                  <w:vAlign w:val="center"/>
                </w:tcPr>
                <w:p w14:paraId="27A48004">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玉米</w:t>
                  </w:r>
                  <w:r>
                    <w:rPr>
                      <w:rFonts w:hint="default" w:ascii="Times New Roman" w:hAnsi="Times New Roman" w:eastAsia="宋体" w:cs="Times New Roman"/>
                      <w:color w:val="000000" w:themeColor="text1"/>
                      <w:szCs w:val="21"/>
                      <w:highlight w:val="none"/>
                      <w:lang w:val="fr-FR"/>
                      <w14:textFill>
                        <w14:solidFill>
                          <w14:schemeClr w14:val="tx1"/>
                        </w14:solidFill>
                      </w14:textFill>
                    </w:rPr>
                    <w:t>（</w:t>
                  </w:r>
                  <w:r>
                    <w:rPr>
                      <w:rFonts w:hint="default" w:ascii="Times New Roman" w:hAnsi="Times New Roman" w:eastAsia="宋体" w:cs="Times New Roman"/>
                      <w:color w:val="000000" w:themeColor="text1"/>
                      <w:szCs w:val="21"/>
                      <w:highlight w:val="none"/>
                      <w14:textFill>
                        <w14:solidFill>
                          <w14:schemeClr w14:val="tx1"/>
                        </w14:solidFill>
                      </w14:textFill>
                    </w:rPr>
                    <w:t>含水率</w:t>
                  </w:r>
                  <w:r>
                    <w:rPr>
                      <w:rFonts w:hint="eastAsia" w:cs="Times New Roman"/>
                      <w:color w:val="000000" w:themeColor="text1"/>
                      <w:szCs w:val="21"/>
                      <w:highlight w:val="none"/>
                      <w:lang w:val="en-US" w:eastAsia="zh-CN"/>
                      <w14:textFill>
                        <w14:solidFill>
                          <w14:schemeClr w14:val="tx1"/>
                        </w14:solidFill>
                      </w14:textFill>
                    </w:rPr>
                    <w:t>28</w:t>
                  </w:r>
                  <w:r>
                    <w:rPr>
                      <w:rFonts w:hint="default" w:ascii="Times New Roman" w:hAnsi="Times New Roman" w:eastAsia="宋体" w:cs="Times New Roman"/>
                      <w:color w:val="000000" w:themeColor="text1"/>
                      <w:szCs w:val="21"/>
                      <w:highlight w:val="none"/>
                      <w14:textFill>
                        <w14:solidFill>
                          <w14:schemeClr w14:val="tx1"/>
                        </w14:solidFill>
                      </w14:textFill>
                    </w:rPr>
                    <w:t>%</w:t>
                  </w:r>
                  <w:r>
                    <w:rPr>
                      <w:rFonts w:hint="default" w:ascii="Times New Roman" w:hAnsi="Times New Roman" w:eastAsia="宋体" w:cs="Times New Roman"/>
                      <w:color w:val="000000" w:themeColor="text1"/>
                      <w:szCs w:val="21"/>
                      <w:highlight w:val="none"/>
                      <w:lang w:val="fr-FR"/>
                      <w14:textFill>
                        <w14:solidFill>
                          <w14:schemeClr w14:val="tx1"/>
                        </w14:solidFill>
                      </w14:textFill>
                    </w:rPr>
                    <w:t>）</w:t>
                  </w:r>
                </w:p>
              </w:tc>
              <w:tc>
                <w:tcPr>
                  <w:tcW w:w="966" w:type="pct"/>
                  <w:tcBorders>
                    <w:top w:val="single" w:color="auto" w:sz="4" w:space="0"/>
                    <w:left w:val="single" w:color="auto" w:sz="4" w:space="0"/>
                    <w:bottom w:val="single" w:color="auto" w:sz="4" w:space="0"/>
                    <w:right w:val="single" w:color="auto" w:sz="4" w:space="0"/>
                  </w:tcBorders>
                  <w:vAlign w:val="center"/>
                </w:tcPr>
                <w:p w14:paraId="12B8BF0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360</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00</w:t>
                  </w:r>
                </w:p>
              </w:tc>
              <w:tc>
                <w:tcPr>
                  <w:tcW w:w="1621" w:type="pct"/>
                  <w:tcBorders>
                    <w:top w:val="single" w:color="auto" w:sz="4" w:space="0"/>
                    <w:left w:val="single" w:color="auto" w:sz="4" w:space="0"/>
                    <w:bottom w:val="single" w:color="auto" w:sz="4" w:space="0"/>
                    <w:right w:val="single" w:color="auto" w:sz="4" w:space="0"/>
                  </w:tcBorders>
                  <w:vAlign w:val="center"/>
                </w:tcPr>
                <w:p w14:paraId="57637B1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干玉米</w:t>
                  </w:r>
                </w:p>
              </w:tc>
              <w:tc>
                <w:tcPr>
                  <w:tcW w:w="1149" w:type="pct"/>
                  <w:tcBorders>
                    <w:top w:val="single" w:color="auto" w:sz="4" w:space="0"/>
                    <w:left w:val="single" w:color="auto" w:sz="4" w:space="0"/>
                    <w:bottom w:val="single" w:color="auto" w:sz="4" w:space="0"/>
                    <w:right w:val="nil"/>
                  </w:tcBorders>
                  <w:vAlign w:val="center"/>
                </w:tcPr>
                <w:p w14:paraId="3DC11AC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30299.213</w:t>
                  </w:r>
                </w:p>
              </w:tc>
            </w:tr>
            <w:tr w14:paraId="4A2B92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 w:hRule="atLeast"/>
                <w:jc w:val="center"/>
              </w:trPr>
              <w:tc>
                <w:tcPr>
                  <w:tcW w:w="1261" w:type="pct"/>
                  <w:tcBorders>
                    <w:top w:val="single" w:color="auto" w:sz="4" w:space="0"/>
                    <w:left w:val="nil"/>
                    <w:bottom w:val="single" w:color="auto" w:sz="4" w:space="0"/>
                    <w:right w:val="single" w:color="auto" w:sz="4" w:space="0"/>
                  </w:tcBorders>
                  <w:vAlign w:val="center"/>
                </w:tcPr>
                <w:p w14:paraId="4E46A1A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w:t>
                  </w:r>
                </w:p>
              </w:tc>
              <w:tc>
                <w:tcPr>
                  <w:tcW w:w="966" w:type="pct"/>
                  <w:tcBorders>
                    <w:top w:val="single" w:color="auto" w:sz="4" w:space="0"/>
                    <w:left w:val="single" w:color="auto" w:sz="4" w:space="0"/>
                    <w:bottom w:val="single" w:color="auto" w:sz="4" w:space="0"/>
                    <w:right w:val="single" w:color="auto" w:sz="4" w:space="0"/>
                  </w:tcBorders>
                  <w:vAlign w:val="center"/>
                </w:tcPr>
                <w:p w14:paraId="06B3B93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w:t>
                  </w:r>
                </w:p>
              </w:tc>
              <w:tc>
                <w:tcPr>
                  <w:tcW w:w="1621" w:type="pct"/>
                  <w:tcBorders>
                    <w:top w:val="single" w:color="auto" w:sz="4" w:space="0"/>
                    <w:left w:val="single" w:color="auto" w:sz="4" w:space="0"/>
                    <w:bottom w:val="single" w:color="auto" w:sz="4" w:space="0"/>
                    <w:right w:val="single" w:color="auto" w:sz="4" w:space="0"/>
                  </w:tcBorders>
                  <w:vAlign w:val="center"/>
                </w:tcPr>
                <w:p w14:paraId="37D4518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蒸发水量</w:t>
                  </w:r>
                </w:p>
              </w:tc>
              <w:tc>
                <w:tcPr>
                  <w:tcW w:w="1149" w:type="pct"/>
                  <w:tcBorders>
                    <w:top w:val="single" w:color="auto" w:sz="4" w:space="0"/>
                    <w:left w:val="single" w:color="auto" w:sz="4" w:space="0"/>
                    <w:bottom w:val="single" w:color="auto" w:sz="4" w:space="0"/>
                    <w:right w:val="nil"/>
                  </w:tcBorders>
                  <w:vAlign w:val="center"/>
                </w:tcPr>
                <w:p w14:paraId="6747D7B8">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5684.21</w:t>
                  </w:r>
                </w:p>
              </w:tc>
            </w:tr>
            <w:tr w14:paraId="60C4B8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85" w:hRule="atLeast"/>
                <w:jc w:val="center"/>
              </w:trPr>
              <w:tc>
                <w:tcPr>
                  <w:tcW w:w="1261" w:type="pct"/>
                  <w:tcBorders>
                    <w:top w:val="single" w:color="auto" w:sz="4" w:space="0"/>
                    <w:left w:val="nil"/>
                    <w:bottom w:val="single" w:color="auto" w:sz="4" w:space="0"/>
                    <w:right w:val="single" w:color="auto" w:sz="4" w:space="0"/>
                  </w:tcBorders>
                </w:tcPr>
                <w:p w14:paraId="049F03A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w:t>
                  </w:r>
                </w:p>
              </w:tc>
              <w:tc>
                <w:tcPr>
                  <w:tcW w:w="966" w:type="pct"/>
                  <w:tcBorders>
                    <w:top w:val="single" w:color="auto" w:sz="4" w:space="0"/>
                    <w:left w:val="single" w:color="auto" w:sz="4" w:space="0"/>
                    <w:bottom w:val="single" w:color="auto" w:sz="4" w:space="0"/>
                    <w:right w:val="single" w:color="auto" w:sz="4" w:space="0"/>
                  </w:tcBorders>
                </w:tcPr>
                <w:p w14:paraId="635AD88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w:t>
                  </w:r>
                </w:p>
              </w:tc>
              <w:tc>
                <w:tcPr>
                  <w:tcW w:w="1621" w:type="pct"/>
                  <w:tcBorders>
                    <w:top w:val="single" w:color="auto" w:sz="4" w:space="0"/>
                    <w:left w:val="single" w:color="auto" w:sz="4" w:space="0"/>
                    <w:bottom w:val="single" w:color="auto" w:sz="4" w:space="0"/>
                    <w:right w:val="single" w:color="auto" w:sz="4" w:space="0"/>
                  </w:tcBorders>
                  <w:vAlign w:val="center"/>
                </w:tcPr>
                <w:p w14:paraId="2F31B73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杂质</w:t>
                  </w:r>
                </w:p>
              </w:tc>
              <w:tc>
                <w:tcPr>
                  <w:tcW w:w="1149" w:type="pct"/>
                  <w:tcBorders>
                    <w:top w:val="single" w:color="auto" w:sz="4" w:space="0"/>
                    <w:left w:val="single" w:color="auto" w:sz="4" w:space="0"/>
                    <w:bottom w:val="single" w:color="auto" w:sz="4" w:space="0"/>
                    <w:right w:val="nil"/>
                  </w:tcBorders>
                  <w:vAlign w:val="center"/>
                </w:tcPr>
                <w:p w14:paraId="214EA2B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3.6</w:t>
                  </w:r>
                </w:p>
              </w:tc>
            </w:tr>
            <w:tr w14:paraId="5015FF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4" w:hRule="atLeast"/>
                <w:jc w:val="center"/>
              </w:trPr>
              <w:tc>
                <w:tcPr>
                  <w:tcW w:w="1261" w:type="pct"/>
                  <w:tcBorders>
                    <w:top w:val="single" w:color="auto" w:sz="4" w:space="0"/>
                    <w:left w:val="nil"/>
                    <w:bottom w:val="single" w:color="auto" w:sz="4" w:space="0"/>
                    <w:right w:val="single" w:color="auto" w:sz="4" w:space="0"/>
                  </w:tcBorders>
                  <w:vAlign w:val="center"/>
                </w:tcPr>
                <w:p w14:paraId="75E88E9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w:t>
                  </w:r>
                </w:p>
              </w:tc>
              <w:tc>
                <w:tcPr>
                  <w:tcW w:w="966" w:type="pct"/>
                  <w:tcBorders>
                    <w:top w:val="single" w:color="auto" w:sz="4" w:space="0"/>
                    <w:left w:val="single" w:color="auto" w:sz="4" w:space="0"/>
                    <w:bottom w:val="single" w:color="auto" w:sz="4" w:space="0"/>
                    <w:right w:val="single" w:color="auto" w:sz="4" w:space="0"/>
                  </w:tcBorders>
                  <w:vAlign w:val="center"/>
                </w:tcPr>
                <w:p w14:paraId="75B294A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w:t>
                  </w:r>
                </w:p>
              </w:tc>
              <w:tc>
                <w:tcPr>
                  <w:tcW w:w="1621" w:type="pct"/>
                  <w:tcBorders>
                    <w:top w:val="single" w:color="auto" w:sz="4" w:space="0"/>
                    <w:left w:val="single" w:color="auto" w:sz="4" w:space="0"/>
                    <w:bottom w:val="single" w:color="auto" w:sz="4" w:space="0"/>
                    <w:right w:val="single" w:color="auto" w:sz="4" w:space="0"/>
                  </w:tcBorders>
                  <w:vAlign w:val="center"/>
                </w:tcPr>
                <w:p w14:paraId="5EFF045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卸粮粉尘</w:t>
                  </w:r>
                </w:p>
              </w:tc>
              <w:tc>
                <w:tcPr>
                  <w:tcW w:w="1149" w:type="pct"/>
                  <w:tcBorders>
                    <w:top w:val="single" w:color="auto" w:sz="4" w:space="0"/>
                    <w:left w:val="single" w:color="auto" w:sz="4" w:space="0"/>
                    <w:bottom w:val="single" w:color="auto" w:sz="4" w:space="0"/>
                    <w:right w:val="nil"/>
                  </w:tcBorders>
                  <w:vAlign w:val="center"/>
                </w:tcPr>
                <w:p w14:paraId="785781A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5.76</w:t>
                  </w:r>
                </w:p>
              </w:tc>
            </w:tr>
            <w:tr w14:paraId="21AF5B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4" w:hRule="atLeast"/>
                <w:jc w:val="center"/>
              </w:trPr>
              <w:tc>
                <w:tcPr>
                  <w:tcW w:w="1261" w:type="pct"/>
                  <w:tcBorders>
                    <w:top w:val="single" w:color="auto" w:sz="4" w:space="0"/>
                    <w:left w:val="nil"/>
                    <w:bottom w:val="single" w:color="auto" w:sz="4" w:space="0"/>
                    <w:right w:val="single" w:color="auto" w:sz="4" w:space="0"/>
                  </w:tcBorders>
                  <w:vAlign w:val="center"/>
                </w:tcPr>
                <w:p w14:paraId="7732D5C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w:t>
                  </w:r>
                </w:p>
              </w:tc>
              <w:tc>
                <w:tcPr>
                  <w:tcW w:w="966" w:type="pct"/>
                  <w:tcBorders>
                    <w:top w:val="single" w:color="auto" w:sz="4" w:space="0"/>
                    <w:left w:val="single" w:color="auto" w:sz="4" w:space="0"/>
                    <w:bottom w:val="single" w:color="auto" w:sz="4" w:space="0"/>
                    <w:right w:val="single" w:color="auto" w:sz="4" w:space="0"/>
                  </w:tcBorders>
                  <w:vAlign w:val="center"/>
                </w:tcPr>
                <w:p w14:paraId="79B687D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w:t>
                  </w:r>
                </w:p>
              </w:tc>
              <w:tc>
                <w:tcPr>
                  <w:tcW w:w="1621" w:type="pct"/>
                  <w:tcBorders>
                    <w:top w:val="single" w:color="auto" w:sz="4" w:space="0"/>
                    <w:left w:val="single" w:color="auto" w:sz="4" w:space="0"/>
                    <w:bottom w:val="single" w:color="auto" w:sz="4" w:space="0"/>
                    <w:right w:val="single" w:color="auto" w:sz="4" w:space="0"/>
                  </w:tcBorders>
                  <w:vAlign w:val="center"/>
                </w:tcPr>
                <w:p w14:paraId="64502B94">
                  <w:pPr>
                    <w:keepNext w:val="0"/>
                    <w:keepLines w:val="0"/>
                    <w:suppressLineNumbers w:val="0"/>
                    <w:spacing w:before="0" w:beforeAutospacing="0" w:after="0" w:afterAutospacing="0"/>
                    <w:ind w:left="0" w:leftChars="0" w:right="0" w:rightChars="0"/>
                    <w:jc w:val="center"/>
                    <w:rPr>
                      <w:rFonts w:hint="eastAsia"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筛分粉尘</w:t>
                  </w:r>
                </w:p>
              </w:tc>
              <w:tc>
                <w:tcPr>
                  <w:tcW w:w="1149" w:type="pct"/>
                  <w:tcBorders>
                    <w:top w:val="single" w:color="auto" w:sz="4" w:space="0"/>
                    <w:left w:val="single" w:color="auto" w:sz="4" w:space="0"/>
                    <w:bottom w:val="single" w:color="auto" w:sz="4" w:space="0"/>
                    <w:right w:val="nil"/>
                  </w:tcBorders>
                  <w:vAlign w:val="center"/>
                </w:tcPr>
                <w:p w14:paraId="0671E6AA">
                  <w:pPr>
                    <w:keepNext w:val="0"/>
                    <w:keepLines w:val="0"/>
                    <w:suppressLineNumbers w:val="0"/>
                    <w:spacing w:before="0" w:beforeAutospacing="0" w:after="0" w:afterAutospacing="0"/>
                    <w:ind w:left="0" w:right="0"/>
                    <w:jc w:val="center"/>
                    <w:rPr>
                      <w:rFonts w:hint="default"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3.6</w:t>
                  </w:r>
                </w:p>
              </w:tc>
            </w:tr>
            <w:tr w14:paraId="189D2E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4" w:hRule="atLeast"/>
                <w:jc w:val="center"/>
              </w:trPr>
              <w:tc>
                <w:tcPr>
                  <w:tcW w:w="1261" w:type="pct"/>
                  <w:tcBorders>
                    <w:top w:val="single" w:color="auto" w:sz="4" w:space="0"/>
                    <w:left w:val="nil"/>
                    <w:bottom w:val="single" w:color="auto" w:sz="4" w:space="0"/>
                    <w:right w:val="single" w:color="auto" w:sz="4" w:space="0"/>
                  </w:tcBorders>
                  <w:vAlign w:val="center"/>
                </w:tcPr>
                <w:p w14:paraId="528FEA4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w:t>
                  </w:r>
                </w:p>
              </w:tc>
              <w:tc>
                <w:tcPr>
                  <w:tcW w:w="966" w:type="pct"/>
                  <w:tcBorders>
                    <w:top w:val="single" w:color="auto" w:sz="4" w:space="0"/>
                    <w:left w:val="single" w:color="auto" w:sz="4" w:space="0"/>
                    <w:bottom w:val="single" w:color="auto" w:sz="4" w:space="0"/>
                    <w:right w:val="single" w:color="auto" w:sz="4" w:space="0"/>
                  </w:tcBorders>
                  <w:vAlign w:val="center"/>
                </w:tcPr>
                <w:p w14:paraId="6F814D6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w:t>
                  </w:r>
                </w:p>
              </w:tc>
              <w:tc>
                <w:tcPr>
                  <w:tcW w:w="1621" w:type="pct"/>
                  <w:tcBorders>
                    <w:top w:val="single" w:color="auto" w:sz="4" w:space="0"/>
                    <w:left w:val="single" w:color="auto" w:sz="4" w:space="0"/>
                    <w:bottom w:val="single" w:color="auto" w:sz="4" w:space="0"/>
                    <w:right w:val="single" w:color="auto" w:sz="4" w:space="0"/>
                  </w:tcBorders>
                  <w:vAlign w:val="center"/>
                </w:tcPr>
                <w:p w14:paraId="751C2CC9">
                  <w:pPr>
                    <w:keepNext w:val="0"/>
                    <w:keepLines w:val="0"/>
                    <w:suppressLineNumbers w:val="0"/>
                    <w:spacing w:before="0" w:beforeAutospacing="0" w:after="0" w:afterAutospacing="0"/>
                    <w:ind w:left="0" w:leftChars="0" w:right="0" w:rightChars="0"/>
                    <w:jc w:val="center"/>
                    <w:rPr>
                      <w:rFonts w:hint="eastAsia"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烘干粉尘</w:t>
                  </w:r>
                </w:p>
              </w:tc>
              <w:tc>
                <w:tcPr>
                  <w:tcW w:w="1149" w:type="pct"/>
                  <w:tcBorders>
                    <w:top w:val="single" w:color="auto" w:sz="4" w:space="0"/>
                    <w:left w:val="single" w:color="auto" w:sz="4" w:space="0"/>
                    <w:bottom w:val="single" w:color="auto" w:sz="4" w:space="0"/>
                    <w:right w:val="nil"/>
                  </w:tcBorders>
                  <w:vAlign w:val="center"/>
                </w:tcPr>
                <w:p w14:paraId="25386703">
                  <w:pPr>
                    <w:keepNext w:val="0"/>
                    <w:keepLines w:val="0"/>
                    <w:suppressLineNumbers w:val="0"/>
                    <w:spacing w:before="0" w:beforeAutospacing="0" w:after="0" w:afterAutospacing="0"/>
                    <w:ind w:left="0" w:right="0"/>
                    <w:jc w:val="center"/>
                    <w:rPr>
                      <w:rFonts w:hint="default"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3.6</w:t>
                  </w:r>
                </w:p>
              </w:tc>
            </w:tr>
            <w:tr w14:paraId="10F0F8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4" w:hRule="atLeast"/>
                <w:jc w:val="center"/>
              </w:trPr>
              <w:tc>
                <w:tcPr>
                  <w:tcW w:w="1261" w:type="pct"/>
                  <w:tcBorders>
                    <w:top w:val="single" w:color="auto" w:sz="4" w:space="0"/>
                    <w:left w:val="nil"/>
                    <w:bottom w:val="single" w:color="auto" w:sz="4" w:space="0"/>
                    <w:right w:val="single" w:color="auto" w:sz="4" w:space="0"/>
                  </w:tcBorders>
                  <w:vAlign w:val="center"/>
                </w:tcPr>
                <w:p w14:paraId="1B1E77C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966" w:type="pct"/>
                  <w:tcBorders>
                    <w:top w:val="single" w:color="auto" w:sz="4" w:space="0"/>
                    <w:left w:val="single" w:color="auto" w:sz="4" w:space="0"/>
                    <w:bottom w:val="single" w:color="auto" w:sz="4" w:space="0"/>
                    <w:right w:val="single" w:color="auto" w:sz="4" w:space="0"/>
                  </w:tcBorders>
                  <w:vAlign w:val="center"/>
                </w:tcPr>
                <w:p w14:paraId="1EB41D3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621" w:type="pct"/>
                  <w:tcBorders>
                    <w:top w:val="single" w:color="auto" w:sz="4" w:space="0"/>
                    <w:left w:val="single" w:color="auto" w:sz="4" w:space="0"/>
                    <w:bottom w:val="single" w:color="auto" w:sz="4" w:space="0"/>
                    <w:right w:val="single" w:color="auto" w:sz="4" w:space="0"/>
                  </w:tcBorders>
                  <w:vAlign w:val="center"/>
                </w:tcPr>
                <w:p w14:paraId="3E2136E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晾晒场粉尘</w:t>
                  </w:r>
                </w:p>
              </w:tc>
              <w:tc>
                <w:tcPr>
                  <w:tcW w:w="1149" w:type="pct"/>
                  <w:tcBorders>
                    <w:top w:val="single" w:color="auto" w:sz="4" w:space="0"/>
                    <w:left w:val="single" w:color="auto" w:sz="4" w:space="0"/>
                    <w:bottom w:val="single" w:color="auto" w:sz="4" w:space="0"/>
                    <w:right w:val="nil"/>
                  </w:tcBorders>
                  <w:vAlign w:val="center"/>
                </w:tcPr>
                <w:p w14:paraId="135D7085">
                  <w:pPr>
                    <w:keepNext w:val="0"/>
                    <w:keepLines w:val="0"/>
                    <w:suppressLineNumbers w:val="0"/>
                    <w:spacing w:before="0" w:beforeAutospacing="0" w:after="0" w:afterAutospacing="0"/>
                    <w:ind w:left="0" w:right="0"/>
                    <w:jc w:val="center"/>
                    <w:rPr>
                      <w:rFonts w:hint="default"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0.017</w:t>
                  </w:r>
                </w:p>
              </w:tc>
            </w:tr>
            <w:tr w14:paraId="42CBBA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4" w:hRule="atLeast"/>
                <w:jc w:val="center"/>
              </w:trPr>
              <w:tc>
                <w:tcPr>
                  <w:tcW w:w="1261" w:type="pct"/>
                  <w:tcBorders>
                    <w:top w:val="single" w:color="auto" w:sz="4" w:space="0"/>
                    <w:left w:val="nil"/>
                    <w:bottom w:val="single" w:color="auto" w:sz="12" w:space="0"/>
                    <w:right w:val="single" w:color="auto" w:sz="4" w:space="0"/>
                  </w:tcBorders>
                  <w:vAlign w:val="center"/>
                </w:tcPr>
                <w:p w14:paraId="681B17E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总计</w:t>
                  </w:r>
                </w:p>
              </w:tc>
              <w:tc>
                <w:tcPr>
                  <w:tcW w:w="966" w:type="pct"/>
                  <w:tcBorders>
                    <w:top w:val="single" w:color="auto" w:sz="4" w:space="0"/>
                    <w:left w:val="single" w:color="auto" w:sz="4" w:space="0"/>
                    <w:bottom w:val="single" w:color="auto" w:sz="12" w:space="0"/>
                    <w:right w:val="single" w:color="auto" w:sz="4" w:space="0"/>
                  </w:tcBorders>
                  <w:vAlign w:val="center"/>
                </w:tcPr>
                <w:p w14:paraId="7271C58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36</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000</w:t>
                  </w:r>
                </w:p>
              </w:tc>
              <w:tc>
                <w:tcPr>
                  <w:tcW w:w="1621" w:type="pct"/>
                  <w:tcBorders>
                    <w:top w:val="single" w:color="auto" w:sz="4" w:space="0"/>
                    <w:left w:val="single" w:color="auto" w:sz="4" w:space="0"/>
                    <w:bottom w:val="single" w:color="auto" w:sz="12" w:space="0"/>
                    <w:right w:val="single" w:color="auto" w:sz="4" w:space="0"/>
                  </w:tcBorders>
                  <w:vAlign w:val="center"/>
                </w:tcPr>
                <w:p w14:paraId="11B38B2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总计</w:t>
                  </w:r>
                </w:p>
              </w:tc>
              <w:tc>
                <w:tcPr>
                  <w:tcW w:w="1149" w:type="pct"/>
                  <w:tcBorders>
                    <w:top w:val="single" w:color="auto" w:sz="4" w:space="0"/>
                    <w:left w:val="single" w:color="auto" w:sz="4" w:space="0"/>
                    <w:bottom w:val="single" w:color="auto" w:sz="12" w:space="0"/>
                    <w:right w:val="nil"/>
                  </w:tcBorders>
                  <w:vAlign w:val="center"/>
                </w:tcPr>
                <w:p w14:paraId="2FED6F1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36</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000</w:t>
                  </w:r>
                </w:p>
              </w:tc>
            </w:tr>
          </w:tbl>
          <w:p w14:paraId="48A877BB">
            <w:pPr>
              <w:pStyle w:val="56"/>
              <w:keepNext w:val="0"/>
              <w:keepLines w:val="0"/>
              <w:suppressLineNumbers w:val="0"/>
              <w:spacing w:before="0" w:beforeAutospacing="0" w:after="0" w:afterAutospacing="0" w:line="360" w:lineRule="auto"/>
              <w:ind w:left="0" w:right="0" w:firstLine="482"/>
              <w:rPr>
                <w:rFonts w:hint="default" w:ascii="Times New Roman" w:hAnsi="Times New Roman" w:eastAsia="宋体" w:cs="Times New Roman"/>
                <w:b/>
                <w:bCs/>
                <w:color w:val="000000" w:themeColor="text1"/>
                <w:kern w:val="2"/>
                <w:szCs w:val="24"/>
                <w:highlight w:val="none"/>
                <w14:textFill>
                  <w14:solidFill>
                    <w14:schemeClr w14:val="tx1"/>
                  </w14:solidFill>
                </w14:textFill>
              </w:rPr>
            </w:pPr>
            <w:r>
              <w:rPr>
                <w:rFonts w:hint="eastAsia" w:cs="Times New Roman"/>
                <w:b/>
                <w:bCs/>
                <w:color w:val="000000" w:themeColor="text1"/>
                <w:kern w:val="2"/>
                <w:szCs w:val="24"/>
                <w:highlight w:val="none"/>
                <w:lang w:val="en-US" w:eastAsia="zh-CN"/>
                <w14:textFill>
                  <w14:solidFill>
                    <w14:schemeClr w14:val="tx1"/>
                  </w14:solidFill>
                </w14:textFill>
              </w:rPr>
              <w:t>五</w:t>
            </w:r>
            <w:r>
              <w:rPr>
                <w:rFonts w:hint="default" w:ascii="Times New Roman" w:hAnsi="Times New Roman" w:eastAsia="宋体" w:cs="Times New Roman"/>
                <w:b/>
                <w:bCs/>
                <w:color w:val="000000" w:themeColor="text1"/>
                <w:kern w:val="2"/>
                <w:szCs w:val="24"/>
                <w:highlight w:val="none"/>
                <w14:textFill>
                  <w14:solidFill>
                    <w14:schemeClr w14:val="tx1"/>
                  </w14:solidFill>
                </w14:textFill>
              </w:rPr>
              <w:t>、员工及工作制度</w:t>
            </w:r>
          </w:p>
          <w:p w14:paraId="498DCB3E">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highlight w:val="none"/>
                <w:lang w:val="en-US"/>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本项目劳动定员</w:t>
            </w:r>
            <w:r>
              <w:rPr>
                <w:rFonts w:hint="eastAsia" w:cs="Times New Roman"/>
                <w:color w:val="000000" w:themeColor="text1"/>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highlight w:val="none"/>
                <w14:textFill>
                  <w14:solidFill>
                    <w14:schemeClr w14:val="tx1"/>
                  </w14:solidFill>
                </w14:textFill>
              </w:rPr>
              <w:t>人，无新增定员，生产期间实行</w:t>
            </w:r>
            <w:r>
              <w:rPr>
                <w:rFonts w:hint="default" w:ascii="Times New Roman" w:hAnsi="Times New Roman" w:eastAsia="宋体" w:cs="Times New Roman"/>
                <w:color w:val="000000" w:themeColor="text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highlight w:val="none"/>
                <w14:textFill>
                  <w14:solidFill>
                    <w14:schemeClr w14:val="tx1"/>
                  </w14:solidFill>
                </w14:textFill>
              </w:rPr>
              <w:t>班制，每班</w:t>
            </w:r>
            <w:r>
              <w:rPr>
                <w:rFonts w:hint="default" w:ascii="Times New Roman" w:hAnsi="Times New Roman" w:eastAsia="宋体" w:cs="Times New Roman"/>
                <w:color w:val="000000" w:themeColor="text1"/>
                <w:highlight w:val="none"/>
                <w:lang w:val="en-US" w:eastAsia="zh-CN"/>
                <w14:textFill>
                  <w14:solidFill>
                    <w14:schemeClr w14:val="tx1"/>
                  </w14:solidFill>
                </w14:textFill>
              </w:rPr>
              <w:t>12</w:t>
            </w:r>
            <w:r>
              <w:rPr>
                <w:rFonts w:hint="default" w:ascii="Times New Roman" w:hAnsi="Times New Roman" w:eastAsia="宋体" w:cs="Times New Roman"/>
                <w:color w:val="000000" w:themeColor="text1"/>
                <w:highlight w:val="none"/>
                <w14:textFill>
                  <w14:solidFill>
                    <w14:schemeClr w14:val="tx1"/>
                  </w14:solidFill>
                </w14:textFill>
              </w:rPr>
              <w:t>小时，年工作</w:t>
            </w:r>
            <w:r>
              <w:rPr>
                <w:rFonts w:hint="eastAsia" w:cs="Times New Roman"/>
                <w:color w:val="000000" w:themeColor="text1"/>
                <w:highlight w:val="none"/>
                <w:lang w:val="en-US" w:eastAsia="zh-CN"/>
                <w14:textFill>
                  <w14:solidFill>
                    <w14:schemeClr w14:val="tx1"/>
                  </w14:solidFill>
                </w14:textFill>
              </w:rPr>
              <w:t>60</w:t>
            </w:r>
            <w:r>
              <w:rPr>
                <w:rFonts w:hint="default" w:ascii="Times New Roman" w:hAnsi="Times New Roman" w:eastAsia="宋体" w:cs="Times New Roman"/>
                <w:color w:val="000000" w:themeColor="text1"/>
                <w:highlight w:val="none"/>
                <w14:textFill>
                  <w14:solidFill>
                    <w14:schemeClr w14:val="tx1"/>
                  </w14:solidFill>
                </w14:textFill>
              </w:rPr>
              <w:t>天，年运行小时数为</w:t>
            </w:r>
            <w:r>
              <w:rPr>
                <w:rFonts w:hint="eastAsia" w:cs="Times New Roman"/>
                <w:color w:val="000000" w:themeColor="text1"/>
                <w:highlight w:val="none"/>
                <w:lang w:val="en-US" w:eastAsia="zh-CN"/>
                <w14:textFill>
                  <w14:solidFill>
                    <w14:schemeClr w14:val="tx1"/>
                  </w14:solidFill>
                </w14:textFill>
              </w:rPr>
              <w:t>1440</w:t>
            </w:r>
            <w:r>
              <w:rPr>
                <w:rFonts w:hint="default" w:ascii="Times New Roman" w:hAnsi="Times New Roman" w:eastAsia="宋体" w:cs="Times New Roman"/>
                <w:color w:val="000000" w:themeColor="text1"/>
                <w:highlight w:val="none"/>
                <w14:textFill>
                  <w14:solidFill>
                    <w14:schemeClr w14:val="tx1"/>
                  </w14:solidFill>
                </w14:textFill>
              </w:rPr>
              <w:t>h。</w:t>
            </w:r>
            <w:r>
              <w:rPr>
                <w:rFonts w:hint="eastAsia" w:cs="Times New Roman"/>
                <w:color w:val="000000" w:themeColor="text1"/>
                <w:kern w:val="21"/>
                <w:sz w:val="24"/>
                <w:szCs w:val="24"/>
                <w:highlight w:val="none"/>
                <w:lang w:val="en-US" w:eastAsia="zh-CN"/>
                <w14:textFill>
                  <w14:solidFill>
                    <w14:schemeClr w14:val="tx1"/>
                  </w14:solidFill>
                </w14:textFill>
              </w:rPr>
              <w:t>本项目不设食堂和宿舍。</w:t>
            </w:r>
          </w:p>
          <w:p w14:paraId="11E903E4">
            <w:pPr>
              <w:keepNext w:val="0"/>
              <w:keepLines w:val="0"/>
              <w:suppressLineNumbers w:val="0"/>
              <w:autoSpaceDE w:val="0"/>
              <w:autoSpaceDN w:val="0"/>
              <w:adjustRightInd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highlight w:val="none"/>
                <w14:textFill>
                  <w14:solidFill>
                    <w14:schemeClr w14:val="tx1"/>
                  </w14:solidFill>
                </w14:textFill>
              </w:rPr>
            </w:pPr>
            <w:r>
              <w:rPr>
                <w:rFonts w:hint="eastAsia" w:cs="Times New Roman"/>
                <w:b/>
                <w:color w:val="000000" w:themeColor="text1"/>
                <w:sz w:val="24"/>
                <w:highlight w:val="none"/>
                <w:lang w:val="en-US" w:eastAsia="zh-CN"/>
                <w14:textFill>
                  <w14:solidFill>
                    <w14:schemeClr w14:val="tx1"/>
                  </w14:solidFill>
                </w14:textFill>
              </w:rPr>
              <w:t>六</w:t>
            </w:r>
            <w:r>
              <w:rPr>
                <w:rFonts w:hint="default" w:ascii="Times New Roman" w:hAnsi="Times New Roman" w:eastAsia="宋体" w:cs="Times New Roman"/>
                <w:b/>
                <w:color w:val="000000" w:themeColor="text1"/>
                <w:sz w:val="24"/>
                <w:highlight w:val="none"/>
                <w14:textFill>
                  <w14:solidFill>
                    <w14:schemeClr w14:val="tx1"/>
                  </w14:solidFill>
                </w14:textFill>
              </w:rPr>
              <w:t>、公用工程</w:t>
            </w:r>
          </w:p>
          <w:p w14:paraId="62B3178F">
            <w:pPr>
              <w:pStyle w:val="56"/>
              <w:keepNext w:val="0"/>
              <w:keepLines w:val="0"/>
              <w:suppressLineNumbers w:val="0"/>
              <w:spacing w:before="0" w:beforeAutospacing="0" w:after="0" w:afterAutospacing="0" w:line="360" w:lineRule="auto"/>
              <w:ind w:left="0" w:right="0" w:firstLine="48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1、给水</w:t>
            </w:r>
          </w:p>
          <w:p w14:paraId="4D4F5717">
            <w:pPr>
              <w:pStyle w:val="56"/>
              <w:keepNext w:val="0"/>
              <w:keepLines w:val="0"/>
              <w:suppressLineNumbers w:val="0"/>
              <w:spacing w:before="0" w:beforeAutospacing="0" w:after="0" w:afterAutospacing="0" w:line="360" w:lineRule="auto"/>
              <w:ind w:left="0" w:right="0" w:firstLine="48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本项目无需生产用水，</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本项目无新增劳动定员，无新增生活用水使用量，</w:t>
            </w:r>
            <w:r>
              <w:rPr>
                <w:rFonts w:hint="default" w:ascii="Times New Roman" w:hAnsi="Times New Roman" w:eastAsia="宋体" w:cs="Times New Roman"/>
                <w:color w:val="000000" w:themeColor="text1"/>
                <w:highlight w:val="none"/>
                <w14:textFill>
                  <w14:solidFill>
                    <w14:schemeClr w14:val="tx1"/>
                  </w14:solidFill>
                </w14:textFill>
              </w:rPr>
              <w:t>无新增生活污水排放</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55216473">
            <w:pPr>
              <w:pStyle w:val="56"/>
              <w:keepNext w:val="0"/>
              <w:keepLines w:val="0"/>
              <w:suppressLineNumbers w:val="0"/>
              <w:spacing w:before="0" w:beforeAutospacing="0" w:after="0" w:afterAutospacing="0" w:line="360" w:lineRule="auto"/>
              <w:ind w:left="0" w:right="0" w:firstLine="48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厂</w:t>
            </w:r>
            <w:r>
              <w:rPr>
                <w:rFonts w:hint="eastAsia" w:cs="Times New Roman"/>
                <w:color w:val="000000" w:themeColor="text1"/>
                <w:sz w:val="24"/>
                <w:szCs w:val="24"/>
                <w:highlight w:val="none"/>
                <w:lang w:val="en-US" w:eastAsia="zh-CN"/>
                <w14:textFill>
                  <w14:solidFill>
                    <w14:schemeClr w14:val="tx1"/>
                  </w14:solidFill>
                </w14:textFill>
              </w:rPr>
              <w:t>现有</w:t>
            </w:r>
            <w:r>
              <w:rPr>
                <w:rFonts w:hint="default" w:ascii="Times New Roman" w:hAnsi="Times New Roman" w:eastAsia="宋体" w:cs="Times New Roman"/>
                <w:color w:val="000000" w:themeColor="text1"/>
                <w:sz w:val="24"/>
                <w:szCs w:val="24"/>
                <w:highlight w:val="none"/>
                <w14:textFill>
                  <w14:solidFill>
                    <w14:schemeClr w14:val="tx1"/>
                  </w14:solidFill>
                </w14:textFill>
              </w:rPr>
              <w:t>区劳动定员</w:t>
            </w:r>
            <w:r>
              <w:rPr>
                <w:rFonts w:hint="eastAsia"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人，按年工作</w:t>
            </w:r>
            <w:r>
              <w:rPr>
                <w:rFonts w:hint="eastAsia" w:cs="Times New Roman"/>
                <w:color w:val="000000" w:themeColor="text1"/>
                <w:sz w:val="24"/>
                <w:szCs w:val="24"/>
                <w:highlight w:val="none"/>
                <w:lang w:val="en-US" w:eastAsia="zh-CN"/>
                <w14:textFill>
                  <w14:solidFill>
                    <w14:schemeClr w14:val="tx1"/>
                  </w14:solidFill>
                </w14:textFill>
              </w:rPr>
              <w:t>60</w:t>
            </w:r>
            <w:r>
              <w:rPr>
                <w:rFonts w:hint="default" w:ascii="Times New Roman" w:hAnsi="Times New Roman" w:eastAsia="宋体" w:cs="Times New Roman"/>
                <w:color w:val="000000" w:themeColor="text1"/>
                <w:sz w:val="24"/>
                <w:szCs w:val="24"/>
                <w:highlight w:val="none"/>
                <w14:textFill>
                  <w14:solidFill>
                    <w14:schemeClr w14:val="tx1"/>
                  </w14:solidFill>
                </w14:textFill>
              </w:rPr>
              <w:t>天计，根据黑龙江省地方标准《用水定额》（DB23/T727-202</w:t>
            </w:r>
            <w:r>
              <w:rPr>
                <w:rFonts w:hint="eastAsia"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），生活用水按每人80L/d计，则生活用水量为0.4t/d，</w:t>
            </w:r>
            <w:r>
              <w:rPr>
                <w:rFonts w:hint="eastAsia" w:cs="Times New Roman"/>
                <w:color w:val="000000" w:themeColor="text1"/>
                <w:sz w:val="24"/>
                <w:szCs w:val="24"/>
                <w:highlight w:val="none"/>
                <w:lang w:val="en-US" w:eastAsia="zh-CN"/>
                <w14:textFill>
                  <w14:solidFill>
                    <w14:schemeClr w14:val="tx1"/>
                  </w14:solidFill>
                </w14:textFill>
              </w:rPr>
              <w:t>24</w:t>
            </w:r>
            <w:r>
              <w:rPr>
                <w:rFonts w:hint="default" w:ascii="Times New Roman" w:hAnsi="Times New Roman" w:eastAsia="宋体" w:cs="Times New Roman"/>
                <w:color w:val="000000" w:themeColor="text1"/>
                <w:sz w:val="24"/>
                <w:szCs w:val="24"/>
                <w:highlight w:val="none"/>
                <w14:textFill>
                  <w14:solidFill>
                    <w14:schemeClr w14:val="tx1"/>
                  </w14:solidFill>
                </w14:textFill>
              </w:rPr>
              <w:t>t/a。</w:t>
            </w:r>
          </w:p>
          <w:p w14:paraId="76DB5835">
            <w:pPr>
              <w:pStyle w:val="56"/>
              <w:keepNext w:val="0"/>
              <w:keepLines w:val="0"/>
              <w:suppressLineNumbers w:val="0"/>
              <w:spacing w:before="0" w:beforeAutospacing="0" w:after="0" w:afterAutospacing="0" w:line="360" w:lineRule="auto"/>
              <w:ind w:left="0" w:right="0" w:firstLine="48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2、排水</w:t>
            </w:r>
          </w:p>
          <w:p w14:paraId="1DD80F02">
            <w:pPr>
              <w:pStyle w:val="56"/>
              <w:keepNext w:val="0"/>
              <w:keepLines w:val="0"/>
              <w:suppressLineNumbers w:val="0"/>
              <w:spacing w:before="0" w:beforeAutospacing="0" w:after="0" w:afterAutospacing="0" w:line="360" w:lineRule="auto"/>
              <w:ind w:left="0" w:right="0" w:firstLine="480"/>
              <w:jc w:val="left"/>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本项目无需生产用水，本项目无新增劳动定员，无新增生活用水使用量，无新增生产废水和生活污水排放。厂区现有员工生活污水排入防渗旱厕，定期清掏，外运堆肥。</w:t>
            </w:r>
          </w:p>
          <w:p w14:paraId="078354D2">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highlight w:val="none"/>
                <w14:textFill>
                  <w14:solidFill>
                    <w14:schemeClr w14:val="tx1"/>
                  </w14:solidFill>
                </w14:textFill>
              </w:rPr>
              <w:t>供热</w:t>
            </w:r>
          </w:p>
          <w:p w14:paraId="77CE77FD">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本项目主要建设内容生产用热由新建一台</w:t>
            </w:r>
            <w:r>
              <w:rPr>
                <w:rFonts w:hint="eastAsia" w:cs="Times New Roman"/>
                <w:color w:val="000000" w:themeColor="text1"/>
                <w:szCs w:val="24"/>
                <w:highlight w:val="none"/>
                <w:lang w:eastAsia="zh-CN"/>
                <w14:textFill>
                  <w14:solidFill>
                    <w14:schemeClr w14:val="tx1"/>
                  </w14:solidFill>
                </w14:textFill>
              </w:rPr>
              <w:t>600万大卡</w:t>
            </w:r>
            <w:r>
              <w:rPr>
                <w:rFonts w:hint="default" w:ascii="Times New Roman" w:hAnsi="Times New Roman" w:eastAsia="宋体" w:cs="Times New Roman"/>
                <w:color w:val="000000" w:themeColor="text1"/>
                <w:szCs w:val="24"/>
                <w:highlight w:val="none"/>
                <w14:textFill>
                  <w14:solidFill>
                    <w14:schemeClr w14:val="tx1"/>
                  </w14:solidFill>
                </w14:textFill>
              </w:rPr>
              <w:t>燃生物质热风炉提供，燃料消耗量为</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2507.74</w:t>
            </w:r>
            <w:r>
              <w:rPr>
                <w:rFonts w:hint="default" w:ascii="Times New Roman" w:hAnsi="Times New Roman" w:eastAsia="宋体" w:cs="Times New Roman"/>
                <w:color w:val="000000" w:themeColor="text1"/>
                <w:szCs w:val="24"/>
                <w:highlight w:val="none"/>
                <w14:textFill>
                  <w14:solidFill>
                    <w14:schemeClr w14:val="tx1"/>
                  </w14:solidFill>
                </w14:textFill>
              </w:rPr>
              <w:t>t/a</w:t>
            </w:r>
            <w:r>
              <w:rPr>
                <w:rFonts w:hint="default" w:ascii="Times New Roman" w:hAnsi="Times New Roman" w:eastAsia="宋体" w:cs="Times New Roman"/>
                <w:color w:val="000000" w:themeColor="text1"/>
                <w:highlight w:val="none"/>
                <w14:textFill>
                  <w14:solidFill>
                    <w14:schemeClr w14:val="tx1"/>
                  </w14:solidFill>
                </w14:textFill>
              </w:rPr>
              <w:t>。</w:t>
            </w:r>
            <w:r>
              <w:rPr>
                <w:rFonts w:hint="default" w:ascii="Times New Roman" w:hAnsi="Times New Roman" w:eastAsia="宋体" w:cs="Times New Roman"/>
                <w:color w:val="000000" w:themeColor="text1"/>
                <w:highlight w:val="none"/>
                <w:lang w:eastAsia="zh-CN"/>
                <w14:textFill>
                  <w14:solidFill>
                    <w14:schemeClr w14:val="tx1"/>
                  </w14:solidFill>
                </w14:textFill>
              </w:rPr>
              <w:t>厂区办公室</w:t>
            </w:r>
            <w:r>
              <w:rPr>
                <w:rFonts w:hint="default" w:ascii="Times New Roman" w:hAnsi="Times New Roman" w:eastAsia="宋体" w:cs="Times New Roman"/>
                <w:color w:val="000000" w:themeColor="text1"/>
                <w:highlight w:val="none"/>
                <w14:textFill>
                  <w14:solidFill>
                    <w14:schemeClr w14:val="tx1"/>
                  </w14:solidFill>
                </w14:textFill>
              </w:rPr>
              <w:t>冬季供暖</w:t>
            </w:r>
            <w:r>
              <w:rPr>
                <w:rFonts w:hint="default" w:ascii="Times New Roman" w:hAnsi="Times New Roman" w:eastAsia="宋体" w:cs="Times New Roman"/>
                <w:color w:val="000000" w:themeColor="text1"/>
                <w:highlight w:val="none"/>
                <w:lang w:val="en-US" w:eastAsia="zh-CN"/>
                <w14:textFill>
                  <w14:solidFill>
                    <w14:schemeClr w14:val="tx1"/>
                  </w14:solidFill>
                </w14:textFill>
              </w:rPr>
              <w:t>为电取暖</w:t>
            </w:r>
            <w:r>
              <w:rPr>
                <w:rFonts w:hint="default" w:ascii="Times New Roman" w:hAnsi="Times New Roman" w:eastAsia="宋体" w:cs="Times New Roman"/>
                <w:color w:val="000000" w:themeColor="text1"/>
                <w:szCs w:val="24"/>
                <w:highlight w:val="none"/>
                <w:lang w:eastAsia="zh-CN"/>
                <w14:textFill>
                  <w14:solidFill>
                    <w14:schemeClr w14:val="tx1"/>
                  </w14:solidFill>
                </w14:textFill>
              </w:rPr>
              <w:t>。</w:t>
            </w:r>
          </w:p>
          <w:p w14:paraId="02DA10FB">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供电</w:t>
            </w:r>
          </w:p>
          <w:p w14:paraId="4C68E464">
            <w:pPr>
              <w:pStyle w:val="32"/>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kern w:val="0"/>
                <w:sz w:val="24"/>
                <w:szCs w:val="20"/>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0"/>
                <w:highlight w:val="none"/>
                <w14:textFill>
                  <w14:solidFill>
                    <w14:schemeClr w14:val="tx1"/>
                  </w14:solidFill>
                </w14:textFill>
              </w:rPr>
              <w:t>用电由所在地供电电网提供。</w:t>
            </w:r>
          </w:p>
          <w:p w14:paraId="0F02371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七</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、总平面布置</w:t>
            </w:r>
          </w:p>
          <w:p w14:paraId="37845ADA">
            <w:pPr>
              <w:pStyle w:val="94"/>
              <w:keepNext w:val="0"/>
              <w:keepLines w:val="0"/>
              <w:suppressLineNumbers w:val="0"/>
              <w:spacing w:before="0" w:beforeAutospacing="0" w:after="0" w:afterAutospacing="0" w:line="360" w:lineRule="auto"/>
              <w:ind w:left="0" w:right="0" w:firstLine="482"/>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位于黑龙江省鸡西市虎林市庆丰农场九队，新建一座日烘干能力</w:t>
            </w:r>
            <w:r>
              <w:rPr>
                <w:rFonts w:hint="eastAsia" w:cs="Times New Roman"/>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00t/d的烘干塔，配套建设一台</w:t>
            </w:r>
            <w:r>
              <w:rPr>
                <w:rFonts w:hint="eastAsia" w:cs="Times New Roman"/>
                <w:color w:val="000000" w:themeColor="text1"/>
                <w:sz w:val="24"/>
                <w:highlight w:val="none"/>
                <w:lang w:val="en-US" w:eastAsia="zh-CN"/>
                <w14:textFill>
                  <w14:solidFill>
                    <w14:schemeClr w14:val="tx1"/>
                  </w14:solidFill>
                </w14:textFill>
              </w:rPr>
              <w:t>600万大卡</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的燃生物质热风炉。</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项目平面布置图见附图2，项目平面布置功能分区合理、布局紧凑，各个建筑物的布置均满足工艺需要。项目所在地道路系统完善，有利于原料及产品的运输。因此，项目平面布置合理。</w:t>
            </w:r>
          </w:p>
          <w:p w14:paraId="42E57B57">
            <w:pPr>
              <w:pStyle w:val="94"/>
              <w:keepNext w:val="0"/>
              <w:keepLines w:val="0"/>
              <w:suppressLineNumbers w:val="0"/>
              <w:spacing w:before="0" w:beforeAutospacing="0" w:after="0" w:afterAutospacing="0" w:line="360" w:lineRule="auto"/>
              <w:ind w:left="0" w:right="0" w:firstLine="482"/>
              <w:rPr>
                <w:rFonts w:hint="default" w:ascii="Times New Roman" w:hAnsi="Times New Roman" w:eastAsia="宋体" w:cs="Times New Roman"/>
                <w:b/>
                <w:bCs/>
                <w:color w:val="000000" w:themeColor="text1"/>
                <w:highlight w:val="none"/>
                <w14:textFill>
                  <w14:solidFill>
                    <w14:schemeClr w14:val="tx1"/>
                  </w14:solidFill>
                </w14:textFill>
              </w:rPr>
            </w:pPr>
            <w:r>
              <w:rPr>
                <w:rFonts w:hint="eastAsia" w:cs="Times New Roman"/>
                <w:b/>
                <w:bCs/>
                <w:color w:val="000000" w:themeColor="text1"/>
                <w:highlight w:val="none"/>
                <w:lang w:val="en-US" w:eastAsia="zh-CN"/>
                <w14:textFill>
                  <w14:solidFill>
                    <w14:schemeClr w14:val="tx1"/>
                  </w14:solidFill>
                </w14:textFill>
              </w:rPr>
              <w:t>八</w:t>
            </w:r>
            <w:r>
              <w:rPr>
                <w:rFonts w:hint="default" w:ascii="Times New Roman" w:hAnsi="Times New Roman" w:eastAsia="宋体" w:cs="Times New Roman"/>
                <w:b/>
                <w:bCs/>
                <w:color w:val="000000" w:themeColor="text1"/>
                <w:highlight w:val="none"/>
                <w14:textFill>
                  <w14:solidFill>
                    <w14:schemeClr w14:val="tx1"/>
                  </w14:solidFill>
                </w14:textFill>
              </w:rPr>
              <w:t>、投资情况</w:t>
            </w:r>
          </w:p>
          <w:p w14:paraId="324024AB">
            <w:pPr>
              <w:pStyle w:val="94"/>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本项目总投资</w:t>
            </w:r>
            <w:r>
              <w:rPr>
                <w:rFonts w:hint="eastAsia" w:cs="Times New Roman"/>
                <w:color w:val="000000" w:themeColor="text1"/>
                <w:highlight w:val="none"/>
                <w:lang w:val="en-US" w:eastAsia="zh-CN"/>
                <w14:textFill>
                  <w14:solidFill>
                    <w14:schemeClr w14:val="tx1"/>
                  </w14:solidFill>
                </w14:textFill>
              </w:rPr>
              <w:t>300</w:t>
            </w:r>
            <w:r>
              <w:rPr>
                <w:rFonts w:hint="default" w:ascii="Times New Roman" w:hAnsi="Times New Roman" w:eastAsia="宋体" w:cs="Times New Roman"/>
                <w:color w:val="000000" w:themeColor="text1"/>
                <w:highlight w:val="none"/>
                <w14:textFill>
                  <w14:solidFill>
                    <w14:schemeClr w14:val="tx1"/>
                  </w14:solidFill>
                </w14:textFill>
              </w:rPr>
              <w:t>万元，环保投资</w:t>
            </w:r>
            <w:r>
              <w:rPr>
                <w:rFonts w:hint="eastAsia" w:cs="Times New Roman"/>
                <w:color w:val="000000" w:themeColor="text1"/>
                <w:highlight w:val="none"/>
                <w:lang w:val="en-US" w:eastAsia="zh-CN"/>
                <w14:textFill>
                  <w14:solidFill>
                    <w14:schemeClr w14:val="tx1"/>
                  </w14:solidFill>
                </w14:textFill>
              </w:rPr>
              <w:t>24</w:t>
            </w:r>
            <w:r>
              <w:rPr>
                <w:rFonts w:hint="default" w:ascii="Times New Roman" w:hAnsi="Times New Roman" w:eastAsia="宋体" w:cs="Times New Roman"/>
                <w:color w:val="000000" w:themeColor="text1"/>
                <w:highlight w:val="none"/>
                <w14:textFill>
                  <w14:solidFill>
                    <w14:schemeClr w14:val="tx1"/>
                  </w14:solidFill>
                </w14:textFill>
              </w:rPr>
              <w:t>万元。环保投资估算见下表。</w:t>
            </w:r>
          </w:p>
          <w:p w14:paraId="7D19D32E">
            <w:pPr>
              <w:pStyle w:val="95"/>
              <w:keepNext w:val="0"/>
              <w:keepLines w:val="0"/>
              <w:suppressLineNumbers w:val="0"/>
              <w:spacing w:before="0" w:beforeAutospacing="0" w:after="0" w:afterAutospacing="0" w:line="360" w:lineRule="auto"/>
              <w:ind w:left="0" w:right="0"/>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表2-</w:t>
            </w:r>
            <w:r>
              <w:rPr>
                <w:rFonts w:hint="eastAsia" w:eastAsia="宋体" w:cs="Times New Roman"/>
                <w:b/>
                <w:bCs/>
                <w:color w:val="000000" w:themeColor="text1"/>
                <w:sz w:val="21"/>
                <w:szCs w:val="21"/>
                <w:highlight w:val="none"/>
                <w:lang w:val="en-US" w:eastAsia="zh-CN"/>
                <w14:textFill>
                  <w14:solidFill>
                    <w14:schemeClr w14:val="tx1"/>
                  </w14:solidFill>
                </w14:textFill>
              </w:rPr>
              <w:t>7</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环保投资一览表 单位：万元</w:t>
            </w:r>
          </w:p>
          <w:tbl>
            <w:tblPr>
              <w:tblStyle w:val="35"/>
              <w:tblW w:w="793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36"/>
              <w:gridCol w:w="1106"/>
              <w:gridCol w:w="1343"/>
              <w:gridCol w:w="3690"/>
              <w:gridCol w:w="1359"/>
            </w:tblGrid>
            <w:tr w14:paraId="0AF630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36" w:type="dxa"/>
                  <w:vAlign w:val="center"/>
                </w:tcPr>
                <w:p w14:paraId="7968B411">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类别</w:t>
                  </w:r>
                </w:p>
              </w:tc>
              <w:tc>
                <w:tcPr>
                  <w:tcW w:w="1106" w:type="dxa"/>
                  <w:vAlign w:val="center"/>
                </w:tcPr>
                <w:p w14:paraId="69F40E7E">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投资项目</w:t>
                  </w:r>
                </w:p>
              </w:tc>
              <w:tc>
                <w:tcPr>
                  <w:tcW w:w="5033" w:type="dxa"/>
                  <w:gridSpan w:val="2"/>
                  <w:vAlign w:val="center"/>
                </w:tcPr>
                <w:p w14:paraId="0EB5FE76">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具体措施</w:t>
                  </w:r>
                </w:p>
              </w:tc>
              <w:tc>
                <w:tcPr>
                  <w:tcW w:w="1359" w:type="dxa"/>
                  <w:vAlign w:val="center"/>
                </w:tcPr>
                <w:p w14:paraId="35FBEA5C">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投资</w:t>
                  </w:r>
                  <w:r>
                    <w:rPr>
                      <w:rFonts w:hint="default" w:ascii="Times New Roman" w:hAnsi="Times New Roman" w:eastAsia="宋体" w:cs="Times New Roman"/>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万元</w:t>
                  </w:r>
                  <w:r>
                    <w:rPr>
                      <w:rFonts w:hint="default" w:ascii="Times New Roman" w:hAnsi="Times New Roman" w:eastAsia="宋体" w:cs="Times New Roman"/>
                      <w:color w:val="000000" w:themeColor="text1"/>
                      <w:szCs w:val="21"/>
                      <w:highlight w:val="none"/>
                      <w:lang w:eastAsia="zh-CN"/>
                      <w14:textFill>
                        <w14:solidFill>
                          <w14:schemeClr w14:val="tx1"/>
                        </w14:solidFill>
                      </w14:textFill>
                    </w:rPr>
                    <w:t>）</w:t>
                  </w:r>
                </w:p>
              </w:tc>
            </w:tr>
            <w:tr w14:paraId="04BEF9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436" w:type="dxa"/>
                  <w:vMerge w:val="restart"/>
                  <w:vAlign w:val="center"/>
                </w:tcPr>
                <w:p w14:paraId="1CAF7EA6">
                  <w:pPr>
                    <w:pStyle w:val="96"/>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施工期</w:t>
                  </w:r>
                </w:p>
              </w:tc>
              <w:tc>
                <w:tcPr>
                  <w:tcW w:w="1106" w:type="dxa"/>
                  <w:vAlign w:val="center"/>
                </w:tcPr>
                <w:p w14:paraId="01CC2908">
                  <w:pPr>
                    <w:pStyle w:val="96"/>
                    <w:keepNext w:val="0"/>
                    <w:keepLines w:val="0"/>
                    <w:suppressLineNumbers w:val="0"/>
                    <w:spacing w:before="0" w:beforeAutospacing="0" w:after="0" w:afterAutospacing="0" w:line="240" w:lineRule="auto"/>
                    <w:ind w:left="0" w:right="0"/>
                    <w:rPr>
                      <w:rStyle w:val="97"/>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废气</w:t>
                  </w:r>
                </w:p>
              </w:tc>
              <w:tc>
                <w:tcPr>
                  <w:tcW w:w="5033" w:type="dxa"/>
                  <w:gridSpan w:val="2"/>
                  <w:vAlign w:val="center"/>
                </w:tcPr>
                <w:p w14:paraId="6A4C8634">
                  <w:pPr>
                    <w:pStyle w:val="131"/>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设置围挡</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洒水降尘</w:t>
                  </w:r>
                </w:p>
              </w:tc>
              <w:tc>
                <w:tcPr>
                  <w:tcW w:w="1359" w:type="dxa"/>
                  <w:vAlign w:val="center"/>
                </w:tcPr>
                <w:p w14:paraId="73202C9C">
                  <w:pPr>
                    <w:pStyle w:val="58"/>
                    <w:keepNext w:val="0"/>
                    <w:keepLines w:val="0"/>
                    <w:suppressLineNumbers w:val="0"/>
                    <w:spacing w:before="0" w:beforeAutospacing="0" w:after="0" w:afterAutospacing="0" w:line="240" w:lineRule="auto"/>
                    <w:ind w:left="0" w:right="0"/>
                    <w:rPr>
                      <w:rFonts w:hint="eastAsia" w:cs="Times New Roman"/>
                      <w:color w:val="000000" w:themeColor="text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w:t>
                  </w:r>
                </w:p>
              </w:tc>
            </w:tr>
            <w:tr w14:paraId="4AC606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436" w:type="dxa"/>
                  <w:vMerge w:val="continue"/>
                  <w:vAlign w:val="center"/>
                </w:tcPr>
                <w:p w14:paraId="0EE16844">
                  <w:pPr>
                    <w:pStyle w:val="96"/>
                    <w:keepNext w:val="0"/>
                    <w:keepLines w:val="0"/>
                    <w:suppressLineNumbers w:val="0"/>
                    <w:spacing w:before="0" w:beforeAutospacing="0" w:after="0" w:afterAutospacing="0" w:line="240" w:lineRule="auto"/>
                    <w:ind w:left="0" w:right="0"/>
                    <w:rPr>
                      <w:rFonts w:hint="eastAsia" w:cs="Times New Roman"/>
                      <w:color w:val="000000" w:themeColor="text1"/>
                      <w:szCs w:val="21"/>
                      <w:highlight w:val="none"/>
                      <w:lang w:val="en-US" w:eastAsia="zh-CN"/>
                      <w14:textFill>
                        <w14:solidFill>
                          <w14:schemeClr w14:val="tx1"/>
                        </w14:solidFill>
                      </w14:textFill>
                    </w:rPr>
                  </w:pPr>
                </w:p>
              </w:tc>
              <w:tc>
                <w:tcPr>
                  <w:tcW w:w="1106" w:type="dxa"/>
                  <w:vAlign w:val="center"/>
                </w:tcPr>
                <w:p w14:paraId="224FCEB9">
                  <w:pPr>
                    <w:pStyle w:val="96"/>
                    <w:keepNext w:val="0"/>
                    <w:keepLines w:val="0"/>
                    <w:suppressLineNumbers w:val="0"/>
                    <w:spacing w:before="0" w:beforeAutospacing="0" w:after="0" w:afterAutospacing="0" w:line="240" w:lineRule="auto"/>
                    <w:ind w:left="0" w:right="0"/>
                    <w:rPr>
                      <w:rStyle w:val="97"/>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废水</w:t>
                  </w:r>
                </w:p>
              </w:tc>
              <w:tc>
                <w:tcPr>
                  <w:tcW w:w="5033" w:type="dxa"/>
                  <w:gridSpan w:val="2"/>
                  <w:vAlign w:val="center"/>
                </w:tcPr>
                <w:p w14:paraId="6F1DF1C1">
                  <w:pPr>
                    <w:pStyle w:val="131"/>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施工废水经沉淀池处理后回用于地面降尘</w:t>
                  </w:r>
                </w:p>
              </w:tc>
              <w:tc>
                <w:tcPr>
                  <w:tcW w:w="1359" w:type="dxa"/>
                  <w:vAlign w:val="center"/>
                </w:tcPr>
                <w:p w14:paraId="4F93EF18">
                  <w:pPr>
                    <w:pStyle w:val="58"/>
                    <w:keepNext w:val="0"/>
                    <w:keepLines w:val="0"/>
                    <w:suppressLineNumbers w:val="0"/>
                    <w:spacing w:before="0" w:beforeAutospacing="0" w:after="0" w:afterAutospacing="0" w:line="240" w:lineRule="auto"/>
                    <w:ind w:left="0" w:right="0"/>
                    <w:rPr>
                      <w:rFonts w:hint="eastAsia" w:cs="Times New Roman"/>
                      <w:color w:val="000000" w:themeColor="text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p>
              </w:tc>
            </w:tr>
            <w:tr w14:paraId="456EFF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36" w:type="dxa"/>
                  <w:vMerge w:val="continue"/>
                  <w:vAlign w:val="center"/>
                </w:tcPr>
                <w:p w14:paraId="557BC721">
                  <w:pPr>
                    <w:pStyle w:val="96"/>
                    <w:keepNext w:val="0"/>
                    <w:keepLines w:val="0"/>
                    <w:suppressLineNumbers w:val="0"/>
                    <w:spacing w:before="0" w:beforeAutospacing="0" w:after="0" w:afterAutospacing="0" w:line="240" w:lineRule="auto"/>
                    <w:ind w:left="0" w:right="0"/>
                    <w:rPr>
                      <w:rFonts w:hint="eastAsia" w:cs="Times New Roman"/>
                      <w:color w:val="000000" w:themeColor="text1"/>
                      <w:szCs w:val="21"/>
                      <w:highlight w:val="none"/>
                      <w:lang w:val="en-US" w:eastAsia="zh-CN"/>
                      <w14:textFill>
                        <w14:solidFill>
                          <w14:schemeClr w14:val="tx1"/>
                        </w14:solidFill>
                      </w14:textFill>
                    </w:rPr>
                  </w:pPr>
                </w:p>
              </w:tc>
              <w:tc>
                <w:tcPr>
                  <w:tcW w:w="1106" w:type="dxa"/>
                  <w:vAlign w:val="center"/>
                </w:tcPr>
                <w:p w14:paraId="185FA01D">
                  <w:pPr>
                    <w:pStyle w:val="96"/>
                    <w:keepNext w:val="0"/>
                    <w:keepLines w:val="0"/>
                    <w:suppressLineNumbers w:val="0"/>
                    <w:spacing w:before="0" w:beforeAutospacing="0" w:after="0" w:afterAutospacing="0" w:line="240" w:lineRule="auto"/>
                    <w:ind w:left="0" w:right="0"/>
                    <w:rPr>
                      <w:rStyle w:val="97"/>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噪声</w:t>
                  </w:r>
                </w:p>
              </w:tc>
              <w:tc>
                <w:tcPr>
                  <w:tcW w:w="5033" w:type="dxa"/>
                  <w:gridSpan w:val="2"/>
                  <w:vAlign w:val="center"/>
                </w:tcPr>
                <w:p w14:paraId="5C8DCD0A">
                  <w:pPr>
                    <w:pStyle w:val="131"/>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选用低噪声设备、加强施工管理</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合理安排作业时间等措施</w:t>
                  </w:r>
                </w:p>
              </w:tc>
              <w:tc>
                <w:tcPr>
                  <w:tcW w:w="1359" w:type="dxa"/>
                  <w:vAlign w:val="center"/>
                </w:tcPr>
                <w:p w14:paraId="0A8F4320">
                  <w:pPr>
                    <w:pStyle w:val="58"/>
                    <w:keepNext w:val="0"/>
                    <w:keepLines w:val="0"/>
                    <w:suppressLineNumbers w:val="0"/>
                    <w:spacing w:before="0" w:beforeAutospacing="0" w:after="0" w:afterAutospacing="0" w:line="240" w:lineRule="auto"/>
                    <w:ind w:left="0" w:right="0"/>
                    <w:rPr>
                      <w:rFonts w:hint="eastAsia" w:cs="Times New Roman"/>
                      <w:color w:val="000000" w:themeColor="text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p>
              </w:tc>
            </w:tr>
            <w:tr w14:paraId="20A1C9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36" w:type="dxa"/>
                  <w:vMerge w:val="continue"/>
                  <w:vAlign w:val="center"/>
                </w:tcPr>
                <w:p w14:paraId="699B28F3">
                  <w:pPr>
                    <w:pStyle w:val="96"/>
                    <w:keepNext w:val="0"/>
                    <w:keepLines w:val="0"/>
                    <w:suppressLineNumbers w:val="0"/>
                    <w:spacing w:before="0" w:beforeAutospacing="0" w:after="0" w:afterAutospacing="0" w:line="240" w:lineRule="auto"/>
                    <w:ind w:left="0" w:right="0"/>
                    <w:rPr>
                      <w:rFonts w:hint="eastAsia" w:cs="Times New Roman"/>
                      <w:color w:val="000000" w:themeColor="text1"/>
                      <w:szCs w:val="21"/>
                      <w:highlight w:val="none"/>
                      <w:lang w:val="en-US" w:eastAsia="zh-CN"/>
                      <w14:textFill>
                        <w14:solidFill>
                          <w14:schemeClr w14:val="tx1"/>
                        </w14:solidFill>
                      </w14:textFill>
                    </w:rPr>
                  </w:pPr>
                </w:p>
              </w:tc>
              <w:tc>
                <w:tcPr>
                  <w:tcW w:w="1106" w:type="dxa"/>
                  <w:vAlign w:val="center"/>
                </w:tcPr>
                <w:p w14:paraId="3D17759B">
                  <w:pPr>
                    <w:pStyle w:val="96"/>
                    <w:keepNext w:val="0"/>
                    <w:keepLines w:val="0"/>
                    <w:suppressLineNumbers w:val="0"/>
                    <w:spacing w:before="0" w:beforeAutospacing="0" w:after="0" w:afterAutospacing="0" w:line="240" w:lineRule="auto"/>
                    <w:ind w:left="0" w:right="0"/>
                    <w:rPr>
                      <w:rStyle w:val="97"/>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固废</w:t>
                  </w:r>
                </w:p>
              </w:tc>
              <w:tc>
                <w:tcPr>
                  <w:tcW w:w="5033" w:type="dxa"/>
                  <w:gridSpan w:val="2"/>
                  <w:vAlign w:val="center"/>
                </w:tcPr>
                <w:p w14:paraId="57CF4DB9">
                  <w:pPr>
                    <w:pStyle w:val="58"/>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施工人员的生活垃圾集中收集后，由市政环卫部门统一处理</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施工期的建筑垃圾集中收集并尽可能地回收再利用，不能回收利用的定期送至城市建筑垃圾指定地点处置，外运建筑垃圾采用封闭车辆运输</w:t>
                  </w:r>
                </w:p>
              </w:tc>
              <w:tc>
                <w:tcPr>
                  <w:tcW w:w="1359" w:type="dxa"/>
                  <w:vAlign w:val="center"/>
                </w:tcPr>
                <w:p w14:paraId="3B729470">
                  <w:pPr>
                    <w:pStyle w:val="58"/>
                    <w:keepNext w:val="0"/>
                    <w:keepLines w:val="0"/>
                    <w:suppressLineNumbers w:val="0"/>
                    <w:spacing w:before="0" w:beforeAutospacing="0" w:after="0" w:afterAutospacing="0" w:line="240" w:lineRule="auto"/>
                    <w:ind w:left="0" w:right="0"/>
                    <w:rPr>
                      <w:rFonts w:hint="eastAsia" w:cs="Times New Roman"/>
                      <w:color w:val="000000" w:themeColor="text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w:t>
                  </w:r>
                </w:p>
              </w:tc>
            </w:tr>
            <w:tr w14:paraId="24E81F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36" w:type="dxa"/>
                  <w:shd w:val="clear" w:color="auto" w:fill="auto"/>
                  <w:vAlign w:val="center"/>
                </w:tcPr>
                <w:p w14:paraId="40952424">
                  <w:pPr>
                    <w:pStyle w:val="96"/>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类别</w:t>
                  </w:r>
                </w:p>
              </w:tc>
              <w:tc>
                <w:tcPr>
                  <w:tcW w:w="1106" w:type="dxa"/>
                  <w:shd w:val="clear" w:color="auto" w:fill="auto"/>
                  <w:vAlign w:val="center"/>
                </w:tcPr>
                <w:p w14:paraId="283CB007">
                  <w:pPr>
                    <w:pStyle w:val="96"/>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投资项目</w:t>
                  </w:r>
                </w:p>
              </w:tc>
              <w:tc>
                <w:tcPr>
                  <w:tcW w:w="1343" w:type="dxa"/>
                  <w:shd w:val="clear" w:color="auto" w:fill="auto"/>
                  <w:vAlign w:val="center"/>
                </w:tcPr>
                <w:p w14:paraId="0F85ED92">
                  <w:pPr>
                    <w:pStyle w:val="96"/>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污染源</w:t>
                  </w:r>
                </w:p>
              </w:tc>
              <w:tc>
                <w:tcPr>
                  <w:tcW w:w="3690" w:type="dxa"/>
                  <w:shd w:val="clear" w:color="auto" w:fill="auto"/>
                  <w:vAlign w:val="center"/>
                </w:tcPr>
                <w:p w14:paraId="682E4294">
                  <w:pPr>
                    <w:pStyle w:val="96"/>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具体措施</w:t>
                  </w:r>
                </w:p>
              </w:tc>
              <w:tc>
                <w:tcPr>
                  <w:tcW w:w="1359" w:type="dxa"/>
                  <w:shd w:val="clear" w:color="auto" w:fill="auto"/>
                  <w:vAlign w:val="center"/>
                </w:tcPr>
                <w:p w14:paraId="13DAAC88">
                  <w:pPr>
                    <w:pStyle w:val="96"/>
                    <w:keepNext w:val="0"/>
                    <w:keepLines w:val="0"/>
                    <w:suppressLineNumbers w:val="0"/>
                    <w:spacing w:before="0" w:beforeAutospacing="0" w:after="0" w:afterAutospacing="0" w:line="240" w:lineRule="auto"/>
                    <w:ind w:left="0" w:leftChars="0" w:right="0" w:rightChars="0"/>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投资</w:t>
                  </w:r>
                  <w:r>
                    <w:rPr>
                      <w:rFonts w:hint="default" w:ascii="Times New Roman" w:hAnsi="Times New Roman" w:eastAsia="宋体" w:cs="Times New Roman"/>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万元</w:t>
                  </w:r>
                  <w:r>
                    <w:rPr>
                      <w:rFonts w:hint="default" w:ascii="Times New Roman" w:hAnsi="Times New Roman" w:eastAsia="宋体" w:cs="Times New Roman"/>
                      <w:color w:val="000000" w:themeColor="text1"/>
                      <w:szCs w:val="21"/>
                      <w:highlight w:val="none"/>
                      <w:lang w:eastAsia="zh-CN"/>
                      <w14:textFill>
                        <w14:solidFill>
                          <w14:schemeClr w14:val="tx1"/>
                        </w14:solidFill>
                      </w14:textFill>
                    </w:rPr>
                    <w:t>）</w:t>
                  </w:r>
                </w:p>
              </w:tc>
            </w:tr>
            <w:tr w14:paraId="424483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436" w:type="dxa"/>
                  <w:vMerge w:val="restart"/>
                  <w:vAlign w:val="center"/>
                </w:tcPr>
                <w:p w14:paraId="5D836844">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运行期</w:t>
                  </w:r>
                </w:p>
              </w:tc>
              <w:tc>
                <w:tcPr>
                  <w:tcW w:w="1106" w:type="dxa"/>
                  <w:vMerge w:val="restart"/>
                  <w:vAlign w:val="center"/>
                </w:tcPr>
                <w:p w14:paraId="438F0152">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废气处理</w:t>
                  </w:r>
                </w:p>
              </w:tc>
              <w:tc>
                <w:tcPr>
                  <w:tcW w:w="1343" w:type="dxa"/>
                  <w:vAlign w:val="center"/>
                </w:tcPr>
                <w:p w14:paraId="0FFE243B">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Style w:val="97"/>
                      <w:rFonts w:hint="default" w:ascii="Times New Roman" w:hAnsi="Times New Roman" w:eastAsia="宋体" w:cs="Times New Roman"/>
                      <w:color w:val="000000" w:themeColor="text1"/>
                      <w:sz w:val="21"/>
                      <w:szCs w:val="21"/>
                      <w:highlight w:val="none"/>
                      <w14:textFill>
                        <w14:solidFill>
                          <w14:schemeClr w14:val="tx1"/>
                        </w14:solidFill>
                      </w14:textFill>
                    </w:rPr>
                    <w:t>热风炉烟气</w:t>
                  </w:r>
                </w:p>
              </w:tc>
              <w:tc>
                <w:tcPr>
                  <w:tcW w:w="3690" w:type="dxa"/>
                  <w:vAlign w:val="center"/>
                </w:tcPr>
                <w:p w14:paraId="22106C4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热风炉烟气</w:t>
                  </w:r>
                  <w:r>
                    <w:rPr>
                      <w:rFonts w:hint="default" w:ascii="Times New Roman" w:hAnsi="Times New Roman" w:eastAsia="宋体" w:cs="Times New Roman"/>
                      <w:bCs/>
                      <w:color w:val="000000" w:themeColor="text1"/>
                      <w:szCs w:val="21"/>
                      <w:highlight w:val="none"/>
                      <w14:textFill>
                        <w14:solidFill>
                          <w14:schemeClr w14:val="tx1"/>
                        </w14:solidFill>
                      </w14:textFill>
                    </w:rPr>
                    <w:t>经布袋除尘器处理由1根</w:t>
                  </w:r>
                  <w:r>
                    <w:rPr>
                      <w:rFonts w:hint="eastAsia" w:cs="Times New Roman"/>
                      <w:color w:val="000000" w:themeColor="text1"/>
                      <w:szCs w:val="21"/>
                      <w:highlight w:val="none"/>
                      <w:lang w:val="en-US" w:eastAsia="zh-CN"/>
                      <w14:textFill>
                        <w14:solidFill>
                          <w14:schemeClr w14:val="tx1"/>
                        </w14:solidFill>
                      </w14:textFill>
                    </w:rPr>
                    <w:t>15</w:t>
                  </w:r>
                  <w:r>
                    <w:rPr>
                      <w:rFonts w:hint="default" w:ascii="Times New Roman" w:hAnsi="Times New Roman" w:eastAsia="宋体" w:cs="Times New Roman"/>
                      <w:color w:val="000000" w:themeColor="text1"/>
                      <w:szCs w:val="21"/>
                      <w:highlight w:val="none"/>
                      <w:lang w:eastAsia="zh-CN"/>
                      <w14:textFill>
                        <w14:solidFill>
                          <w14:schemeClr w14:val="tx1"/>
                        </w14:solidFill>
                      </w14:textFill>
                    </w:rPr>
                    <w:t>m</w:t>
                  </w:r>
                  <w:r>
                    <w:rPr>
                      <w:rFonts w:hint="default" w:ascii="Times New Roman" w:hAnsi="Times New Roman" w:eastAsia="宋体" w:cs="Times New Roman"/>
                      <w:color w:val="000000" w:themeColor="text1"/>
                      <w:szCs w:val="21"/>
                      <w:highlight w:val="none"/>
                      <w14:textFill>
                        <w14:solidFill>
                          <w14:schemeClr w14:val="tx1"/>
                        </w14:solidFill>
                      </w14:textFill>
                    </w:rPr>
                    <w:t>高烟囱排放</w:t>
                  </w:r>
                </w:p>
              </w:tc>
              <w:tc>
                <w:tcPr>
                  <w:tcW w:w="1359" w:type="dxa"/>
                  <w:vAlign w:val="center"/>
                </w:tcPr>
                <w:p w14:paraId="10405A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7</w:t>
                  </w:r>
                </w:p>
              </w:tc>
            </w:tr>
            <w:tr w14:paraId="4196C8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436" w:type="dxa"/>
                  <w:vMerge w:val="continue"/>
                  <w:vAlign w:val="center"/>
                </w:tcPr>
                <w:p w14:paraId="401240B0">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106" w:type="dxa"/>
                  <w:vMerge w:val="continue"/>
                  <w:vAlign w:val="center"/>
                </w:tcPr>
                <w:p w14:paraId="59AFBE03">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343" w:type="dxa"/>
                  <w:vAlign w:val="center"/>
                </w:tcPr>
                <w:p w14:paraId="4C666C1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烘干塔废气</w:t>
                  </w:r>
                </w:p>
              </w:tc>
              <w:tc>
                <w:tcPr>
                  <w:tcW w:w="3690" w:type="dxa"/>
                  <w:vAlign w:val="center"/>
                </w:tcPr>
                <w:p w14:paraId="7444B97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在</w:t>
                  </w:r>
                  <w:r>
                    <w:rPr>
                      <w:rFonts w:hint="default" w:ascii="Times New Roman" w:hAnsi="Times New Roman" w:eastAsia="宋体" w:cs="Times New Roman"/>
                      <w:color w:val="000000" w:themeColor="text1"/>
                      <w:szCs w:val="21"/>
                      <w:highlight w:val="none"/>
                      <w14:textFill>
                        <w14:solidFill>
                          <w14:schemeClr w14:val="tx1"/>
                        </w14:solidFill>
                      </w14:textFill>
                    </w:rPr>
                    <w:t>烘干塔塔体两侧排气孔设置折流挡板，塔顶排气孔设滤尘网</w:t>
                  </w:r>
                </w:p>
              </w:tc>
              <w:tc>
                <w:tcPr>
                  <w:tcW w:w="1359" w:type="dxa"/>
                  <w:vAlign w:val="center"/>
                </w:tcPr>
                <w:p w14:paraId="374450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2</w:t>
                  </w:r>
                </w:p>
              </w:tc>
            </w:tr>
            <w:tr w14:paraId="75C361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436" w:type="dxa"/>
                  <w:vMerge w:val="continue"/>
                  <w:vAlign w:val="center"/>
                </w:tcPr>
                <w:p w14:paraId="36F1B22D">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106" w:type="dxa"/>
                  <w:vMerge w:val="continue"/>
                  <w:vAlign w:val="center"/>
                </w:tcPr>
                <w:p w14:paraId="2270D63B">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343" w:type="dxa"/>
                  <w:vAlign w:val="center"/>
                </w:tcPr>
                <w:p w14:paraId="3ED62540">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晾晒场</w:t>
                  </w:r>
                </w:p>
              </w:tc>
              <w:tc>
                <w:tcPr>
                  <w:tcW w:w="3690" w:type="dxa"/>
                  <w:vAlign w:val="center"/>
                </w:tcPr>
                <w:p w14:paraId="72C542D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堆场地面进行硬化并采用</w:t>
                  </w:r>
                  <w:r>
                    <w:rPr>
                      <w:rFonts w:hint="default" w:ascii="Times New Roman" w:hAnsi="Times New Roman" w:cs="Times New Roman"/>
                      <w:bCs/>
                      <w:color w:val="000000" w:themeColor="text1"/>
                      <w:szCs w:val="21"/>
                      <w:highlight w:val="none"/>
                      <w:lang w:val="en-US" w:eastAsia="zh-CN"/>
                      <w14:textFill>
                        <w14:solidFill>
                          <w14:schemeClr w14:val="tx1"/>
                        </w14:solidFill>
                      </w14:textFill>
                    </w:rPr>
                    <w:t>加盖苫布，设置防风抑尘网</w:t>
                  </w:r>
                </w:p>
              </w:tc>
              <w:tc>
                <w:tcPr>
                  <w:tcW w:w="1359" w:type="dxa"/>
                  <w:vAlign w:val="center"/>
                </w:tcPr>
                <w:p w14:paraId="71060158">
                  <w:pPr>
                    <w:keepNext w:val="0"/>
                    <w:keepLines w:val="0"/>
                    <w:widowControl/>
                    <w:suppressLineNumbers w:val="0"/>
                    <w:spacing w:before="0" w:beforeAutospacing="0" w:after="0" w:afterAutospacing="0" w:line="240" w:lineRule="auto"/>
                    <w:ind w:left="0" w:right="0"/>
                    <w:jc w:val="center"/>
                    <w:textAlignment w:val="center"/>
                    <w:rPr>
                      <w:rFonts w:hint="default"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2</w:t>
                  </w:r>
                </w:p>
              </w:tc>
            </w:tr>
            <w:tr w14:paraId="59185B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36" w:type="dxa"/>
                  <w:vMerge w:val="continue"/>
                  <w:vAlign w:val="center"/>
                </w:tcPr>
                <w:p w14:paraId="00C20922">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106" w:type="dxa"/>
                  <w:vAlign w:val="center"/>
                </w:tcPr>
                <w:p w14:paraId="0FBD4016">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噪声处理</w:t>
                  </w:r>
                </w:p>
              </w:tc>
              <w:tc>
                <w:tcPr>
                  <w:tcW w:w="1343" w:type="dxa"/>
                  <w:vAlign w:val="center"/>
                </w:tcPr>
                <w:p w14:paraId="453CE355">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设备噪声</w:t>
                  </w:r>
                </w:p>
              </w:tc>
              <w:tc>
                <w:tcPr>
                  <w:tcW w:w="3690" w:type="dxa"/>
                  <w:vAlign w:val="center"/>
                </w:tcPr>
                <w:p w14:paraId="0BFFC2C9">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lang w:val="en-US"/>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对烘干机</w:t>
                  </w:r>
                  <w:r>
                    <w:rPr>
                      <w:rFonts w:hint="default" w:ascii="Times New Roman" w:hAnsi="Times New Roman" w:eastAsia="宋体" w:cs="Times New Roman"/>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1"/>
                      <w:highlight w:val="none"/>
                      <w14:textFill>
                        <w14:solidFill>
                          <w14:schemeClr w14:val="tx1"/>
                        </w14:solidFill>
                      </w14:textFill>
                    </w:rPr>
                    <w:t>输送机、提升机</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等</w:t>
                  </w:r>
                  <w:r>
                    <w:rPr>
                      <w:rFonts w:hint="default" w:ascii="Times New Roman" w:hAnsi="Times New Roman" w:eastAsia="宋体" w:cs="Times New Roman"/>
                      <w:color w:val="000000" w:themeColor="text1"/>
                      <w:szCs w:val="21"/>
                      <w:highlight w:val="none"/>
                      <w14:textFill>
                        <w14:solidFill>
                          <w14:schemeClr w14:val="tx1"/>
                        </w14:solidFill>
                      </w14:textFill>
                    </w:rPr>
                    <w:t>高噪声设备加装减振基础</w:t>
                  </w:r>
                  <w:r>
                    <w:rPr>
                      <w:rFonts w:hint="default" w:ascii="Times New Roman" w:hAnsi="Times New Roman" w:eastAsia="宋体" w:cs="Times New Roman"/>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安装减振垫，风机设置减振底座，并在</w:t>
                  </w:r>
                  <w:r>
                    <w:rPr>
                      <w:rFonts w:hint="default" w:ascii="Times New Roman" w:hAnsi="Times New Roman" w:eastAsia="宋体" w:cs="Times New Roman"/>
                      <w:color w:val="000000" w:themeColor="text1"/>
                      <w:szCs w:val="21"/>
                      <w:highlight w:val="none"/>
                      <w14:textFill>
                        <w14:solidFill>
                          <w14:schemeClr w14:val="tx1"/>
                        </w14:solidFill>
                      </w14:textFill>
                    </w:rPr>
                    <w:t>风机进、出风口装设消音器</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，加强设备的维护</w:t>
                  </w:r>
                </w:p>
              </w:tc>
              <w:tc>
                <w:tcPr>
                  <w:tcW w:w="1359" w:type="dxa"/>
                  <w:vAlign w:val="center"/>
                </w:tcPr>
                <w:p w14:paraId="5886BE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p>
              </w:tc>
            </w:tr>
            <w:tr w14:paraId="4CFF41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6" w:type="dxa"/>
                  <w:vMerge w:val="continue"/>
                  <w:vAlign w:val="center"/>
                </w:tcPr>
                <w:p w14:paraId="4986B36F">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106" w:type="dxa"/>
                  <w:vAlign w:val="center"/>
                </w:tcPr>
                <w:p w14:paraId="026420D6">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固废处理</w:t>
                  </w:r>
                </w:p>
              </w:tc>
              <w:tc>
                <w:tcPr>
                  <w:tcW w:w="1343" w:type="dxa"/>
                  <w:vAlign w:val="center"/>
                </w:tcPr>
                <w:p w14:paraId="631A55D0">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一般工业固体废物</w:t>
                  </w:r>
                  <w:r>
                    <w:rPr>
                      <w:rFonts w:hint="eastAsia" w:cs="Times New Roman"/>
                      <w:color w:val="000000" w:themeColor="text1"/>
                      <w:szCs w:val="21"/>
                      <w:highlight w:val="none"/>
                      <w:lang w:eastAsia="zh-CN"/>
                      <w14:textFill>
                        <w14:solidFill>
                          <w14:schemeClr w14:val="tx1"/>
                        </w14:solidFill>
                      </w14:textFill>
                    </w:rPr>
                    <w:t>、</w:t>
                  </w:r>
                  <w:r>
                    <w:rPr>
                      <w:rFonts w:hint="eastAsia" w:cs="Times New Roman"/>
                      <w:color w:val="000000" w:themeColor="text1"/>
                      <w:szCs w:val="21"/>
                      <w:highlight w:val="none"/>
                      <w:lang w:val="en-US" w:eastAsia="zh-CN"/>
                      <w14:textFill>
                        <w14:solidFill>
                          <w14:schemeClr w14:val="tx1"/>
                        </w14:solidFill>
                      </w14:textFill>
                    </w:rPr>
                    <w:t>危险废物</w:t>
                  </w:r>
                </w:p>
              </w:tc>
              <w:tc>
                <w:tcPr>
                  <w:tcW w:w="3690" w:type="dxa"/>
                  <w:vAlign w:val="center"/>
                </w:tcPr>
                <w:p w14:paraId="6DF7B31B">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一般工业固体废物</w:t>
                  </w:r>
                  <w:r>
                    <w:rPr>
                      <w:rFonts w:hint="eastAsia" w:cs="Times New Roman"/>
                      <w:color w:val="000000" w:themeColor="text1"/>
                      <w:szCs w:val="21"/>
                      <w:highlight w:val="none"/>
                      <w:lang w:eastAsia="zh-CN"/>
                      <w14:textFill>
                        <w14:solidFill>
                          <w14:schemeClr w14:val="tx1"/>
                        </w14:solidFill>
                      </w14:textFill>
                    </w:rPr>
                    <w:t>、</w:t>
                  </w:r>
                  <w:r>
                    <w:rPr>
                      <w:rFonts w:hint="eastAsia" w:cs="Times New Roman"/>
                      <w:color w:val="000000" w:themeColor="text1"/>
                      <w:szCs w:val="21"/>
                      <w:highlight w:val="none"/>
                      <w:lang w:val="en-US" w:eastAsia="zh-CN"/>
                      <w14:textFill>
                        <w14:solidFill>
                          <w14:schemeClr w14:val="tx1"/>
                        </w14:solidFill>
                      </w14:textFill>
                    </w:rPr>
                    <w:t>危险废物</w:t>
                  </w:r>
                  <w:r>
                    <w:rPr>
                      <w:rFonts w:hint="default" w:ascii="Times New Roman" w:hAnsi="Times New Roman" w:eastAsia="宋体" w:cs="Times New Roman"/>
                      <w:color w:val="000000" w:themeColor="text1"/>
                      <w:szCs w:val="21"/>
                      <w:highlight w:val="none"/>
                      <w14:textFill>
                        <w14:solidFill>
                          <w14:schemeClr w14:val="tx1"/>
                        </w14:solidFill>
                      </w14:textFill>
                    </w:rPr>
                    <w:t>收集设施</w:t>
                  </w:r>
                </w:p>
              </w:tc>
              <w:tc>
                <w:tcPr>
                  <w:tcW w:w="1359" w:type="dxa"/>
                  <w:vAlign w:val="center"/>
                </w:tcPr>
                <w:p w14:paraId="27BD39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2</w:t>
                  </w:r>
                </w:p>
              </w:tc>
            </w:tr>
            <w:tr w14:paraId="58FA4A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575" w:type="dxa"/>
                  <w:gridSpan w:val="4"/>
                  <w:vAlign w:val="center"/>
                </w:tcPr>
                <w:p w14:paraId="598BF06E">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监测、运行维护费用</w:t>
                  </w:r>
                </w:p>
              </w:tc>
              <w:tc>
                <w:tcPr>
                  <w:tcW w:w="1359" w:type="dxa"/>
                  <w:vAlign w:val="center"/>
                </w:tcPr>
                <w:p w14:paraId="66E24D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3</w:t>
                  </w:r>
                </w:p>
              </w:tc>
            </w:tr>
            <w:tr w14:paraId="562148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575" w:type="dxa"/>
                  <w:gridSpan w:val="4"/>
                  <w:vAlign w:val="center"/>
                </w:tcPr>
                <w:p w14:paraId="06808577">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环保投资合计</w:t>
                  </w:r>
                </w:p>
              </w:tc>
              <w:tc>
                <w:tcPr>
                  <w:tcW w:w="1359" w:type="dxa"/>
                  <w:vAlign w:val="center"/>
                </w:tcPr>
                <w:p w14:paraId="7B2122EA">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24</w:t>
                  </w:r>
                </w:p>
              </w:tc>
            </w:tr>
            <w:tr w14:paraId="4F77BB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5" w:type="dxa"/>
                  <w:gridSpan w:val="4"/>
                  <w:vAlign w:val="center"/>
                </w:tcPr>
                <w:p w14:paraId="063BCE6A">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总投资</w:t>
                  </w:r>
                </w:p>
              </w:tc>
              <w:tc>
                <w:tcPr>
                  <w:tcW w:w="1359" w:type="dxa"/>
                  <w:vAlign w:val="center"/>
                </w:tcPr>
                <w:p w14:paraId="46FF20C4">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300</w:t>
                  </w:r>
                </w:p>
              </w:tc>
            </w:tr>
            <w:tr w14:paraId="68D616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5" w:type="dxa"/>
                  <w:gridSpan w:val="4"/>
                  <w:vAlign w:val="center"/>
                </w:tcPr>
                <w:p w14:paraId="67EACE75">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环保投资比</w:t>
                  </w:r>
                </w:p>
              </w:tc>
              <w:tc>
                <w:tcPr>
                  <w:tcW w:w="1359" w:type="dxa"/>
                  <w:vAlign w:val="center"/>
                </w:tcPr>
                <w:p w14:paraId="247E150C">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Cs w:val="21"/>
                      <w:highlight w:val="none"/>
                      <w14:textFill>
                        <w14:solidFill>
                          <w14:schemeClr w14:val="tx1"/>
                        </w14:solidFill>
                      </w14:textFill>
                    </w:rPr>
                    <w:t>%</w:t>
                  </w:r>
                </w:p>
              </w:tc>
            </w:tr>
          </w:tbl>
          <w:p w14:paraId="1687DD57">
            <w:pPr>
              <w:pStyle w:val="2"/>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000000" w:themeColor="text1"/>
                <w:highlight w:val="none"/>
                <w14:textFill>
                  <w14:solidFill>
                    <w14:schemeClr w14:val="tx1"/>
                  </w14:solidFill>
                </w14:textFill>
              </w:rPr>
            </w:pPr>
          </w:p>
        </w:tc>
      </w:tr>
      <w:tr w14:paraId="2A84FA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3" w:type="dxa"/>
            <w:vAlign w:val="center"/>
          </w:tcPr>
          <w:p w14:paraId="0DA22B2C">
            <w:pPr>
              <w:pStyle w:val="29"/>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工艺流程和产排污环节</w:t>
            </w:r>
          </w:p>
        </w:tc>
        <w:tc>
          <w:tcPr>
            <w:tcW w:w="8161" w:type="dxa"/>
            <w:vAlign w:val="top"/>
          </w:tcPr>
          <w:p w14:paraId="3B821FA2">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bCs/>
                <w:color w:val="000000" w:themeColor="text1"/>
                <w:highlight w:val="none"/>
                <w14:textFill>
                  <w14:solidFill>
                    <w14:schemeClr w14:val="tx1"/>
                  </w14:solidFill>
                </w14:textFill>
              </w:rPr>
            </w:pPr>
            <w:r>
              <w:rPr>
                <w:rFonts w:hint="default" w:ascii="Times New Roman" w:hAnsi="Times New Roman" w:eastAsia="宋体" w:cs="Times New Roman"/>
                <w:bCs/>
                <w:color w:val="000000" w:themeColor="text1"/>
                <w:highlight w:val="none"/>
                <w14:textFill>
                  <w14:solidFill>
                    <w14:schemeClr w14:val="tx1"/>
                  </w14:solidFill>
                </w14:textFill>
              </w:rPr>
              <w:t xml:space="preserve">生产工艺流程简述： </w:t>
            </w:r>
          </w:p>
          <w:p w14:paraId="7234F9DE">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1、施工期</w:t>
            </w:r>
          </w:p>
          <w:p w14:paraId="69871711">
            <w:pPr>
              <w:keepNext w:val="0"/>
              <w:keepLines w:val="0"/>
              <w:widowControl/>
              <w:suppressLineNumbers w:val="0"/>
              <w:spacing w:before="0" w:beforeAutospacing="0" w:after="0" w:afterAutospacing="0" w:line="360" w:lineRule="auto"/>
              <w:ind w:left="0" w:right="0" w:firstLine="480" w:firstLineChars="200"/>
              <w:jc w:val="left"/>
              <w:rPr>
                <w:rFonts w:hint="default"/>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本项目施工期间主要的污染来自施工废水、生活污水、生活垃圾、建筑垃圾、施工机械噪声等对外环境产生的影响。施工期工艺流程及产污流程见图</w:t>
            </w:r>
            <w:r>
              <w:rPr>
                <w:rFonts w:hint="default" w:ascii="Times New Roman" w:hAnsi="Times New Roman" w:cs="Times New Roman"/>
                <w:color w:val="000000" w:themeColor="text1"/>
                <w:kern w:val="2"/>
                <w:sz w:val="24"/>
                <w:szCs w:val="24"/>
                <w:highlight w:val="none"/>
                <w:lang w:val="en-US" w:eastAsia="zh-CN" w:bidi="ar-SA"/>
                <w14:textFill>
                  <w14:solidFill>
                    <w14:schemeClr w14:val="tx1"/>
                  </w14:solidFill>
                </w14:textFill>
              </w:rPr>
              <w:t>2-1。</w:t>
            </w:r>
          </w:p>
          <w:p w14:paraId="14D563AA">
            <w:pPr>
              <w:pStyle w:val="2"/>
              <w:keepNext w:val="0"/>
              <w:keepLines w:val="0"/>
              <w:suppressLineNumbers w:val="0"/>
              <w:spacing w:before="0" w:beforeAutospacing="0" w:after="0" w:afterAutospacing="0"/>
              <w:ind w:left="0" w:right="0"/>
              <w:jc w:val="both"/>
              <w:rPr>
                <w:rFonts w:hint="default" w:ascii="Times New Roman" w:hAnsi="Times New Roman" w:eastAsia="宋体" w:cs="Times New Roman"/>
                <w:b/>
                <w:bCs/>
                <w:color w:val="000000" w:themeColor="text1"/>
                <w:szCs w:val="21"/>
                <w:highlight w:val="none"/>
                <w14:textFill>
                  <w14:solidFill>
                    <w14:schemeClr w14:val="tx1"/>
                  </w14:solidFill>
                </w14:textFill>
              </w:rPr>
            </w:pPr>
            <w:r>
              <w:rPr>
                <w:rFonts w:hint="default" w:ascii="Times New Roman" w:hAnsi="Times New Roman" w:eastAsia="宋体" w:cs="Times New Roman"/>
                <w:smallCaps/>
                <w:color w:val="000000" w:themeColor="text1"/>
                <w:sz w:val="21"/>
                <w:szCs w:val="21"/>
                <w:highlight w:val="none"/>
                <w14:textFill>
                  <w14:solidFill>
                    <w14:schemeClr w14:val="tx1"/>
                  </w14:solidFill>
                </w14:textFill>
              </w:rPr>
              <w:drawing>
                <wp:inline distT="0" distB="0" distL="114300" distR="114300">
                  <wp:extent cx="4599305" cy="1497965"/>
                  <wp:effectExtent l="0" t="0" r="10795" b="6985"/>
                  <wp:docPr id="36" name="图片 14" descr="15379300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4" descr="1537930033(1)"/>
                          <pic:cNvPicPr>
                            <a:picLocks noChangeAspect="1"/>
                          </pic:cNvPicPr>
                        </pic:nvPicPr>
                        <pic:blipFill>
                          <a:blip r:embed="rId15"/>
                          <a:stretch>
                            <a:fillRect/>
                          </a:stretch>
                        </pic:blipFill>
                        <pic:spPr>
                          <a:xfrm>
                            <a:off x="0" y="0"/>
                            <a:ext cx="4599305" cy="1497965"/>
                          </a:xfrm>
                          <a:prstGeom prst="rect">
                            <a:avLst/>
                          </a:prstGeom>
                          <a:noFill/>
                          <a:ln>
                            <a:noFill/>
                          </a:ln>
                        </pic:spPr>
                      </pic:pic>
                    </a:graphicData>
                  </a:graphic>
                </wp:inline>
              </w:drawing>
            </w:r>
          </w:p>
          <w:p w14:paraId="2FF641DF">
            <w:pPr>
              <w:pStyle w:val="2"/>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zCs w:val="21"/>
                <w:highlight w:val="none"/>
                <w14:textFill>
                  <w14:solidFill>
                    <w14:schemeClr w14:val="tx1"/>
                  </w14:solidFill>
                </w14:textFill>
              </w:rPr>
              <w:t>图2-</w:t>
            </w:r>
            <w:r>
              <w:rPr>
                <w:rFonts w:hint="default" w:ascii="Times New Roman" w:hAnsi="Times New Roman" w:cs="Times New Roman"/>
                <w:b/>
                <w:bCs/>
                <w:color w:val="000000" w:themeColor="text1"/>
                <w:szCs w:val="21"/>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zCs w:val="21"/>
                <w:highlight w:val="none"/>
                <w14:textFill>
                  <w14:solidFill>
                    <w14:schemeClr w14:val="tx1"/>
                  </w14:solidFill>
                </w14:textFill>
              </w:rPr>
              <w:t>施工期工艺流程及产污节点图</w:t>
            </w:r>
          </w:p>
          <w:p w14:paraId="2FF96BCB">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bCs/>
                <w:color w:val="000000" w:themeColor="text1"/>
                <w:highlight w:val="none"/>
                <w:lang w:eastAsia="zh-CN"/>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2、运营期</w:t>
            </w:r>
          </w:p>
          <w:p w14:paraId="3DDB370C">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bCs/>
                <w:color w:val="000000" w:themeColor="text1"/>
                <w:highlight w:val="none"/>
                <w14:textFill>
                  <w14:solidFill>
                    <w14:schemeClr w14:val="tx1"/>
                  </w14:solidFill>
                </w14:textFill>
              </w:rPr>
            </w:pPr>
            <w:r>
              <w:rPr>
                <w:rFonts w:hint="default" w:ascii="Times New Roman" w:hAnsi="Times New Roman" w:eastAsia="宋体" w:cs="Times New Roman"/>
                <w:bCs/>
                <w:color w:val="000000" w:themeColor="text1"/>
                <w:highlight w:val="none"/>
                <w14:textFill>
                  <w14:solidFill>
                    <w14:schemeClr w14:val="tx1"/>
                  </w14:solidFill>
                </w14:textFill>
              </w:rPr>
              <w:t>原粮运输进厂，首先由检验人员取样检验水分等，再经检斤后通过输送机送入</w:t>
            </w:r>
            <w:r>
              <w:rPr>
                <w:rFonts w:hint="default" w:ascii="Times New Roman" w:hAnsi="Times New Roman" w:eastAsia="宋体" w:cs="Times New Roman"/>
                <w:bCs/>
                <w:color w:val="000000" w:themeColor="text1"/>
                <w:highlight w:val="none"/>
                <w:lang w:val="en-US" w:eastAsia="zh-CN"/>
                <w14:textFill>
                  <w14:solidFill>
                    <w14:schemeClr w14:val="tx1"/>
                  </w14:solidFill>
                </w14:textFill>
              </w:rPr>
              <w:t>潮粮食库房</w:t>
            </w:r>
            <w:r>
              <w:rPr>
                <w:rFonts w:hint="default" w:ascii="Times New Roman" w:hAnsi="Times New Roman" w:eastAsia="宋体" w:cs="Times New Roman"/>
                <w:bCs/>
                <w:color w:val="000000" w:themeColor="text1"/>
                <w:highlight w:val="none"/>
                <w14:textFill>
                  <w14:solidFill>
                    <w14:schemeClr w14:val="tx1"/>
                  </w14:solidFill>
                </w14:textFill>
              </w:rPr>
              <w:t>暂存。检验过程无化学反应产生，不使用高噪声设备，检验过程不产生废气、废水、噪声；输送过程产生粉尘和噪声。</w:t>
            </w:r>
          </w:p>
          <w:p w14:paraId="011B8812">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bCs/>
                <w:color w:val="000000" w:themeColor="text1"/>
                <w:highlight w:val="none"/>
                <w14:textFill>
                  <w14:solidFill>
                    <w14:schemeClr w14:val="tx1"/>
                  </w14:solidFill>
                </w14:textFill>
              </w:rPr>
            </w:pPr>
            <w:r>
              <w:rPr>
                <w:rFonts w:hint="default" w:ascii="Times New Roman" w:hAnsi="Times New Roman" w:eastAsia="宋体" w:cs="Times New Roman"/>
                <w:bCs/>
                <w:color w:val="000000" w:themeColor="text1"/>
                <w:highlight w:val="none"/>
                <w:lang w:val="en-US" w:eastAsia="zh-CN"/>
                <w14:textFill>
                  <w14:solidFill>
                    <w14:schemeClr w14:val="tx1"/>
                  </w14:solidFill>
                </w14:textFill>
              </w:rPr>
              <w:t>粮食筛分后</w:t>
            </w:r>
            <w:r>
              <w:rPr>
                <w:rFonts w:hint="default" w:ascii="Times New Roman" w:hAnsi="Times New Roman" w:eastAsia="宋体" w:cs="Times New Roman"/>
                <w:bCs/>
                <w:color w:val="000000" w:themeColor="text1"/>
                <w:highlight w:val="none"/>
                <w14:textFill>
                  <w14:solidFill>
                    <w14:schemeClr w14:val="tx1"/>
                  </w14:solidFill>
                </w14:textFill>
              </w:rPr>
              <w:t>经提升机送入烘干塔。此过程产生粉尘、噪声和固废杂质。</w:t>
            </w:r>
          </w:p>
          <w:p w14:paraId="51750C8B">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bCs/>
                <w:color w:val="000000" w:themeColor="text1"/>
                <w:highlight w:val="none"/>
                <w14:textFill>
                  <w14:solidFill>
                    <w14:schemeClr w14:val="tx1"/>
                  </w14:solidFill>
                </w14:textFill>
              </w:rPr>
            </w:pPr>
            <w:r>
              <w:rPr>
                <w:rFonts w:hint="default" w:ascii="Times New Roman" w:hAnsi="Times New Roman" w:eastAsia="宋体" w:cs="Times New Roman"/>
                <w:bCs/>
                <w:color w:val="000000" w:themeColor="text1"/>
                <w:highlight w:val="none"/>
                <w14:textFill>
                  <w14:solidFill>
                    <w14:schemeClr w14:val="tx1"/>
                  </w14:solidFill>
                </w14:textFill>
              </w:rPr>
              <w:t>原粮由塔顶进入烘干塔，通过热风炉产生的热风加热烘干。</w:t>
            </w:r>
          </w:p>
          <w:p w14:paraId="63EF70EE">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bCs/>
                <w:color w:val="000000" w:themeColor="text1"/>
                <w:highlight w:val="none"/>
                <w14:textFill>
                  <w14:solidFill>
                    <w14:schemeClr w14:val="tx1"/>
                  </w14:solidFill>
                </w14:textFill>
              </w:rPr>
            </w:pPr>
            <w:r>
              <w:rPr>
                <w:rFonts w:hint="default" w:ascii="Times New Roman" w:hAnsi="Times New Roman" w:eastAsia="宋体" w:cs="Times New Roman"/>
                <w:bCs/>
                <w:color w:val="000000" w:themeColor="text1"/>
                <w:highlight w:val="none"/>
                <w14:textFill>
                  <w14:solidFill>
                    <w14:schemeClr w14:val="tx1"/>
                  </w14:solidFill>
                </w14:textFill>
              </w:rPr>
              <w:t>生物质燃料在热风炉中点燃，热风炉燃烧时产生的高温烟气经引风机输送至烘干塔内的热交换器，与烘干塔内进入的冷空气进行热量交换后，经烘干塔顶部排出，被加热的冷空气变成热空气，对塔内的原粮进行高温烘干处理。</w:t>
            </w:r>
          </w:p>
          <w:p w14:paraId="1F86E6CE">
            <w:pPr>
              <w:pStyle w:val="56"/>
              <w:keepNext w:val="0"/>
              <w:keepLines w:val="0"/>
              <w:numPr>
                <w:ilvl w:val="0"/>
                <w:numId w:val="0"/>
              </w:numPr>
              <w:suppressLineNumbers w:val="0"/>
              <w:spacing w:before="0" w:beforeAutospacing="0" w:after="0" w:afterAutospacing="0" w:line="360" w:lineRule="auto"/>
              <w:ind w:left="420" w:leftChars="200" w:right="0" w:rightChars="0"/>
              <w:rPr>
                <w:rFonts w:hint="default" w:ascii="Times New Roman" w:hAnsi="Times New Roman" w:eastAsia="宋体" w:cs="Times New Roman"/>
                <w:bCs/>
                <w:color w:val="000000" w:themeColor="text1"/>
                <w:highlight w:val="none"/>
                <w14:textFill>
                  <w14:solidFill>
                    <w14:schemeClr w14:val="tx1"/>
                  </w14:solidFill>
                </w14:textFill>
              </w:rPr>
            </w:pPr>
            <w:r>
              <w:rPr>
                <w:rFonts w:hint="default" w:ascii="Times New Roman" w:hAnsi="Times New Roman" w:eastAsia="宋体" w:cs="Times New Roman"/>
                <w:bCs/>
                <w:color w:val="000000" w:themeColor="text1"/>
                <w:highlight w:val="none"/>
                <w14:textFill>
                  <w14:solidFill>
                    <w14:schemeClr w14:val="tx1"/>
                  </w14:solidFill>
                </w14:textFill>
              </w:rPr>
              <w:t>烘干后玉米进入</w:t>
            </w:r>
            <w:r>
              <w:rPr>
                <w:rFonts w:hint="default" w:ascii="Times New Roman" w:hAnsi="Times New Roman" w:eastAsia="宋体" w:cs="Times New Roman"/>
                <w:bCs/>
                <w:color w:val="000000" w:themeColor="text1"/>
                <w:highlight w:val="none"/>
                <w:lang w:val="en-US" w:eastAsia="zh-CN"/>
                <w14:textFill>
                  <w14:solidFill>
                    <w14:schemeClr w14:val="tx1"/>
                  </w14:solidFill>
                </w14:textFill>
              </w:rPr>
              <w:t>干粮</w:t>
            </w:r>
            <w:r>
              <w:rPr>
                <w:rFonts w:hint="default" w:ascii="Times New Roman" w:hAnsi="Times New Roman" w:eastAsia="宋体" w:cs="Times New Roman"/>
                <w:bCs/>
                <w:color w:val="000000" w:themeColor="text1"/>
                <w:highlight w:val="none"/>
                <w14:textFill>
                  <w14:solidFill>
                    <w14:schemeClr w14:val="tx1"/>
                  </w14:solidFill>
                </w14:textFill>
              </w:rPr>
              <w:t>仓内，及时运至厂内现有</w:t>
            </w:r>
            <w:r>
              <w:rPr>
                <w:rFonts w:hint="eastAsia" w:cs="Times New Roman"/>
                <w:bCs/>
                <w:color w:val="000000" w:themeColor="text1"/>
                <w:highlight w:val="none"/>
                <w:lang w:val="en-US" w:eastAsia="zh-CN"/>
                <w14:textFill>
                  <w14:solidFill>
                    <w14:schemeClr w14:val="tx1"/>
                  </w14:solidFill>
                </w14:textFill>
              </w:rPr>
              <w:t>平房</w:t>
            </w:r>
            <w:r>
              <w:rPr>
                <w:rFonts w:hint="eastAsia" w:cs="Times New Roman"/>
                <w:bCs/>
                <w:color w:val="000000" w:themeColor="text1"/>
                <w:highlight w:val="none"/>
                <w:lang w:eastAsia="zh-CN"/>
                <w14:textFill>
                  <w14:solidFill>
                    <w14:schemeClr w14:val="tx1"/>
                  </w14:solidFill>
                </w14:textFill>
              </w:rPr>
              <w:t>仓</w:t>
            </w:r>
            <w:r>
              <w:rPr>
                <w:rFonts w:hint="default" w:ascii="Times New Roman" w:hAnsi="Times New Roman" w:eastAsia="宋体" w:cs="Times New Roman"/>
                <w:bCs/>
                <w:color w:val="000000" w:themeColor="text1"/>
                <w:highlight w:val="none"/>
                <w14:textFill>
                  <w14:solidFill>
                    <w14:schemeClr w14:val="tx1"/>
                  </w14:solidFill>
                </w14:textFill>
              </w:rPr>
              <w:t>内储存</w:t>
            </w:r>
            <w:r>
              <w:rPr>
                <w:rFonts w:hint="default" w:ascii="Times New Roman" w:hAnsi="Times New Roman" w:eastAsia="宋体" w:cs="Times New Roman"/>
                <w:bCs/>
                <w:color w:val="000000" w:themeColor="text1"/>
                <w:highlight w:val="none"/>
                <w:lang w:val="en-US" w:eastAsia="zh-CN"/>
                <w14:textFill>
                  <w14:solidFill>
                    <w14:schemeClr w14:val="tx1"/>
                  </w14:solidFill>
                </w14:textFill>
              </w:rPr>
              <w:t>或外售</w:t>
            </w:r>
            <w:r>
              <w:rPr>
                <w:rFonts w:hint="default" w:ascii="Times New Roman" w:hAnsi="Times New Roman" w:eastAsia="宋体" w:cs="Times New Roman"/>
                <w:bCs/>
                <w:color w:val="000000" w:themeColor="text1"/>
                <w:highlight w:val="none"/>
                <w14:textFill>
                  <w14:solidFill>
                    <w14:schemeClr w14:val="tx1"/>
                  </w14:solidFill>
                </w14:textFill>
              </w:rPr>
              <w:t>。</w:t>
            </w:r>
          </w:p>
          <w:p w14:paraId="22A43F5D">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 xml:space="preserve">项目主要生产工艺流程及产污环节见下图。  </w:t>
            </w:r>
          </w:p>
          <w:p w14:paraId="374B276B">
            <w:pPr>
              <w:pStyle w:val="56"/>
              <w:keepNext w:val="0"/>
              <w:keepLines w:val="0"/>
              <w:suppressLineNumbers w:val="0"/>
              <w:spacing w:before="0" w:beforeAutospacing="0" w:after="0" w:afterAutospacing="0" w:line="360" w:lineRule="auto"/>
              <w:ind w:left="0" w:right="0" w:firstLine="0" w:firstLineChars="0"/>
              <w:jc w:val="center"/>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drawing>
                <wp:inline distT="0" distB="0" distL="114300" distR="114300">
                  <wp:extent cx="4410075" cy="2703195"/>
                  <wp:effectExtent l="0" t="0" r="9525" b="1905"/>
                  <wp:docPr id="7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0"/>
                          <pic:cNvPicPr>
                            <a:picLocks noChangeAspect="1"/>
                          </pic:cNvPicPr>
                        </pic:nvPicPr>
                        <pic:blipFill>
                          <a:blip r:embed="rId16"/>
                          <a:stretch>
                            <a:fillRect/>
                          </a:stretch>
                        </pic:blipFill>
                        <pic:spPr>
                          <a:xfrm>
                            <a:off x="0" y="0"/>
                            <a:ext cx="4410075" cy="2703195"/>
                          </a:xfrm>
                          <a:prstGeom prst="rect">
                            <a:avLst/>
                          </a:prstGeom>
                          <a:noFill/>
                          <a:ln>
                            <a:noFill/>
                          </a:ln>
                        </pic:spPr>
                      </pic:pic>
                    </a:graphicData>
                  </a:graphic>
                </wp:inline>
              </w:drawing>
            </w:r>
          </w:p>
          <w:p w14:paraId="60E06400">
            <w:pPr>
              <w:keepNext w:val="0"/>
              <w:keepLines w:val="0"/>
              <w:suppressLineNumbers w:val="0"/>
              <w:spacing w:before="0" w:beforeAutospacing="0" w:after="0" w:afterAutospacing="0" w:line="360" w:lineRule="auto"/>
              <w:ind w:left="0" w:right="0" w:firstLine="422" w:firstLineChars="200"/>
              <w:jc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Cs w:val="21"/>
                <w:highlight w:val="none"/>
                <w14:textFill>
                  <w14:solidFill>
                    <w14:schemeClr w14:val="tx1"/>
                  </w14:solidFill>
                </w14:textFill>
              </w:rPr>
              <w:t>图2-</w:t>
            </w:r>
            <w:r>
              <w:rPr>
                <w:rFonts w:hint="eastAsia" w:cs="Times New Roman"/>
                <w:b/>
                <w:bCs/>
                <w:color w:val="000000" w:themeColor="text1"/>
                <w:szCs w:val="21"/>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Cs w:val="21"/>
                <w:highlight w:val="none"/>
                <w14:textFill>
                  <w14:solidFill>
                    <w14:schemeClr w14:val="tx1"/>
                  </w14:solidFill>
                </w14:textFill>
              </w:rPr>
              <w:t>项目生产工艺流程及产污节点示意图</w:t>
            </w:r>
          </w:p>
        </w:tc>
      </w:tr>
      <w:tr w14:paraId="368070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3" w:type="dxa"/>
            <w:vAlign w:val="center"/>
          </w:tcPr>
          <w:p w14:paraId="6ABC8680">
            <w:pPr>
              <w:pStyle w:val="29"/>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bCs/>
                <w:color w:val="000000" w:themeColor="text1"/>
                <w:kern w:val="2"/>
                <w:szCs w:val="24"/>
                <w:highlight w:val="none"/>
                <w14:textFill>
                  <w14:solidFill>
                    <w14:schemeClr w14:val="tx1"/>
                  </w14:solidFill>
                </w14:textFill>
              </w:rPr>
              <w:t>与项目有关的原有环境污染问题</w:t>
            </w:r>
          </w:p>
        </w:tc>
        <w:tc>
          <w:tcPr>
            <w:tcW w:w="8161" w:type="dxa"/>
            <w:vAlign w:val="top"/>
          </w:tcPr>
          <w:p w14:paraId="0398497A">
            <w:pPr>
              <w:keepNext w:val="0"/>
              <w:keepLines w:val="0"/>
              <w:widowControl/>
              <w:suppressLineNumbers w:val="0"/>
              <w:spacing w:before="0" w:beforeAutospacing="0" w:after="0" w:afterAutospacing="0" w:line="360" w:lineRule="auto"/>
              <w:ind w:left="0" w:right="0" w:firstLine="482" w:firstLineChars="200"/>
              <w:jc w:val="left"/>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一、现有工程环保手续履行情况</w:t>
            </w:r>
          </w:p>
          <w:p w14:paraId="2C05163B">
            <w:pPr>
              <w:keepNext w:val="0"/>
              <w:keepLines w:val="0"/>
              <w:suppressLineNumbers w:val="0"/>
              <w:tabs>
                <w:tab w:val="left" w:pos="6480"/>
              </w:tabs>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kern w:val="0"/>
                <w:sz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bidi="ar"/>
                <w14:textFill>
                  <w14:solidFill>
                    <w14:schemeClr w14:val="tx1"/>
                  </w14:solidFill>
                </w14:textFill>
              </w:rPr>
              <w:t>企业于20</w:t>
            </w:r>
            <w:r>
              <w:rPr>
                <w:rFonts w:hint="eastAsia" w:ascii="Times New Roman" w:hAnsi="Times New Roman" w:eastAsia="宋体" w:cs="Times New Roman"/>
                <w:color w:val="000000" w:themeColor="text1"/>
                <w:kern w:val="0"/>
                <w:sz w:val="24"/>
                <w:highlight w:val="none"/>
                <w:lang w:val="en-US" w:eastAsia="zh-CN" w:bidi="ar"/>
                <w14:textFill>
                  <w14:solidFill>
                    <w14:schemeClr w14:val="tx1"/>
                  </w14:solidFill>
                </w14:textFill>
              </w:rPr>
              <w:t>10</w:t>
            </w:r>
            <w:r>
              <w:rPr>
                <w:rFonts w:hint="default" w:ascii="Times New Roman" w:hAnsi="Times New Roman" w:eastAsia="宋体" w:cs="Times New Roman"/>
                <w:color w:val="000000" w:themeColor="text1"/>
                <w:kern w:val="0"/>
                <w:sz w:val="24"/>
                <w:highlight w:val="none"/>
                <w:lang w:val="en-US" w:eastAsia="zh-CN" w:bidi="ar"/>
                <w14:textFill>
                  <w14:solidFill>
                    <w14:schemeClr w14:val="tx1"/>
                  </w14:solidFill>
                </w14:textFill>
              </w:rPr>
              <w:t>年成立黑龙江省牡丹江农垦双合粮食仓储有限公司</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，于201</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0</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年</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月编制《黑龙江省农垦建设项目环境影响报告表》</w:t>
            </w:r>
            <w:r>
              <w:rPr>
                <w:rFonts w:hint="eastAsia" w:cs="Times New Roman"/>
                <w:color w:val="000000" w:themeColor="text1"/>
                <w:kern w:val="2"/>
                <w:sz w:val="24"/>
                <w:szCs w:val="24"/>
                <w:highlight w:val="none"/>
                <w:lang w:val="en-US" w:eastAsia="zh-CN" w:bidi="ar-SA"/>
                <w14:textFill>
                  <w14:solidFill>
                    <w14:schemeClr w14:val="tx1"/>
                  </w14:solidFill>
                </w14:textFill>
              </w:rPr>
              <w:t>（见附件5）</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，建设内容主要为</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烘干塔一座烘干能力200t/d，配套一台</w:t>
            </w:r>
            <w:r>
              <w:rPr>
                <w:rFonts w:hint="eastAsia" w:cs="Times New Roman"/>
                <w:color w:val="000000" w:themeColor="text1"/>
                <w:sz w:val="24"/>
                <w:highlight w:val="none"/>
                <w:lang w:val="en-US" w:eastAsia="zh-CN"/>
                <w14:textFill>
                  <w14:solidFill>
                    <w14:schemeClr w14:val="tx1"/>
                  </w14:solidFill>
                </w14:textFill>
              </w:rPr>
              <w:t>240万大卡</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燃</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煤</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热风炉，</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日处理玉米200t，</w:t>
            </w:r>
            <w:r>
              <w:rPr>
                <w:rFonts w:hint="eastAsia" w:cs="Times New Roman"/>
                <w:color w:val="000000" w:themeColor="text1"/>
                <w:sz w:val="24"/>
                <w:highlight w:val="none"/>
                <w:lang w:val="en-US" w:eastAsia="zh-CN"/>
                <w14:textFill>
                  <w14:solidFill>
                    <w14:schemeClr w14:val="tx1"/>
                  </w14:solidFill>
                </w14:textFill>
              </w:rPr>
              <w:t>企业</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全年烘干玉米</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0000t</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4"/>
                <w:highlight w:val="none"/>
                <w:lang w:val="en-US" w:eastAsia="zh-CN" w:bidi="ar"/>
                <w14:textFill>
                  <w14:solidFill>
                    <w14:schemeClr w14:val="tx1"/>
                  </w14:solidFill>
                </w14:textFill>
              </w:rPr>
              <w:t>黑龙江省牡丹江农垦双合粮食仓储有限公司</w:t>
            </w:r>
            <w:r>
              <w:rPr>
                <w:rFonts w:hint="eastAsia" w:ascii="Times New Roman" w:hAnsi="Times New Roman" w:eastAsia="宋体" w:cs="Times New Roman"/>
                <w:color w:val="000000" w:themeColor="text1"/>
                <w:kern w:val="0"/>
                <w:sz w:val="24"/>
                <w:highlight w:val="none"/>
                <w:lang w:val="en-US" w:eastAsia="zh-CN" w:bidi="ar"/>
                <w14:textFill>
                  <w14:solidFill>
                    <w14:schemeClr w14:val="tx1"/>
                  </w14:solidFill>
                </w14:textFill>
              </w:rPr>
              <w:t>于2016年11月取得黑龙江省环境保护厅垦区牡丹江环境保护分局关于新建粮食烘干塔建设项目竣工环境保护验收意见的函，牡垦环验[2016]68号</w:t>
            </w:r>
            <w:r>
              <w:rPr>
                <w:rFonts w:hint="eastAsia" w:cs="Times New Roman"/>
                <w:color w:val="000000" w:themeColor="text1"/>
                <w:kern w:val="0"/>
                <w:sz w:val="24"/>
                <w:highlight w:val="none"/>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4"/>
                <w:highlight w:val="none"/>
                <w:lang w:val="en-US" w:eastAsia="zh-CN" w:bidi="ar"/>
                <w14:textFill>
                  <w14:solidFill>
                    <w14:schemeClr w14:val="tx1"/>
                  </w14:solidFill>
                </w14:textFill>
              </w:rPr>
              <w:t>企业已于2020年6 月 7日在全国排污许可证管理信息平台完成排污登记，排污登记编号：91233003551323201J001W，登记管理不涉及自行监测</w:t>
            </w:r>
            <w:r>
              <w:rPr>
                <w:rFonts w:hint="eastAsia" w:cs="Times New Roman"/>
                <w:color w:val="000000" w:themeColor="text1"/>
                <w:kern w:val="0"/>
                <w:sz w:val="24"/>
                <w:highlight w:val="none"/>
                <w:lang w:val="en-US" w:eastAsia="zh-CN" w:bidi="ar"/>
                <w14:textFill>
                  <w14:solidFill>
                    <w14:schemeClr w14:val="tx1"/>
                  </w14:solidFill>
                </w14:textFill>
              </w:rPr>
              <w:t>及</w:t>
            </w:r>
            <w:r>
              <w:rPr>
                <w:rFonts w:hint="eastAsia" w:ascii="Times New Roman" w:hAnsi="Times New Roman" w:eastAsia="宋体" w:cs="Times New Roman"/>
                <w:color w:val="000000" w:themeColor="text1"/>
                <w:kern w:val="0"/>
                <w:sz w:val="24"/>
                <w:highlight w:val="none"/>
                <w:lang w:val="en-US" w:eastAsia="zh-CN" w:bidi="ar"/>
                <w14:textFill>
                  <w14:solidFill>
                    <w14:schemeClr w14:val="tx1"/>
                  </w14:solidFill>
                </w14:textFill>
              </w:rPr>
              <w:t>执行报告</w:t>
            </w:r>
            <w:r>
              <w:rPr>
                <w:rFonts w:hint="eastAsia" w:cs="Times New Roman"/>
                <w:color w:val="000000" w:themeColor="text1"/>
                <w:kern w:val="0"/>
                <w:sz w:val="24"/>
                <w:highlight w:val="none"/>
                <w:lang w:val="en-US" w:eastAsia="zh-CN" w:bidi="ar"/>
                <w14:textFill>
                  <w14:solidFill>
                    <w14:schemeClr w14:val="tx1"/>
                  </w14:solidFill>
                </w14:textFill>
              </w:rPr>
              <w:t>。企业于2025年编制《突发环境事件应急预案》并于备案2025年3月10进行备案，备案编号为：2303810178（见附件5）。本企业为季节性生产企业，生产周期为每年9月中下旬-12月份，其余月份停产。生产期间实行2班制，每班12小时，年工作60天，年运行小时数为1440h。</w:t>
            </w:r>
          </w:p>
          <w:p w14:paraId="7D17B20C">
            <w:pPr>
              <w:keepNext w:val="0"/>
              <w:keepLines w:val="0"/>
              <w:widowControl/>
              <w:suppressLineNumbers w:val="0"/>
              <w:spacing w:before="0" w:beforeAutospacing="0" w:after="0" w:afterAutospacing="0" w:line="360" w:lineRule="auto"/>
              <w:ind w:left="0" w:right="0" w:firstLine="482" w:firstLineChars="200"/>
              <w:jc w:val="left"/>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4"/>
                <w:highlight w:val="none"/>
                <w:lang w:bidi="ar"/>
                <w14:textFill>
                  <w14:solidFill>
                    <w14:schemeClr w14:val="tx1"/>
                  </w14:solidFill>
                </w14:textFill>
              </w:rPr>
              <w:t>二、现有工程</w:t>
            </w:r>
            <w:r>
              <w:rPr>
                <w:rFonts w:hint="default" w:ascii="Times New Roman" w:hAnsi="Times New Roman" w:eastAsia="宋体" w:cs="Times New Roman"/>
                <w:b/>
                <w:bCs/>
                <w:color w:val="000000" w:themeColor="text1"/>
                <w:kern w:val="0"/>
                <w:sz w:val="24"/>
                <w:highlight w:val="none"/>
                <w:lang w:val="en-US" w:eastAsia="zh-CN" w:bidi="ar"/>
                <w14:textFill>
                  <w14:solidFill>
                    <w14:schemeClr w14:val="tx1"/>
                  </w14:solidFill>
                </w14:textFill>
              </w:rPr>
              <w:t>主要建设内容及规模</w:t>
            </w:r>
          </w:p>
          <w:p w14:paraId="71BFF1C2">
            <w:pPr>
              <w:keepNext w:val="0"/>
              <w:keepLines w:val="0"/>
              <w:suppressLineNumbers w:val="0"/>
              <w:tabs>
                <w:tab w:val="left" w:pos="6480"/>
              </w:tabs>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现有1座烘干能力</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00t/d烘干塔配套一台</w:t>
            </w:r>
            <w:r>
              <w:rPr>
                <w:rFonts w:hint="eastAsia" w:cs="Times New Roman"/>
                <w:color w:val="000000" w:themeColor="text1"/>
                <w:sz w:val="24"/>
                <w:highlight w:val="none"/>
                <w:lang w:val="en-US" w:eastAsia="zh-CN"/>
                <w14:textFill>
                  <w14:solidFill>
                    <w14:schemeClr w14:val="tx1"/>
                  </w14:solidFill>
                </w14:textFill>
              </w:rPr>
              <w:t>240万大卡</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燃</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煤</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热风炉</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，日处理玉米200t，</w:t>
            </w:r>
            <w:r>
              <w:rPr>
                <w:rFonts w:hint="eastAsia" w:cs="Times New Roman"/>
                <w:color w:val="000000" w:themeColor="text1"/>
                <w:sz w:val="24"/>
                <w:highlight w:val="none"/>
                <w:lang w:val="en-US" w:eastAsia="zh-CN"/>
                <w14:textFill>
                  <w14:solidFill>
                    <w14:schemeClr w14:val="tx1"/>
                  </w14:solidFill>
                </w14:textFill>
              </w:rPr>
              <w:t>企业</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全年烘干玉米</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0000t</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1间建筑面积为300m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的锅炉房，内设1间燃料间、1间建筑面积为2000m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的罩棚、1间建筑面积为</w:t>
            </w:r>
            <w:r>
              <w:rPr>
                <w:rFonts w:hint="eastAsia" w:cs="Times New Roman"/>
                <w:color w:val="000000" w:themeColor="text1"/>
                <w:sz w:val="24"/>
                <w:szCs w:val="24"/>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00m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的</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灰渣</w:t>
            </w:r>
            <w:r>
              <w:rPr>
                <w:rFonts w:hint="eastAsia" w:cs="Times New Roman"/>
                <w:color w:val="000000" w:themeColor="text1"/>
                <w:sz w:val="24"/>
                <w:szCs w:val="24"/>
                <w:highlight w:val="none"/>
                <w:lang w:val="en-US" w:eastAsia="zh-CN"/>
                <w14:textFill>
                  <w14:solidFill>
                    <w14:schemeClr w14:val="tx1"/>
                  </w14:solidFill>
                </w14:textFill>
              </w:rPr>
              <w:t>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1间建筑面积为240m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的办公室、1间建筑面积为40m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的门卫、1间建筑面积为200m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的库房。</w:t>
            </w:r>
          </w:p>
          <w:p w14:paraId="0A552678">
            <w:pPr>
              <w:pStyle w:val="56"/>
              <w:keepNext w:val="0"/>
              <w:keepLines w:val="0"/>
              <w:suppressLineNumbers w:val="0"/>
              <w:spacing w:before="0" w:beforeAutospacing="0" w:after="0" w:afterAutospacing="0" w:line="360" w:lineRule="auto"/>
              <w:ind w:left="0" w:right="0" w:firstLine="422"/>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表2-</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8</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工程内容一览表</w:t>
            </w:r>
          </w:p>
          <w:tbl>
            <w:tblPr>
              <w:tblStyle w:val="35"/>
              <w:tblW w:w="7882"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964"/>
              <w:gridCol w:w="1040"/>
              <w:gridCol w:w="5878"/>
            </w:tblGrid>
            <w:tr w14:paraId="31ABE9A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004" w:type="dxa"/>
                  <w:gridSpan w:val="2"/>
                  <w:vAlign w:val="center"/>
                </w:tcPr>
                <w:p w14:paraId="086A474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建设内容</w:t>
                  </w:r>
                </w:p>
              </w:tc>
              <w:tc>
                <w:tcPr>
                  <w:tcW w:w="5878" w:type="dxa"/>
                  <w:vAlign w:val="center"/>
                </w:tcPr>
                <w:p w14:paraId="08252C4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建设规模及内容</w:t>
                  </w:r>
                </w:p>
              </w:tc>
            </w:tr>
            <w:tr w14:paraId="6F5BF71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31" w:hRule="atLeast"/>
                <w:jc w:val="center"/>
              </w:trPr>
              <w:tc>
                <w:tcPr>
                  <w:tcW w:w="964" w:type="dxa"/>
                  <w:vMerge w:val="restart"/>
                  <w:shd w:val="clear" w:color="auto" w:fill="auto"/>
                  <w:vAlign w:val="center"/>
                </w:tcPr>
                <w:p w14:paraId="6AB7BDC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14:textFill>
                        <w14:solidFill>
                          <w14:schemeClr w14:val="tx1"/>
                        </w14:solidFill>
                      </w14:textFill>
                    </w:rPr>
                  </w:pPr>
                  <w:r>
                    <w:rPr>
                      <w:rFonts w:hint="default" w:ascii="Times New Roman" w:hAnsi="Times New Roman" w:eastAsia="宋体" w:cs="Times New Roman"/>
                      <w:bCs/>
                      <w:color w:val="000000" w:themeColor="text1"/>
                      <w:szCs w:val="21"/>
                      <w:highlight w:val="none"/>
                      <w14:textFill>
                        <w14:solidFill>
                          <w14:schemeClr w14:val="tx1"/>
                        </w14:solidFill>
                      </w14:textFill>
                    </w:rPr>
                    <w:t>主体工程</w:t>
                  </w:r>
                </w:p>
              </w:tc>
              <w:tc>
                <w:tcPr>
                  <w:tcW w:w="1040" w:type="dxa"/>
                  <w:shd w:val="clear" w:color="auto" w:fill="FFFFFF"/>
                  <w:vAlign w:val="center"/>
                </w:tcPr>
                <w:p w14:paraId="2BAC9D3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14:textFill>
                        <w14:solidFill>
                          <w14:schemeClr w14:val="tx1"/>
                        </w14:solidFill>
                      </w14:textFill>
                    </w:rPr>
                  </w:pPr>
                  <w:r>
                    <w:rPr>
                      <w:rFonts w:hint="default" w:ascii="Times New Roman" w:hAnsi="Times New Roman" w:eastAsia="宋体" w:cs="Times New Roman"/>
                      <w:bCs/>
                      <w:color w:val="000000" w:themeColor="text1"/>
                      <w:szCs w:val="21"/>
                      <w:highlight w:val="none"/>
                      <w14:textFill>
                        <w14:solidFill>
                          <w14:schemeClr w14:val="tx1"/>
                        </w14:solidFill>
                      </w14:textFill>
                    </w:rPr>
                    <w:t>烘干塔</w:t>
                  </w:r>
                </w:p>
              </w:tc>
              <w:tc>
                <w:tcPr>
                  <w:tcW w:w="5878" w:type="dxa"/>
                  <w:shd w:val="clear" w:color="auto" w:fill="FFFFFF"/>
                  <w:vAlign w:val="center"/>
                </w:tcPr>
                <w:p w14:paraId="39C0B69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szCs w:val="21"/>
                      <w:highlight w:val="none"/>
                      <w14:textFill>
                        <w14:solidFill>
                          <w14:schemeClr w14:val="tx1"/>
                        </w14:solidFill>
                      </w14:textFill>
                    </w:rPr>
                    <w:t>用于玉米烘干，</w:t>
                  </w:r>
                  <w:r>
                    <w:rPr>
                      <w:rFonts w:hint="default" w:ascii="Times New Roman" w:hAnsi="Times New Roman" w:eastAsia="宋体" w:cs="Times New Roman"/>
                      <w:color w:val="000000" w:themeColor="text1"/>
                      <w:szCs w:val="21"/>
                      <w:highlight w:val="none"/>
                      <w14:textFill>
                        <w14:solidFill>
                          <w14:schemeClr w14:val="tx1"/>
                        </w14:solidFill>
                      </w14:textFill>
                    </w:rPr>
                    <w:t>烘干塔</w:t>
                  </w:r>
                  <w:r>
                    <w:rPr>
                      <w:rFonts w:hint="default" w:ascii="Times New Roman" w:hAnsi="Times New Roman" w:eastAsia="宋体" w:cs="Times New Roman"/>
                      <w:bCs/>
                      <w:color w:val="000000" w:themeColor="text1"/>
                      <w:szCs w:val="21"/>
                      <w:highlight w:val="none"/>
                      <w14:textFill>
                        <w14:solidFill>
                          <w14:schemeClr w14:val="tx1"/>
                        </w14:solidFill>
                      </w14:textFill>
                    </w:rPr>
                    <w:t>年运行</w:t>
                  </w:r>
                  <w:r>
                    <w:rPr>
                      <w:rFonts w:hint="eastAsia" w:cs="Times New Roman"/>
                      <w:bCs/>
                      <w:color w:val="000000" w:themeColor="text1"/>
                      <w:szCs w:val="21"/>
                      <w:highlight w:val="none"/>
                      <w:lang w:val="en-US" w:eastAsia="zh-CN"/>
                      <w14:textFill>
                        <w14:solidFill>
                          <w14:schemeClr w14:val="tx1"/>
                        </w14:solidFill>
                      </w14:textFill>
                    </w:rPr>
                    <w:t>60</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d</w:t>
                  </w:r>
                  <w:r>
                    <w:rPr>
                      <w:rFonts w:hint="default" w:ascii="Times New Roman" w:hAnsi="Times New Roman" w:eastAsia="宋体" w:cs="Times New Roman"/>
                      <w:bCs/>
                      <w:color w:val="000000" w:themeColor="text1"/>
                      <w:szCs w:val="21"/>
                      <w:highlight w:val="none"/>
                      <w14:textFill>
                        <w14:solidFill>
                          <w14:schemeClr w14:val="tx1"/>
                        </w14:solidFill>
                      </w14:textFill>
                    </w:rPr>
                    <w:t>，烘干塔烘干能力为</w:t>
                  </w:r>
                  <w:r>
                    <w:rPr>
                      <w:rFonts w:hint="eastAsia" w:cs="Times New Roman"/>
                      <w:bCs/>
                      <w:color w:val="000000" w:themeColor="text1"/>
                      <w:szCs w:val="21"/>
                      <w:highlight w:val="none"/>
                      <w:lang w:val="en-US" w:eastAsia="zh-CN"/>
                      <w14:textFill>
                        <w14:solidFill>
                          <w14:schemeClr w14:val="tx1"/>
                        </w14:solidFill>
                      </w14:textFill>
                    </w:rPr>
                    <w:t>2</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00</w:t>
                  </w:r>
                  <w:r>
                    <w:rPr>
                      <w:rFonts w:hint="default" w:ascii="Times New Roman" w:hAnsi="Times New Roman" w:eastAsia="宋体" w:cs="Times New Roman"/>
                      <w:bCs/>
                      <w:color w:val="000000" w:themeColor="text1"/>
                      <w:szCs w:val="21"/>
                      <w:highlight w:val="none"/>
                      <w14:textFill>
                        <w14:solidFill>
                          <w14:schemeClr w14:val="tx1"/>
                        </w14:solidFill>
                      </w14:textFill>
                    </w:rPr>
                    <w:t>t/d</w:t>
                  </w:r>
                  <w:r>
                    <w:rPr>
                      <w:rFonts w:hint="default" w:ascii="Times New Roman" w:hAnsi="Times New Roman" w:eastAsia="宋体" w:cs="Times New Roman"/>
                      <w:bCs/>
                      <w:color w:val="000000" w:themeColor="text1"/>
                      <w:szCs w:val="21"/>
                      <w:highlight w:val="none"/>
                      <w:lang w:eastAsia="zh-CN"/>
                      <w14:textFill>
                        <w14:solidFill>
                          <w14:schemeClr w14:val="tx1"/>
                        </w14:solidFill>
                      </w14:textFill>
                    </w:rPr>
                    <w:t>（以玉米计），</w:t>
                  </w:r>
                  <w:r>
                    <w:rPr>
                      <w:rFonts w:hint="default" w:ascii="Times New Roman" w:hAnsi="Times New Roman" w:eastAsia="宋体" w:cs="Times New Roman"/>
                      <w:bCs/>
                      <w:color w:val="000000" w:themeColor="text1"/>
                      <w:szCs w:val="21"/>
                      <w:highlight w:val="none"/>
                      <w14:textFill>
                        <w14:solidFill>
                          <w14:schemeClr w14:val="tx1"/>
                        </w14:solidFill>
                      </w14:textFill>
                    </w:rPr>
                    <w:t>配套1台</w:t>
                  </w:r>
                  <w:r>
                    <w:rPr>
                      <w:rFonts w:hint="eastAsia" w:cs="Times New Roman"/>
                      <w:bCs/>
                      <w:color w:val="000000" w:themeColor="text1"/>
                      <w:szCs w:val="21"/>
                      <w:highlight w:val="none"/>
                      <w:lang w:val="en-US" w:eastAsia="zh-CN"/>
                      <w14:textFill>
                        <w14:solidFill>
                          <w14:schemeClr w14:val="tx1"/>
                        </w14:solidFill>
                      </w14:textFill>
                    </w:rPr>
                    <w:t>240万大卡</w:t>
                  </w:r>
                  <w:r>
                    <w:rPr>
                      <w:rFonts w:hint="default" w:ascii="Times New Roman" w:hAnsi="Times New Roman" w:eastAsia="宋体" w:cs="Times New Roman"/>
                      <w:bCs/>
                      <w:color w:val="000000" w:themeColor="text1"/>
                      <w:szCs w:val="21"/>
                      <w:highlight w:val="none"/>
                      <w14:textFill>
                        <w14:solidFill>
                          <w14:schemeClr w14:val="tx1"/>
                        </w14:solidFill>
                      </w14:textFill>
                    </w:rPr>
                    <w:t>的燃</w:t>
                  </w:r>
                  <w:r>
                    <w:rPr>
                      <w:rFonts w:hint="eastAsia" w:ascii="Times New Roman" w:hAnsi="Times New Roman" w:eastAsia="宋体" w:cs="Times New Roman"/>
                      <w:bCs/>
                      <w:color w:val="000000" w:themeColor="text1"/>
                      <w:szCs w:val="21"/>
                      <w:highlight w:val="none"/>
                      <w:lang w:val="en-US" w:eastAsia="zh-CN"/>
                      <w14:textFill>
                        <w14:solidFill>
                          <w14:schemeClr w14:val="tx1"/>
                        </w14:solidFill>
                      </w14:textFill>
                    </w:rPr>
                    <w:t>煤</w:t>
                  </w:r>
                  <w:r>
                    <w:rPr>
                      <w:rFonts w:hint="default" w:ascii="Times New Roman" w:hAnsi="Times New Roman" w:eastAsia="宋体" w:cs="Times New Roman"/>
                      <w:bCs/>
                      <w:color w:val="000000" w:themeColor="text1"/>
                      <w:szCs w:val="21"/>
                      <w:highlight w:val="none"/>
                      <w14:textFill>
                        <w14:solidFill>
                          <w14:schemeClr w14:val="tx1"/>
                        </w14:solidFill>
                      </w14:textFill>
                    </w:rPr>
                    <w:t>热风炉，</w:t>
                  </w:r>
                  <w:r>
                    <w:rPr>
                      <w:rFonts w:hint="eastAsia" w:cs="Times New Roman"/>
                      <w:bCs/>
                      <w:color w:val="000000" w:themeColor="text1"/>
                      <w:szCs w:val="21"/>
                      <w:highlight w:val="none"/>
                      <w:lang w:val="en-US" w:eastAsia="zh-CN"/>
                      <w14:textFill>
                        <w14:solidFill>
                          <w14:schemeClr w14:val="tx1"/>
                        </w14:solidFill>
                      </w14:textFill>
                    </w:rPr>
                    <w:t>烟囱</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高约</w:t>
                  </w:r>
                  <w:r>
                    <w:rPr>
                      <w:rFonts w:hint="eastAsia" w:cs="Times New Roman"/>
                      <w:bCs/>
                      <w:color w:val="000000" w:themeColor="text1"/>
                      <w:szCs w:val="21"/>
                      <w:highlight w:val="none"/>
                      <w:lang w:val="en-US" w:eastAsia="zh-CN"/>
                      <w14:textFill>
                        <w14:solidFill>
                          <w14:schemeClr w14:val="tx1"/>
                        </w14:solidFill>
                      </w14:textFill>
                    </w:rPr>
                    <w:t>15</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m</w:t>
                  </w:r>
                </w:p>
              </w:tc>
            </w:tr>
            <w:tr w14:paraId="3DD43DE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64" w:hRule="atLeast"/>
                <w:jc w:val="center"/>
              </w:trPr>
              <w:tc>
                <w:tcPr>
                  <w:tcW w:w="964" w:type="dxa"/>
                  <w:vMerge w:val="continue"/>
                  <w:shd w:val="clear" w:color="auto" w:fill="auto"/>
                  <w:vAlign w:val="center"/>
                </w:tcPr>
                <w:p w14:paraId="01AB971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14:textFill>
                        <w14:solidFill>
                          <w14:schemeClr w14:val="tx1"/>
                        </w14:solidFill>
                      </w14:textFill>
                    </w:rPr>
                  </w:pPr>
                </w:p>
              </w:tc>
              <w:tc>
                <w:tcPr>
                  <w:tcW w:w="1040" w:type="dxa"/>
                  <w:shd w:val="clear" w:color="auto" w:fill="FFFFFF"/>
                  <w:vAlign w:val="center"/>
                </w:tcPr>
                <w:p w14:paraId="29C92BC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锅炉房</w:t>
                  </w:r>
                </w:p>
              </w:tc>
              <w:tc>
                <w:tcPr>
                  <w:tcW w:w="5878" w:type="dxa"/>
                  <w:shd w:val="clear" w:color="auto" w:fill="FFFFFF"/>
                  <w:vAlign w:val="center"/>
                </w:tcPr>
                <w:p w14:paraId="7BC284D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eastAsia="zh-CN"/>
                      <w14:textFill>
                        <w14:solidFill>
                          <w14:schemeClr w14:val="tx1"/>
                        </w14:solidFill>
                      </w14:textFill>
                    </w:rPr>
                  </w:pPr>
                  <w:r>
                    <w:rPr>
                      <w:rFonts w:hint="eastAsia" w:cs="Times New Roman"/>
                      <w:bCs/>
                      <w:color w:val="000000" w:themeColor="text1"/>
                      <w:szCs w:val="21"/>
                      <w:highlight w:val="none"/>
                      <w:lang w:eastAsia="zh-CN"/>
                      <w14:textFill>
                        <w14:solidFill>
                          <w14:schemeClr w14:val="tx1"/>
                        </w14:solidFill>
                      </w14:textFill>
                    </w:rPr>
                    <w:t>一层砖木结构，</w:t>
                  </w:r>
                  <w:r>
                    <w:rPr>
                      <w:rFonts w:hint="default" w:ascii="Times New Roman" w:hAnsi="Times New Roman" w:eastAsia="宋体" w:cs="Times New Roman"/>
                      <w:bCs/>
                      <w:color w:val="000000" w:themeColor="text1"/>
                      <w:szCs w:val="21"/>
                      <w:highlight w:val="none"/>
                      <w14:textFill>
                        <w14:solidFill>
                          <w14:schemeClr w14:val="tx1"/>
                        </w14:solidFill>
                      </w14:textFill>
                    </w:rPr>
                    <w:t>建筑面积</w:t>
                  </w:r>
                  <w:r>
                    <w:rPr>
                      <w:rFonts w:hint="eastAsia" w:cs="Times New Roman"/>
                      <w:bCs/>
                      <w:color w:val="000000" w:themeColor="text1"/>
                      <w:szCs w:val="21"/>
                      <w:highlight w:val="none"/>
                      <w:lang w:val="en-US" w:eastAsia="zh-CN"/>
                      <w14:textFill>
                        <w14:solidFill>
                          <w14:schemeClr w14:val="tx1"/>
                        </w14:solidFill>
                      </w14:textFill>
                    </w:rPr>
                    <w:t>300</w:t>
                  </w:r>
                  <w:r>
                    <w:rPr>
                      <w:rFonts w:hint="default" w:ascii="Times New Roman" w:hAnsi="Times New Roman" w:eastAsia="宋体" w:cs="Times New Roman"/>
                      <w:color w:val="000000" w:themeColor="text1"/>
                      <w:szCs w:val="21"/>
                      <w:highlight w:val="none"/>
                      <w14:textFill>
                        <w14:solidFill>
                          <w14:schemeClr w14:val="tx1"/>
                        </w14:solidFill>
                      </w14:textFill>
                    </w:rPr>
                    <w:t>m</w:t>
                  </w:r>
                  <w:r>
                    <w:rPr>
                      <w:rFonts w:hint="default" w:ascii="Times New Roman" w:hAnsi="Times New Roman" w:eastAsia="宋体" w:cs="Times New Roman"/>
                      <w:color w:val="000000" w:themeColor="text1"/>
                      <w:szCs w:val="21"/>
                      <w:highlight w:val="none"/>
                      <w:vertAlign w:val="superscript"/>
                      <w14:textFill>
                        <w14:solidFill>
                          <w14:schemeClr w14:val="tx1"/>
                        </w14:solidFill>
                      </w14:textFill>
                    </w:rPr>
                    <w:t>2</w:t>
                  </w:r>
                  <w:r>
                    <w:rPr>
                      <w:rFonts w:hint="default" w:ascii="Times New Roman" w:hAnsi="Times New Roman" w:eastAsia="宋体" w:cs="Times New Roman"/>
                      <w:bCs/>
                      <w:color w:val="000000" w:themeColor="text1"/>
                      <w:szCs w:val="21"/>
                      <w:highlight w:val="none"/>
                      <w14:textFill>
                        <w14:solidFill>
                          <w14:schemeClr w14:val="tx1"/>
                        </w14:solidFill>
                      </w14:textFill>
                    </w:rPr>
                    <w:t>，内设1台</w:t>
                  </w:r>
                  <w:r>
                    <w:rPr>
                      <w:rFonts w:hint="eastAsia" w:cs="Times New Roman"/>
                      <w:bCs/>
                      <w:color w:val="000000" w:themeColor="text1"/>
                      <w:szCs w:val="21"/>
                      <w:highlight w:val="none"/>
                      <w:lang w:val="en-US" w:eastAsia="zh-CN"/>
                      <w14:textFill>
                        <w14:solidFill>
                          <w14:schemeClr w14:val="tx1"/>
                        </w14:solidFill>
                      </w14:textFill>
                    </w:rPr>
                    <w:t>240万大卡</w:t>
                  </w:r>
                  <w:r>
                    <w:rPr>
                      <w:rFonts w:hint="eastAsia" w:ascii="Times New Roman" w:hAnsi="Times New Roman" w:eastAsia="宋体" w:cs="Times New Roman"/>
                      <w:bCs/>
                      <w:color w:val="000000" w:themeColor="text1"/>
                      <w:szCs w:val="21"/>
                      <w:highlight w:val="none"/>
                      <w:lang w:val="en-US" w:eastAsia="zh-CN"/>
                      <w14:textFill>
                        <w14:solidFill>
                          <w14:schemeClr w14:val="tx1"/>
                        </w14:solidFill>
                      </w14:textFill>
                    </w:rPr>
                    <w:t>燃煤</w:t>
                  </w:r>
                  <w:r>
                    <w:rPr>
                      <w:rFonts w:hint="default" w:ascii="Times New Roman" w:hAnsi="Times New Roman" w:eastAsia="宋体" w:cs="Times New Roman"/>
                      <w:bCs/>
                      <w:color w:val="000000" w:themeColor="text1"/>
                      <w:szCs w:val="21"/>
                      <w:highlight w:val="none"/>
                      <w14:textFill>
                        <w14:solidFill>
                          <w14:schemeClr w14:val="tx1"/>
                        </w14:solidFill>
                      </w14:textFill>
                    </w:rPr>
                    <w:t>热风炉</w:t>
                  </w:r>
                </w:p>
              </w:tc>
            </w:tr>
            <w:tr w14:paraId="1BDFDE2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08" w:hRule="atLeast"/>
                <w:jc w:val="center"/>
              </w:trPr>
              <w:tc>
                <w:tcPr>
                  <w:tcW w:w="964" w:type="dxa"/>
                  <w:vMerge w:val="restart"/>
                  <w:shd w:val="clear" w:color="auto" w:fill="auto"/>
                  <w:vAlign w:val="center"/>
                </w:tcPr>
                <w:p w14:paraId="68C97EC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储运工程</w:t>
                  </w:r>
                </w:p>
              </w:tc>
              <w:tc>
                <w:tcPr>
                  <w:tcW w:w="1040" w:type="dxa"/>
                  <w:shd w:val="clear" w:color="auto" w:fill="FFFFFF"/>
                  <w:vAlign w:val="center"/>
                </w:tcPr>
                <w:p w14:paraId="21A4A8F2">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燃料</w:t>
                  </w:r>
                  <w:r>
                    <w:rPr>
                      <w:rFonts w:hint="eastAsia" w:cs="Times New Roman"/>
                      <w:color w:val="000000" w:themeColor="text1"/>
                      <w:szCs w:val="21"/>
                      <w:highlight w:val="none"/>
                      <w:lang w:eastAsia="zh-CN"/>
                      <w14:textFill>
                        <w14:solidFill>
                          <w14:schemeClr w14:val="tx1"/>
                        </w14:solidFill>
                      </w14:textFill>
                    </w:rPr>
                    <w:t>间</w:t>
                  </w:r>
                </w:p>
              </w:tc>
              <w:tc>
                <w:tcPr>
                  <w:tcW w:w="5878" w:type="dxa"/>
                  <w:shd w:val="clear" w:color="auto" w:fill="FFFFFF"/>
                  <w:vAlign w:val="center"/>
                </w:tcPr>
                <w:p w14:paraId="54F9E3B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lang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位于</w:t>
                  </w:r>
                  <w:r>
                    <w:rPr>
                      <w:rFonts w:hint="eastAsia" w:cs="Times New Roman"/>
                      <w:bCs/>
                      <w:color w:val="000000" w:themeColor="text1"/>
                      <w:szCs w:val="21"/>
                      <w:highlight w:val="none"/>
                      <w:lang w:val="en-US" w:eastAsia="zh-CN"/>
                      <w14:textFill>
                        <w14:solidFill>
                          <w14:schemeClr w14:val="tx1"/>
                        </w14:solidFill>
                      </w14:textFill>
                    </w:rPr>
                    <w:t>锅炉房</w:t>
                  </w:r>
                  <w:r>
                    <w:rPr>
                      <w:rFonts w:hint="eastAsia" w:cs="Times New Roman"/>
                      <w:color w:val="000000" w:themeColor="text1"/>
                      <w:highlight w:val="none"/>
                      <w:lang w:val="en-US" w:eastAsia="zh-CN"/>
                      <w14:textFill>
                        <w14:solidFill>
                          <w14:schemeClr w14:val="tx1"/>
                        </w14:solidFill>
                      </w14:textFill>
                    </w:rPr>
                    <w:t>内</w:t>
                  </w:r>
                  <w:r>
                    <w:rPr>
                      <w:rFonts w:hint="default" w:ascii="Times New Roman" w:hAnsi="Times New Roman" w:eastAsia="宋体" w:cs="Times New Roman"/>
                      <w:bCs/>
                      <w:color w:val="000000" w:themeColor="text1"/>
                      <w:szCs w:val="21"/>
                      <w:highlight w:val="none"/>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密闭设计</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Cs w:val="21"/>
                      <w:highlight w:val="none"/>
                      <w14:textFill>
                        <w14:solidFill>
                          <w14:schemeClr w14:val="tx1"/>
                        </w14:solidFill>
                      </w14:textFill>
                    </w:rPr>
                    <w:t>建筑</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容积为</w:t>
                  </w:r>
                  <w:r>
                    <w:rPr>
                      <w:rFonts w:hint="eastAsia" w:cs="Times New Roman"/>
                      <w:bCs/>
                      <w:color w:val="000000" w:themeColor="text1"/>
                      <w:szCs w:val="21"/>
                      <w:highlight w:val="none"/>
                      <w:lang w:val="en-US" w:eastAsia="zh-CN"/>
                      <w14:textFill>
                        <w14:solidFill>
                          <w14:schemeClr w14:val="tx1"/>
                        </w14:solidFill>
                      </w14:textFill>
                    </w:rPr>
                    <w:t>1</w:t>
                  </w:r>
                  <w:r>
                    <w:rPr>
                      <w:rFonts w:hint="eastAsia" w:cs="Times New Roman"/>
                      <w:color w:val="000000" w:themeColor="text1"/>
                      <w:szCs w:val="21"/>
                      <w:highlight w:val="none"/>
                      <w:lang w:val="en-US" w:eastAsia="zh-CN"/>
                      <w14:textFill>
                        <w14:solidFill>
                          <w14:schemeClr w14:val="tx1"/>
                        </w14:solidFill>
                      </w14:textFill>
                    </w:rPr>
                    <w:t>50</w:t>
                  </w:r>
                  <w:r>
                    <w:rPr>
                      <w:rFonts w:hint="default" w:ascii="Times New Roman" w:hAnsi="Times New Roman" w:eastAsia="宋体" w:cs="Times New Roman"/>
                      <w:color w:val="000000" w:themeColor="text1"/>
                      <w:szCs w:val="21"/>
                      <w:highlight w:val="none"/>
                      <w14:textFill>
                        <w14:solidFill>
                          <w14:schemeClr w14:val="tx1"/>
                        </w14:solidFill>
                      </w14:textFill>
                    </w:rPr>
                    <w:t>m</w:t>
                  </w:r>
                  <w:r>
                    <w:rPr>
                      <w:rFonts w:hint="eastAsia" w:cs="Times New Roman"/>
                      <w:color w:val="000000" w:themeColor="text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Cs w:val="21"/>
                      <w:highlight w:val="none"/>
                      <w:vertAlign w:val="baseline"/>
                      <w:lang w:eastAsia="zh-CN"/>
                      <w14:textFill>
                        <w14:solidFill>
                          <w14:schemeClr w14:val="tx1"/>
                        </w14:solidFill>
                      </w14:textFill>
                    </w:rPr>
                    <w:t>，</w:t>
                  </w:r>
                  <w:r>
                    <w:rPr>
                      <w:rFonts w:hint="default" w:ascii="Times New Roman" w:hAnsi="Times New Roman" w:eastAsia="宋体" w:cs="Times New Roman"/>
                      <w:bCs/>
                      <w:color w:val="000000" w:themeColor="text1"/>
                      <w:szCs w:val="21"/>
                      <w:highlight w:val="none"/>
                      <w14:textFill>
                        <w14:solidFill>
                          <w14:schemeClr w14:val="tx1"/>
                        </w14:solidFill>
                      </w14:textFill>
                    </w:rPr>
                    <w:t>用于存放</w:t>
                  </w:r>
                  <w:r>
                    <w:rPr>
                      <w:rFonts w:hint="eastAsia" w:ascii="Times New Roman" w:hAnsi="Times New Roman" w:eastAsia="宋体" w:cs="Times New Roman"/>
                      <w:bCs/>
                      <w:color w:val="000000" w:themeColor="text1"/>
                      <w:szCs w:val="21"/>
                      <w:highlight w:val="none"/>
                      <w:lang w:val="en-US" w:eastAsia="zh-CN"/>
                      <w14:textFill>
                        <w14:solidFill>
                          <w14:schemeClr w14:val="tx1"/>
                        </w14:solidFill>
                      </w14:textFill>
                    </w:rPr>
                    <w:t>煤</w:t>
                  </w:r>
                  <w:r>
                    <w:rPr>
                      <w:rFonts w:hint="default" w:ascii="Times New Roman" w:hAnsi="Times New Roman" w:eastAsia="宋体" w:cs="Times New Roman"/>
                      <w:bCs/>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zCs w:val="21"/>
                      <w:highlight w:val="none"/>
                      <w14:textFill>
                        <w14:solidFill>
                          <w14:schemeClr w14:val="tx1"/>
                        </w14:solidFill>
                      </w14:textFill>
                    </w:rPr>
                    <w:t>最大储量为</w:t>
                  </w:r>
                  <w:r>
                    <w:rPr>
                      <w:rFonts w:hint="eastAsia" w:cs="Times New Roman"/>
                      <w:bCs/>
                      <w:color w:val="000000" w:themeColor="text1"/>
                      <w:szCs w:val="21"/>
                      <w:highlight w:val="none"/>
                      <w:lang w:val="en-US" w:eastAsia="zh-CN"/>
                      <w14:textFill>
                        <w14:solidFill>
                          <w14:schemeClr w14:val="tx1"/>
                        </w14:solidFill>
                      </w14:textFill>
                    </w:rPr>
                    <w:t>100</w:t>
                  </w:r>
                  <w:r>
                    <w:rPr>
                      <w:rFonts w:hint="default" w:ascii="Times New Roman" w:hAnsi="Times New Roman" w:eastAsia="宋体" w:cs="Times New Roman"/>
                      <w:bCs/>
                      <w:color w:val="000000" w:themeColor="text1"/>
                      <w:szCs w:val="21"/>
                      <w:highlight w:val="none"/>
                      <w14:textFill>
                        <w14:solidFill>
                          <w14:schemeClr w14:val="tx1"/>
                        </w14:solidFill>
                      </w14:textFill>
                    </w:rPr>
                    <w:t>t</w:t>
                  </w:r>
                </w:p>
              </w:tc>
            </w:tr>
            <w:tr w14:paraId="05B265B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71" w:hRule="atLeast"/>
                <w:jc w:val="center"/>
              </w:trPr>
              <w:tc>
                <w:tcPr>
                  <w:tcW w:w="964" w:type="dxa"/>
                  <w:vMerge w:val="continue"/>
                  <w:shd w:val="clear" w:color="auto" w:fill="auto"/>
                  <w:vAlign w:val="center"/>
                </w:tcPr>
                <w:p w14:paraId="3AE61A9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040" w:type="dxa"/>
                  <w:shd w:val="clear" w:color="auto" w:fill="FFFFFF"/>
                  <w:vAlign w:val="center"/>
                </w:tcPr>
                <w:p w14:paraId="3668E56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eastAsia="zh-CN"/>
                      <w14:textFill>
                        <w14:solidFill>
                          <w14:schemeClr w14:val="tx1"/>
                        </w14:solidFill>
                      </w14:textFill>
                    </w:rPr>
                    <w:t>灰渣</w:t>
                  </w:r>
                  <w:r>
                    <w:rPr>
                      <w:rFonts w:hint="eastAsia" w:cs="Times New Roman"/>
                      <w:color w:val="000000" w:themeColor="text1"/>
                      <w:szCs w:val="21"/>
                      <w:highlight w:val="none"/>
                      <w:lang w:val="en-US" w:eastAsia="zh-CN"/>
                      <w14:textFill>
                        <w14:solidFill>
                          <w14:schemeClr w14:val="tx1"/>
                        </w14:solidFill>
                      </w14:textFill>
                    </w:rPr>
                    <w:t>间</w:t>
                  </w:r>
                </w:p>
              </w:tc>
              <w:tc>
                <w:tcPr>
                  <w:tcW w:w="5878" w:type="dxa"/>
                  <w:shd w:val="clear" w:color="auto" w:fill="FFFFFF"/>
                  <w:vAlign w:val="center"/>
                </w:tcPr>
                <w:p w14:paraId="36EEE37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灰渣</w:t>
                  </w:r>
                  <w:r>
                    <w:rPr>
                      <w:rFonts w:hint="eastAsia" w:cs="Times New Roman"/>
                      <w:color w:val="000000" w:themeColor="text1"/>
                      <w:szCs w:val="21"/>
                      <w:highlight w:val="none"/>
                      <w:lang w:val="en-US" w:eastAsia="zh-CN"/>
                      <w14:textFill>
                        <w14:solidFill>
                          <w14:schemeClr w14:val="tx1"/>
                        </w14:solidFill>
                      </w14:textFill>
                    </w:rPr>
                    <w:t>间</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为</w:t>
                  </w:r>
                  <w:r>
                    <w:rPr>
                      <w:rFonts w:hint="default" w:ascii="Times New Roman" w:hAnsi="Times New Roman" w:eastAsia="宋体" w:cs="Times New Roman"/>
                      <w:color w:val="000000" w:themeColor="text1"/>
                      <w:highlight w:val="none"/>
                      <w:lang w:val="en-US" w:eastAsia="zh-CN"/>
                      <w14:textFill>
                        <w14:solidFill>
                          <w14:schemeClr w14:val="tx1"/>
                        </w14:solidFill>
                      </w14:textFill>
                    </w:rPr>
                    <w:t>独立、密闭设计，</w:t>
                  </w:r>
                  <w:r>
                    <w:rPr>
                      <w:rFonts w:hint="default" w:ascii="Times New Roman" w:hAnsi="Times New Roman" w:eastAsia="宋体" w:cs="Times New Roman"/>
                      <w:color w:val="000000" w:themeColor="text1"/>
                      <w:szCs w:val="21"/>
                      <w:highlight w:val="none"/>
                      <w14:textFill>
                        <w14:solidFill>
                          <w14:schemeClr w14:val="tx1"/>
                        </w14:solidFill>
                      </w14:textFill>
                    </w:rPr>
                    <w:t>建筑</w:t>
                  </w:r>
                  <w:r>
                    <w:rPr>
                      <w:rFonts w:hint="eastAsia" w:ascii="Times New Roman" w:hAnsi="Times New Roman" w:eastAsia="宋体" w:cs="Times New Roman"/>
                      <w:bCs/>
                      <w:color w:val="000000" w:themeColor="text1"/>
                      <w:szCs w:val="21"/>
                      <w:highlight w:val="none"/>
                      <w:lang w:val="en-US" w:eastAsia="zh-CN"/>
                      <w14:textFill>
                        <w14:solidFill>
                          <w14:schemeClr w14:val="tx1"/>
                        </w14:solidFill>
                      </w14:textFill>
                    </w:rPr>
                    <w:t>面积</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为</w:t>
                  </w:r>
                  <w:r>
                    <w:rPr>
                      <w:rFonts w:hint="eastAsia" w:cs="Times New Roman"/>
                      <w:color w:val="000000" w:themeColor="text1"/>
                      <w:szCs w:val="21"/>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00</w:t>
                  </w:r>
                  <w:r>
                    <w:rPr>
                      <w:rFonts w:hint="default" w:ascii="Times New Roman" w:hAnsi="Times New Roman" w:eastAsia="宋体" w:cs="Times New Roman"/>
                      <w:color w:val="000000" w:themeColor="text1"/>
                      <w:szCs w:val="21"/>
                      <w:highlight w:val="none"/>
                      <w14:textFill>
                        <w14:solidFill>
                          <w14:schemeClr w14:val="tx1"/>
                        </w14:solidFill>
                      </w14:textFill>
                    </w:rPr>
                    <w:t>m</w:t>
                  </w:r>
                  <w:r>
                    <w:rPr>
                      <w:rFonts w:hint="eastAsia" w:ascii="Times New Roman" w:hAnsi="Times New Roman" w:eastAsia="宋体" w:cs="Times New Roman"/>
                      <w:color w:val="000000" w:themeColor="text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Cs w:val="21"/>
                      <w:highlight w:val="none"/>
                      <w14:textFill>
                        <w14:solidFill>
                          <w14:schemeClr w14:val="tx1"/>
                        </w14:solidFill>
                      </w14:textFill>
                    </w:rPr>
                    <w:t>，用于存放灰渣，最大储量为</w:t>
                  </w:r>
                  <w:r>
                    <w:rPr>
                      <w:rFonts w:hint="eastAsia" w:cs="Times New Roman"/>
                      <w:color w:val="000000" w:themeColor="text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00</w:t>
                  </w:r>
                  <w:r>
                    <w:rPr>
                      <w:rFonts w:hint="default" w:ascii="Times New Roman" w:hAnsi="Times New Roman" w:eastAsia="宋体" w:cs="Times New Roman"/>
                      <w:color w:val="000000" w:themeColor="text1"/>
                      <w:szCs w:val="21"/>
                      <w:highlight w:val="none"/>
                      <w14:textFill>
                        <w14:solidFill>
                          <w14:schemeClr w14:val="tx1"/>
                        </w14:solidFill>
                      </w14:textFill>
                    </w:rPr>
                    <w:t>t</w:t>
                  </w:r>
                </w:p>
              </w:tc>
            </w:tr>
            <w:tr w14:paraId="6B7572D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82" w:hRule="atLeast"/>
                <w:jc w:val="center"/>
              </w:trPr>
              <w:tc>
                <w:tcPr>
                  <w:tcW w:w="964" w:type="dxa"/>
                  <w:vMerge w:val="continue"/>
                  <w:shd w:val="clear" w:color="auto" w:fill="auto"/>
                  <w:vAlign w:val="center"/>
                </w:tcPr>
                <w:p w14:paraId="2B81BDF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040" w:type="dxa"/>
                  <w:shd w:val="clear" w:color="auto" w:fill="FFFFFF"/>
                  <w:vAlign w:val="center"/>
                </w:tcPr>
                <w:p w14:paraId="073CB882">
                  <w:pPr>
                    <w:keepNext w:val="0"/>
                    <w:keepLines w:val="0"/>
                    <w:suppressLineNumbers w:val="0"/>
                    <w:spacing w:before="0" w:beforeAutospacing="0" w:after="0" w:afterAutospacing="0" w:line="240" w:lineRule="auto"/>
                    <w:ind w:left="0" w:right="0"/>
                    <w:jc w:val="center"/>
                    <w:rPr>
                      <w:rFonts w:hint="default" w:cs="Times New Roman"/>
                      <w:bCs/>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Cs w:val="21"/>
                      <w:highlight w:val="none"/>
                      <w:lang w:val="en-US" w:eastAsia="zh-CN"/>
                      <w14:textFill>
                        <w14:solidFill>
                          <w14:schemeClr w14:val="tx1"/>
                        </w14:solidFill>
                      </w14:textFill>
                    </w:rPr>
                    <w:t>平房仓</w:t>
                  </w:r>
                </w:p>
              </w:tc>
              <w:tc>
                <w:tcPr>
                  <w:tcW w:w="5878" w:type="dxa"/>
                  <w:shd w:val="clear" w:color="auto" w:fill="FFFFFF"/>
                  <w:vAlign w:val="center"/>
                </w:tcPr>
                <w:p w14:paraId="61D4ACF9">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Cs w:val="21"/>
                      <w:highlight w:val="none"/>
                      <w:lang w:val="en-US" w:eastAsia="zh-CN"/>
                      <w14:textFill>
                        <w14:solidFill>
                          <w14:schemeClr w14:val="tx1"/>
                        </w14:solidFill>
                      </w14:textFill>
                    </w:rPr>
                    <w:t>平房仓位于厂区西侧，彩钢结构，建筑面积为2000m</w:t>
                  </w:r>
                  <w:r>
                    <w:rPr>
                      <w:rFonts w:hint="eastAsia" w:ascii="Times New Roman" w:hAnsi="Times New Roman" w:eastAsia="宋体" w:cs="Times New Roman"/>
                      <w:bCs/>
                      <w:color w:val="000000" w:themeColor="text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bCs/>
                      <w:color w:val="000000" w:themeColor="text1"/>
                      <w:szCs w:val="21"/>
                      <w:highlight w:val="none"/>
                      <w:lang w:val="en-US" w:eastAsia="zh-CN"/>
                      <w14:textFill>
                        <w14:solidFill>
                          <w14:schemeClr w14:val="tx1"/>
                        </w14:solidFill>
                      </w14:textFill>
                    </w:rPr>
                    <w:t>，高度约6m，仓容为10000t，用于存干粮</w:t>
                  </w:r>
                </w:p>
              </w:tc>
            </w:tr>
            <w:tr w14:paraId="13D554C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52" w:hRule="atLeast"/>
                <w:jc w:val="center"/>
              </w:trPr>
              <w:tc>
                <w:tcPr>
                  <w:tcW w:w="964" w:type="dxa"/>
                  <w:vMerge w:val="restart"/>
                  <w:shd w:val="clear" w:color="auto" w:fill="auto"/>
                  <w:vAlign w:val="center"/>
                </w:tcPr>
                <w:p w14:paraId="77AB6DA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辅助工程</w:t>
                  </w:r>
                </w:p>
              </w:tc>
              <w:tc>
                <w:tcPr>
                  <w:tcW w:w="1040" w:type="dxa"/>
                  <w:tcBorders>
                    <w:top w:val="single" w:color="auto" w:sz="4" w:space="0"/>
                  </w:tcBorders>
                  <w:shd w:val="clear" w:color="auto" w:fill="FFFFFF"/>
                  <w:vAlign w:val="center"/>
                </w:tcPr>
                <w:p w14:paraId="7170814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办公室</w:t>
                  </w:r>
                </w:p>
              </w:tc>
              <w:tc>
                <w:tcPr>
                  <w:tcW w:w="5878" w:type="dxa"/>
                  <w:tcBorders>
                    <w:top w:val="single" w:color="auto" w:sz="4" w:space="0"/>
                  </w:tcBorders>
                  <w:shd w:val="clear" w:color="auto" w:fill="FFFFFF"/>
                  <w:vAlign w:val="center"/>
                </w:tcPr>
                <w:p w14:paraId="71B7BD6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一层</w:t>
                  </w:r>
                  <w:r>
                    <w:rPr>
                      <w:rFonts w:hint="eastAsia" w:cs="Times New Roman"/>
                      <w:bCs/>
                      <w:color w:val="000000" w:themeColor="text1"/>
                      <w:szCs w:val="21"/>
                      <w:highlight w:val="none"/>
                      <w:lang w:eastAsia="zh-CN"/>
                      <w14:textFill>
                        <w14:solidFill>
                          <w14:schemeClr w14:val="tx1"/>
                        </w14:solidFill>
                      </w14:textFill>
                    </w:rPr>
                    <w:t>砖木结构</w:t>
                  </w:r>
                  <w:r>
                    <w:rPr>
                      <w:rFonts w:hint="eastAsia" w:cs="Times New Roman"/>
                      <w:bCs/>
                      <w:color w:val="000000" w:themeColor="text1"/>
                      <w:szCs w:val="21"/>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建筑面积</w:t>
                  </w:r>
                  <w:r>
                    <w:rPr>
                      <w:rFonts w:hint="eastAsia" w:cs="Times New Roman"/>
                      <w:bCs/>
                      <w:color w:val="000000" w:themeColor="text1"/>
                      <w:szCs w:val="21"/>
                      <w:highlight w:val="none"/>
                      <w:lang w:val="en-US" w:eastAsia="zh-CN"/>
                      <w14:textFill>
                        <w14:solidFill>
                          <w14:schemeClr w14:val="tx1"/>
                        </w14:solidFill>
                      </w14:textFill>
                    </w:rPr>
                    <w:t>240</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m</w:t>
                  </w:r>
                  <w:r>
                    <w:rPr>
                      <w:rFonts w:hint="default" w:ascii="Times New Roman" w:hAnsi="Times New Roman" w:eastAsia="宋体" w:cs="Times New Roman"/>
                      <w:bCs/>
                      <w:color w:val="000000" w:themeColor="text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bCs/>
                      <w:color w:val="000000" w:themeColor="text1"/>
                      <w:szCs w:val="21"/>
                      <w:highlight w:val="none"/>
                      <w:vertAlign w:val="baseline"/>
                      <w:lang w:val="en-US" w:eastAsia="zh-CN"/>
                      <w14:textFill>
                        <w14:solidFill>
                          <w14:schemeClr w14:val="tx1"/>
                        </w14:solidFill>
                      </w14:textFill>
                    </w:rPr>
                    <w:t>，用于企业办公</w:t>
                  </w:r>
                  <w:r>
                    <w:rPr>
                      <w:rFonts w:hint="eastAsia" w:cs="Times New Roman"/>
                      <w:bCs/>
                      <w:color w:val="000000" w:themeColor="text1"/>
                      <w:szCs w:val="21"/>
                      <w:highlight w:val="none"/>
                      <w:vertAlign w:val="baseline"/>
                      <w:lang w:val="en-US" w:eastAsia="zh-CN"/>
                      <w14:textFill>
                        <w14:solidFill>
                          <w14:schemeClr w14:val="tx1"/>
                        </w14:solidFill>
                      </w14:textFill>
                    </w:rPr>
                    <w:t>、员工休息</w:t>
                  </w:r>
                </w:p>
              </w:tc>
            </w:tr>
            <w:tr w14:paraId="797048F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52" w:hRule="atLeast"/>
                <w:jc w:val="center"/>
              </w:trPr>
              <w:tc>
                <w:tcPr>
                  <w:tcW w:w="964" w:type="dxa"/>
                  <w:vMerge w:val="continue"/>
                  <w:shd w:val="clear" w:color="auto" w:fill="auto"/>
                  <w:vAlign w:val="center"/>
                </w:tcPr>
                <w:p w14:paraId="4F74EDE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c>
                <w:tcPr>
                  <w:tcW w:w="1040" w:type="dxa"/>
                  <w:tcBorders>
                    <w:top w:val="single" w:color="auto" w:sz="4" w:space="0"/>
                  </w:tcBorders>
                  <w:shd w:val="clear" w:color="auto" w:fill="FFFFFF"/>
                  <w:vAlign w:val="center"/>
                </w:tcPr>
                <w:p w14:paraId="5688B60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门卫</w:t>
                  </w:r>
                </w:p>
              </w:tc>
              <w:tc>
                <w:tcPr>
                  <w:tcW w:w="5878" w:type="dxa"/>
                  <w:tcBorders>
                    <w:top w:val="single" w:color="auto" w:sz="4" w:space="0"/>
                  </w:tcBorders>
                  <w:shd w:val="clear" w:color="auto" w:fill="FFFFFF"/>
                  <w:vAlign w:val="center"/>
                </w:tcPr>
                <w:p w14:paraId="242D25F5">
                  <w:pPr>
                    <w:keepNext w:val="0"/>
                    <w:keepLines w:val="0"/>
                    <w:suppressLineNumbers w:val="0"/>
                    <w:spacing w:before="0" w:beforeAutospacing="0" w:after="0" w:afterAutospacing="0" w:line="240" w:lineRule="auto"/>
                    <w:ind w:left="0" w:right="0"/>
                    <w:jc w:val="center"/>
                    <w:rPr>
                      <w:rFonts w:hint="default" w:cs="Times New Roman"/>
                      <w:bCs/>
                      <w:color w:val="000000" w:themeColor="text1"/>
                      <w:szCs w:val="21"/>
                      <w:highlight w:val="none"/>
                      <w:lang w:val="en-US" w:eastAsia="zh-CN"/>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一层</w:t>
                  </w:r>
                  <w:r>
                    <w:rPr>
                      <w:rFonts w:hint="eastAsia" w:cs="Times New Roman"/>
                      <w:bCs/>
                      <w:color w:val="000000" w:themeColor="text1"/>
                      <w:szCs w:val="21"/>
                      <w:highlight w:val="none"/>
                      <w:lang w:eastAsia="zh-CN"/>
                      <w14:textFill>
                        <w14:solidFill>
                          <w14:schemeClr w14:val="tx1"/>
                        </w14:solidFill>
                      </w14:textFill>
                    </w:rPr>
                    <w:t>砖木结构</w:t>
                  </w:r>
                  <w:r>
                    <w:rPr>
                      <w:rFonts w:hint="eastAsia" w:cs="Times New Roman"/>
                      <w:bCs/>
                      <w:color w:val="000000" w:themeColor="text1"/>
                      <w:szCs w:val="21"/>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建筑面积</w:t>
                  </w:r>
                  <w:r>
                    <w:rPr>
                      <w:rFonts w:hint="eastAsia" w:cs="Times New Roman"/>
                      <w:bCs/>
                      <w:color w:val="000000" w:themeColor="text1"/>
                      <w:szCs w:val="21"/>
                      <w:highlight w:val="none"/>
                      <w:lang w:val="en-US" w:eastAsia="zh-CN"/>
                      <w14:textFill>
                        <w14:solidFill>
                          <w14:schemeClr w14:val="tx1"/>
                        </w14:solidFill>
                      </w14:textFill>
                    </w:rPr>
                    <w:t>40</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m</w:t>
                  </w:r>
                  <w:r>
                    <w:rPr>
                      <w:rFonts w:hint="default" w:ascii="Times New Roman" w:hAnsi="Times New Roman" w:eastAsia="宋体" w:cs="Times New Roman"/>
                      <w:bCs/>
                      <w:color w:val="000000" w:themeColor="text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bCs/>
                      <w:color w:val="000000" w:themeColor="text1"/>
                      <w:szCs w:val="21"/>
                      <w:highlight w:val="none"/>
                      <w:vertAlign w:val="baseline"/>
                      <w:lang w:val="en-US" w:eastAsia="zh-CN"/>
                      <w14:textFill>
                        <w14:solidFill>
                          <w14:schemeClr w14:val="tx1"/>
                        </w14:solidFill>
                      </w14:textFill>
                    </w:rPr>
                    <w:t>，用于</w:t>
                  </w:r>
                  <w:r>
                    <w:rPr>
                      <w:rFonts w:hint="eastAsia" w:cs="Times New Roman"/>
                      <w:bCs/>
                      <w:color w:val="000000" w:themeColor="text1"/>
                      <w:szCs w:val="21"/>
                      <w:highlight w:val="none"/>
                      <w:vertAlign w:val="baseline"/>
                      <w:lang w:val="en-US" w:eastAsia="zh-CN"/>
                      <w14:textFill>
                        <w14:solidFill>
                          <w14:schemeClr w14:val="tx1"/>
                        </w14:solidFill>
                      </w14:textFill>
                    </w:rPr>
                    <w:t>值班休息</w:t>
                  </w:r>
                </w:p>
              </w:tc>
            </w:tr>
            <w:tr w14:paraId="7168F88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84" w:hRule="atLeast"/>
                <w:jc w:val="center"/>
              </w:trPr>
              <w:tc>
                <w:tcPr>
                  <w:tcW w:w="964" w:type="dxa"/>
                  <w:vMerge w:val="continue"/>
                  <w:shd w:val="clear" w:color="auto" w:fill="auto"/>
                  <w:vAlign w:val="center"/>
                </w:tcPr>
                <w:p w14:paraId="0FC2322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c>
                <w:tcPr>
                  <w:tcW w:w="1040" w:type="dxa"/>
                  <w:tcBorders>
                    <w:top w:val="single" w:color="auto" w:sz="4" w:space="0"/>
                  </w:tcBorders>
                  <w:shd w:val="clear" w:color="auto" w:fill="FFFFFF"/>
                  <w:vAlign w:val="center"/>
                </w:tcPr>
                <w:p w14:paraId="2D41F31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库房</w:t>
                  </w:r>
                </w:p>
              </w:tc>
              <w:tc>
                <w:tcPr>
                  <w:tcW w:w="5878" w:type="dxa"/>
                  <w:tcBorders>
                    <w:top w:val="single" w:color="auto" w:sz="4" w:space="0"/>
                  </w:tcBorders>
                  <w:shd w:val="clear" w:color="auto" w:fill="FFFFFF"/>
                  <w:vAlign w:val="center"/>
                </w:tcPr>
                <w:p w14:paraId="4A2597D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库房位于平房仓东侧，一层</w:t>
                  </w:r>
                  <w:r>
                    <w:rPr>
                      <w:rFonts w:hint="eastAsia" w:cs="Times New Roman"/>
                      <w:bCs/>
                      <w:color w:val="000000" w:themeColor="text1"/>
                      <w:szCs w:val="21"/>
                      <w:highlight w:val="none"/>
                      <w:lang w:eastAsia="zh-CN"/>
                      <w14:textFill>
                        <w14:solidFill>
                          <w14:schemeClr w14:val="tx1"/>
                        </w14:solidFill>
                      </w14:textFill>
                    </w:rPr>
                    <w:t>砖木结构</w:t>
                  </w:r>
                  <w:r>
                    <w:rPr>
                      <w:rFonts w:hint="eastAsia" w:cs="Times New Roman"/>
                      <w:bCs/>
                      <w:color w:val="000000" w:themeColor="text1"/>
                      <w:szCs w:val="21"/>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建筑面积</w:t>
                  </w:r>
                  <w:r>
                    <w:rPr>
                      <w:rFonts w:hint="eastAsia" w:cs="Times New Roman"/>
                      <w:bCs/>
                      <w:color w:val="000000" w:themeColor="text1"/>
                      <w:szCs w:val="21"/>
                      <w:highlight w:val="none"/>
                      <w:lang w:val="en-US" w:eastAsia="zh-CN"/>
                      <w14:textFill>
                        <w14:solidFill>
                          <w14:schemeClr w14:val="tx1"/>
                        </w14:solidFill>
                      </w14:textFill>
                    </w:rPr>
                    <w:t>200</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m</w:t>
                  </w:r>
                  <w:r>
                    <w:rPr>
                      <w:rFonts w:hint="default" w:ascii="Times New Roman" w:hAnsi="Times New Roman" w:eastAsia="宋体" w:cs="Times New Roman"/>
                      <w:bCs/>
                      <w:color w:val="000000" w:themeColor="text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bCs/>
                      <w:color w:val="000000" w:themeColor="text1"/>
                      <w:szCs w:val="21"/>
                      <w:highlight w:val="none"/>
                      <w:lang w:val="en-US" w:eastAsia="zh-CN"/>
                      <w14:textFill>
                        <w14:solidFill>
                          <w14:schemeClr w14:val="tx1"/>
                        </w14:solidFill>
                      </w14:textFill>
                    </w:rPr>
                    <w:t>，用于堆放闲置物品</w:t>
                  </w:r>
                </w:p>
              </w:tc>
            </w:tr>
            <w:tr w14:paraId="3FD9F8E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1" w:hRule="atLeast"/>
                <w:jc w:val="center"/>
              </w:trPr>
              <w:tc>
                <w:tcPr>
                  <w:tcW w:w="964" w:type="dxa"/>
                  <w:vMerge w:val="restart"/>
                  <w:vAlign w:val="center"/>
                </w:tcPr>
                <w:p w14:paraId="525A1C2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公用工程</w:t>
                  </w:r>
                </w:p>
              </w:tc>
              <w:tc>
                <w:tcPr>
                  <w:tcW w:w="1040" w:type="dxa"/>
                  <w:vAlign w:val="center"/>
                </w:tcPr>
                <w:p w14:paraId="59867F0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供水</w:t>
                  </w:r>
                </w:p>
              </w:tc>
              <w:tc>
                <w:tcPr>
                  <w:tcW w:w="5878" w:type="dxa"/>
                  <w:vAlign w:val="center"/>
                </w:tcPr>
                <w:p w14:paraId="1A356CD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由厂区自打水井供给</w:t>
                  </w:r>
                </w:p>
              </w:tc>
            </w:tr>
            <w:tr w14:paraId="1744CA2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964" w:type="dxa"/>
                  <w:vMerge w:val="continue"/>
                  <w:shd w:val="clear" w:color="auto" w:fill="auto"/>
                  <w:vAlign w:val="center"/>
                </w:tcPr>
                <w:p w14:paraId="61AA908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040" w:type="dxa"/>
                  <w:shd w:val="clear" w:color="auto" w:fill="FFFFFF"/>
                  <w:vAlign w:val="center"/>
                </w:tcPr>
                <w:p w14:paraId="67A0257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排水</w:t>
                  </w:r>
                </w:p>
              </w:tc>
              <w:tc>
                <w:tcPr>
                  <w:tcW w:w="5878" w:type="dxa"/>
                  <w:shd w:val="clear" w:color="auto" w:fill="FFFFFF"/>
                  <w:vAlign w:val="center"/>
                </w:tcPr>
                <w:p w14:paraId="5FDDE3E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本项目无生产用水，生活污水排入防渗旱厕</w:t>
                  </w:r>
                  <w:r>
                    <w:rPr>
                      <w:rFonts w:hint="eastAsia" w:cs="Times New Roman"/>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1"/>
                      <w:highlight w:val="none"/>
                      <w14:textFill>
                        <w14:solidFill>
                          <w14:schemeClr w14:val="tx1"/>
                        </w14:solidFill>
                      </w14:textFill>
                    </w:rPr>
                    <w:t>定期清掏</w:t>
                  </w:r>
                  <w:r>
                    <w:rPr>
                      <w:rFonts w:hint="eastAsia" w:cs="Times New Roman"/>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1"/>
                      <w:highlight w:val="none"/>
                      <w14:textFill>
                        <w14:solidFill>
                          <w14:schemeClr w14:val="tx1"/>
                        </w14:solidFill>
                      </w14:textFill>
                    </w:rPr>
                    <w:t>外运堆肥</w:t>
                  </w:r>
                </w:p>
              </w:tc>
            </w:tr>
            <w:tr w14:paraId="7C66A83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57" w:hRule="atLeast"/>
                <w:jc w:val="center"/>
              </w:trPr>
              <w:tc>
                <w:tcPr>
                  <w:tcW w:w="964" w:type="dxa"/>
                  <w:vMerge w:val="continue"/>
                  <w:shd w:val="clear" w:color="auto" w:fill="auto"/>
                  <w:vAlign w:val="center"/>
                </w:tcPr>
                <w:p w14:paraId="60AD761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040" w:type="dxa"/>
                  <w:shd w:val="clear" w:color="auto" w:fill="FFFFFF"/>
                  <w:vAlign w:val="center"/>
                </w:tcPr>
                <w:p w14:paraId="399D0A6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供热</w:t>
                  </w:r>
                </w:p>
              </w:tc>
              <w:tc>
                <w:tcPr>
                  <w:tcW w:w="5878" w:type="dxa"/>
                  <w:shd w:val="clear" w:color="auto" w:fill="FFFFFF"/>
                  <w:vAlign w:val="center"/>
                </w:tcPr>
                <w:p w14:paraId="6754F8C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生产供热由新建一台</w:t>
                  </w:r>
                  <w:r>
                    <w:rPr>
                      <w:rFonts w:hint="eastAsia" w:cs="Times New Roman"/>
                      <w:color w:val="000000" w:themeColor="text1"/>
                      <w:szCs w:val="21"/>
                      <w:highlight w:val="none"/>
                      <w:lang w:val="en-US" w:eastAsia="zh-CN"/>
                      <w14:textFill>
                        <w14:solidFill>
                          <w14:schemeClr w14:val="tx1"/>
                        </w14:solidFill>
                      </w14:textFill>
                    </w:rPr>
                    <w:t>240万大卡</w:t>
                  </w:r>
                  <w:r>
                    <w:rPr>
                      <w:rFonts w:hint="default" w:ascii="Times New Roman" w:hAnsi="Times New Roman" w:eastAsia="宋体" w:cs="Times New Roman"/>
                      <w:color w:val="000000" w:themeColor="text1"/>
                      <w:szCs w:val="21"/>
                      <w:highlight w:val="none"/>
                      <w14:textFill>
                        <w14:solidFill>
                          <w14:schemeClr w14:val="tx1"/>
                        </w14:solidFill>
                      </w14:textFill>
                    </w:rPr>
                    <w:t>燃</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煤</w:t>
                  </w:r>
                  <w:r>
                    <w:rPr>
                      <w:rFonts w:hint="default" w:ascii="Times New Roman" w:hAnsi="Times New Roman" w:eastAsia="宋体" w:cs="Times New Roman"/>
                      <w:color w:val="000000" w:themeColor="text1"/>
                      <w:szCs w:val="21"/>
                      <w:highlight w:val="none"/>
                      <w14:textFill>
                        <w14:solidFill>
                          <w14:schemeClr w14:val="tx1"/>
                        </w14:solidFill>
                      </w14:textFill>
                    </w:rPr>
                    <w:t>热风炉提供，</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办公室</w:t>
                  </w:r>
                  <w:r>
                    <w:rPr>
                      <w:rFonts w:hint="default" w:ascii="Times New Roman" w:hAnsi="Times New Roman" w:eastAsia="宋体" w:cs="Times New Roman"/>
                      <w:color w:val="000000" w:themeColor="text1"/>
                      <w:highlight w:val="none"/>
                      <w:lang w:val="en-US" w:eastAsia="zh-CN"/>
                      <w14:textFill>
                        <w14:solidFill>
                          <w14:schemeClr w14:val="tx1"/>
                        </w14:solidFill>
                      </w14:textFill>
                    </w:rPr>
                    <w:t>冬季供暖为电供暖</w:t>
                  </w:r>
                </w:p>
              </w:tc>
            </w:tr>
            <w:tr w14:paraId="5790614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60" w:hRule="atLeast"/>
                <w:jc w:val="center"/>
              </w:trPr>
              <w:tc>
                <w:tcPr>
                  <w:tcW w:w="964" w:type="dxa"/>
                  <w:vMerge w:val="continue"/>
                  <w:shd w:val="clear" w:color="auto" w:fill="auto"/>
                  <w:vAlign w:val="center"/>
                </w:tcPr>
                <w:p w14:paraId="52BEFDB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040" w:type="dxa"/>
                  <w:shd w:val="clear" w:color="auto" w:fill="FFFFFF"/>
                  <w:vAlign w:val="center"/>
                </w:tcPr>
                <w:p w14:paraId="52706C3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供电</w:t>
                  </w:r>
                </w:p>
              </w:tc>
              <w:tc>
                <w:tcPr>
                  <w:tcW w:w="5878" w:type="dxa"/>
                  <w:shd w:val="clear" w:color="auto" w:fill="FFFFFF"/>
                  <w:vAlign w:val="center"/>
                </w:tcPr>
                <w:p w14:paraId="37F2B61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用电由所在地供电电网提供</w:t>
                  </w:r>
                </w:p>
              </w:tc>
            </w:tr>
            <w:tr w14:paraId="0FDCBA9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472" w:hRule="atLeast"/>
                <w:jc w:val="center"/>
              </w:trPr>
              <w:tc>
                <w:tcPr>
                  <w:tcW w:w="964" w:type="dxa"/>
                  <w:vMerge w:val="restart"/>
                  <w:vAlign w:val="center"/>
                </w:tcPr>
                <w:p w14:paraId="4FCF418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环保工程</w:t>
                  </w:r>
                </w:p>
              </w:tc>
              <w:tc>
                <w:tcPr>
                  <w:tcW w:w="1040" w:type="dxa"/>
                  <w:vAlign w:val="center"/>
                </w:tcPr>
                <w:p w14:paraId="71DF57E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废气防治措施</w:t>
                  </w:r>
                </w:p>
              </w:tc>
              <w:tc>
                <w:tcPr>
                  <w:tcW w:w="5878" w:type="dxa"/>
                  <w:vAlign w:val="center"/>
                </w:tcPr>
                <w:p w14:paraId="321446E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highlight w:val="none"/>
                      <w14:textFill>
                        <w14:solidFill>
                          <w14:schemeClr w14:val="tx1"/>
                        </w14:solidFill>
                      </w14:textFill>
                    </w:rPr>
                    <w:t>热风炉烟气</w:t>
                  </w:r>
                  <w:r>
                    <w:rPr>
                      <w:rFonts w:hint="eastAsia" w:ascii="Times New Roman" w:hAnsi="Times New Roman" w:eastAsia="宋体" w:cs="Times New Roman"/>
                      <w:color w:val="000000" w:themeColor="text1"/>
                      <w:highlight w:val="none"/>
                      <w:lang w:val="en-US" w:eastAsia="zh-CN"/>
                      <w14:textFill>
                        <w14:solidFill>
                          <w14:schemeClr w14:val="tx1"/>
                        </w14:solidFill>
                      </w14:textFill>
                    </w:rPr>
                    <w:t>通过除尘器处理后通过15m高烟囱排放，</w:t>
                  </w:r>
                  <w:r>
                    <w:rPr>
                      <w:rFonts w:hint="default" w:ascii="Times New Roman" w:hAnsi="Times New Roman" w:eastAsia="宋体" w:cs="Times New Roman"/>
                      <w:color w:val="000000" w:themeColor="text1"/>
                      <w:highlight w:val="none"/>
                      <w14:textFill>
                        <w14:solidFill>
                          <w14:schemeClr w14:val="tx1"/>
                        </w14:solidFill>
                      </w14:textFill>
                    </w:rPr>
                    <w:t>排放符合《工业炉窑大气污染物排放标准》(GB9078-1996)中二级标准限值要求</w:t>
                  </w:r>
                  <w:r>
                    <w:rPr>
                      <w:rFonts w:hint="eastAsia" w:ascii="Times New Roman" w:hAnsi="Times New Roman" w:eastAsia="宋体"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厂界无组织排放颗粒物浓度符合《大气污染物综合排放标准》(GB16297-1996)中无组织排放监控浓度限值(≤1.0mg/m</w:t>
                  </w:r>
                  <w:r>
                    <w:rPr>
                      <w:rFonts w:hint="eastAsia" w:ascii="Times New Roman" w:hAnsi="Times New Roman" w:eastAsia="宋体" w:cs="Times New Roman"/>
                      <w:color w:val="000000" w:themeColor="text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highlight w:val="none"/>
                      <w14:textFill>
                        <w14:solidFill>
                          <w14:schemeClr w14:val="tx1"/>
                        </w14:solidFill>
                      </w14:textFill>
                    </w:rPr>
                    <w:t>)要求。</w:t>
                  </w:r>
                </w:p>
              </w:tc>
            </w:tr>
            <w:tr w14:paraId="10E22DD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98" w:hRule="atLeast"/>
                <w:jc w:val="center"/>
              </w:trPr>
              <w:tc>
                <w:tcPr>
                  <w:tcW w:w="964" w:type="dxa"/>
                  <w:vMerge w:val="continue"/>
                  <w:vAlign w:val="center"/>
                </w:tcPr>
                <w:p w14:paraId="50DB65B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040" w:type="dxa"/>
                  <w:vAlign w:val="center"/>
                </w:tcPr>
                <w:p w14:paraId="50083AE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噪声防治措施</w:t>
                  </w:r>
                </w:p>
              </w:tc>
              <w:tc>
                <w:tcPr>
                  <w:tcW w:w="5878" w:type="dxa"/>
                  <w:vAlign w:val="center"/>
                </w:tcPr>
                <w:p w14:paraId="57A3820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选用低噪声设备，采取隔声、减振等措施，热风炉房密闭等措施，厂界满足《工业企业厂界环境噪声排放标准》（GB12348-2008）中2类标准限值要求</w:t>
                  </w:r>
                </w:p>
              </w:tc>
            </w:tr>
            <w:tr w14:paraId="1E692C4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33" w:hRule="atLeast"/>
                <w:jc w:val="center"/>
              </w:trPr>
              <w:tc>
                <w:tcPr>
                  <w:tcW w:w="964" w:type="dxa"/>
                  <w:vMerge w:val="continue"/>
                  <w:vAlign w:val="center"/>
                </w:tcPr>
                <w:p w14:paraId="5D0879C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040" w:type="dxa"/>
                  <w:vAlign w:val="center"/>
                </w:tcPr>
                <w:p w14:paraId="003A0CD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废水防治措施</w:t>
                  </w:r>
                </w:p>
              </w:tc>
              <w:tc>
                <w:tcPr>
                  <w:tcW w:w="5878" w:type="dxa"/>
                  <w:vAlign w:val="center"/>
                </w:tcPr>
                <w:p w14:paraId="0BAB41B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生活污水</w:t>
                  </w:r>
                  <w:r>
                    <w:rPr>
                      <w:rFonts w:hint="default" w:ascii="Times New Roman" w:hAnsi="Times New Roman" w:eastAsia="宋体" w:cs="Times New Roman"/>
                      <w:color w:val="000000" w:themeColor="text1"/>
                      <w:kern w:val="0"/>
                      <w:szCs w:val="21"/>
                      <w:highlight w:val="none"/>
                      <w14:textFill>
                        <w14:solidFill>
                          <w14:schemeClr w14:val="tx1"/>
                        </w14:solidFill>
                      </w14:textFill>
                    </w:rPr>
                    <w:t>排入防渗</w:t>
                  </w:r>
                  <w: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t>旱厕</w:t>
                  </w:r>
                  <w:r>
                    <w:rPr>
                      <w:rFonts w:hint="default" w:ascii="Times New Roman" w:hAnsi="Times New Roman" w:eastAsia="宋体" w:cs="Times New Roman"/>
                      <w:color w:val="000000" w:themeColor="text1"/>
                      <w:kern w:val="0"/>
                      <w:szCs w:val="21"/>
                      <w:highlight w:val="none"/>
                      <w14:textFill>
                        <w14:solidFill>
                          <w14:schemeClr w14:val="tx1"/>
                        </w14:solidFill>
                      </w14:textFill>
                    </w:rPr>
                    <w:t>，定期清掏，外运堆肥</w:t>
                  </w:r>
                </w:p>
              </w:tc>
            </w:tr>
            <w:tr w14:paraId="63CDCFB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48" w:hRule="atLeast"/>
                <w:jc w:val="center"/>
              </w:trPr>
              <w:tc>
                <w:tcPr>
                  <w:tcW w:w="964" w:type="dxa"/>
                  <w:vMerge w:val="continue"/>
                  <w:vAlign w:val="center"/>
                </w:tcPr>
                <w:p w14:paraId="4D81679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040" w:type="dxa"/>
                  <w:vAlign w:val="center"/>
                </w:tcPr>
                <w:p w14:paraId="2F4E160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固体废物防治措施</w:t>
                  </w:r>
                </w:p>
              </w:tc>
              <w:tc>
                <w:tcPr>
                  <w:tcW w:w="5878" w:type="dxa"/>
                  <w:vAlign w:val="center"/>
                </w:tcPr>
                <w:p w14:paraId="7CFFA84E">
                  <w:pPr>
                    <w:keepNext w:val="0"/>
                    <w:keepLines w:val="0"/>
                    <w:suppressLineNumbers w:val="0"/>
                    <w:spacing w:before="0" w:beforeAutospacing="0" w:after="0" w:afterAutospacing="0" w:line="240" w:lineRule="auto"/>
                    <w:ind w:left="0" w:right="0" w:firstLine="420" w:firstLineChars="200"/>
                    <w:jc w:val="center"/>
                    <w:rPr>
                      <w:rFonts w:hint="default"/>
                      <w:color w:val="000000" w:themeColor="text1"/>
                      <w:highlight w:val="none"/>
                      <w14:textFill>
                        <w14:solidFill>
                          <w14:schemeClr w14:val="tx1"/>
                        </w14:solidFill>
                      </w14:textFill>
                    </w:rPr>
                  </w:pPr>
                  <w:r>
                    <w:rPr>
                      <w:rFonts w:hint="default"/>
                      <w:color w:val="000000" w:themeColor="text1"/>
                      <w:highlight w:val="none"/>
                      <w14:textFill>
                        <w14:solidFill>
                          <w14:schemeClr w14:val="tx1"/>
                        </w14:solidFill>
                      </w14:textFill>
                    </w:rPr>
                    <w:t>生活垃圾集中收集由市政部门及时统一清运</w:t>
                  </w:r>
                  <w:r>
                    <w:rPr>
                      <w:rFonts w:hint="eastAsia"/>
                      <w:color w:val="000000" w:themeColor="text1"/>
                      <w:highlight w:val="none"/>
                      <w:lang w:eastAsia="zh-CN"/>
                      <w14:textFill>
                        <w14:solidFill>
                          <w14:schemeClr w14:val="tx1"/>
                        </w14:solidFill>
                      </w14:textFill>
                    </w:rPr>
                    <w:t>；</w:t>
                  </w:r>
                  <w:r>
                    <w:rPr>
                      <w:rFonts w:hint="default"/>
                      <w:color w:val="000000" w:themeColor="text1"/>
                      <w:highlight w:val="none"/>
                      <w14:textFill>
                        <w14:solidFill>
                          <w14:schemeClr w14:val="tx1"/>
                        </w14:solidFill>
                      </w14:textFill>
                    </w:rPr>
                    <w:t>碎石、杂质集中收集后运至当地的垃圾填埋场处理</w:t>
                  </w:r>
                  <w:r>
                    <w:rPr>
                      <w:rFonts w:hint="eastAsia"/>
                      <w:color w:val="000000" w:themeColor="text1"/>
                      <w:highlight w:val="none"/>
                      <w:lang w:eastAsia="zh-CN"/>
                      <w14:textFill>
                        <w14:solidFill>
                          <w14:schemeClr w14:val="tx1"/>
                        </w14:solidFill>
                      </w14:textFill>
                    </w:rPr>
                    <w:t>；</w:t>
                  </w:r>
                  <w:r>
                    <w:rPr>
                      <w:rFonts w:hint="default"/>
                      <w:color w:val="000000" w:themeColor="text1"/>
                      <w:highlight w:val="none"/>
                      <w14:textFill>
                        <w14:solidFill>
                          <w14:schemeClr w14:val="tx1"/>
                        </w14:solidFill>
                      </w14:textFill>
                    </w:rPr>
                    <w:t>青粒、糟粒作为饲料外卖</w:t>
                  </w:r>
                  <w:r>
                    <w:rPr>
                      <w:rFonts w:hint="eastAsia"/>
                      <w:color w:val="000000" w:themeColor="text1"/>
                      <w:highlight w:val="none"/>
                      <w:lang w:eastAsia="zh-CN"/>
                      <w14:textFill>
                        <w14:solidFill>
                          <w14:schemeClr w14:val="tx1"/>
                        </w14:solidFill>
                      </w14:textFill>
                    </w:rPr>
                    <w:t>；</w:t>
                  </w:r>
                  <w:r>
                    <w:rPr>
                      <w:rFonts w:hint="default"/>
                      <w:color w:val="000000" w:themeColor="text1"/>
                      <w:highlight w:val="none"/>
                      <w14:textFill>
                        <w14:solidFill>
                          <w14:schemeClr w14:val="tx1"/>
                        </w14:solidFill>
                      </w14:textFill>
                    </w:rPr>
                    <w:t>灰渣作为制砖的原料卖处理。</w:t>
                  </w:r>
                </w:p>
              </w:tc>
            </w:tr>
          </w:tbl>
          <w:p w14:paraId="684E1612">
            <w:pPr>
              <w:keepNext w:val="0"/>
              <w:keepLines w:val="0"/>
              <w:suppressLineNumbers w:val="0"/>
              <w:spacing w:before="0" w:beforeAutospacing="0" w:after="0" w:afterAutospacing="0" w:line="360" w:lineRule="auto"/>
              <w:ind w:left="2823" w:right="0"/>
              <w:rPr>
                <w:rFonts w:hint="default" w:ascii="Times New Roman" w:hAnsi="Times New Roman" w:eastAsia="宋体" w:cs="Times New Roman"/>
                <w:b/>
                <w:bCs/>
                <w:color w:val="000000" w:themeColor="text1"/>
                <w:szCs w:val="21"/>
                <w:highlight w:val="none"/>
                <w14:textFill>
                  <w14:solidFill>
                    <w14:schemeClr w14:val="tx1"/>
                  </w14:solidFill>
                </w14:textFill>
              </w:rPr>
            </w:pPr>
            <w:r>
              <w:rPr>
                <w:rFonts w:hint="default" w:ascii="Times New Roman" w:hAnsi="Times New Roman" w:eastAsia="宋体" w:cs="Times New Roman"/>
                <w:b/>
                <w:bCs/>
                <w:color w:val="000000" w:themeColor="text1"/>
                <w:szCs w:val="21"/>
                <w:highlight w:val="none"/>
                <w14:textFill>
                  <w14:solidFill>
                    <w14:schemeClr w14:val="tx1"/>
                  </w14:solidFill>
                </w14:textFill>
              </w:rPr>
              <w:t>表2-</w:t>
            </w:r>
            <w:r>
              <w:rPr>
                <w:rFonts w:hint="eastAsia" w:ascii="Times New Roman" w:hAnsi="Times New Roman" w:eastAsia="宋体" w:cs="Times New Roman"/>
                <w:b/>
                <w:bCs/>
                <w:color w:val="000000" w:themeColor="text1"/>
                <w:szCs w:val="21"/>
                <w:highlight w:val="none"/>
                <w:lang w:val="en-US" w:eastAsia="zh-CN"/>
                <w14:textFill>
                  <w14:solidFill>
                    <w14:schemeClr w14:val="tx1"/>
                  </w14:solidFill>
                </w14:textFill>
              </w:rPr>
              <w:t>9</w:t>
            </w:r>
            <w:r>
              <w:rPr>
                <w:rFonts w:hint="default" w:ascii="Times New Roman" w:hAnsi="Times New Roman" w:eastAsia="宋体" w:cs="Times New Roman"/>
                <w:b/>
                <w:bCs/>
                <w:color w:val="000000" w:themeColor="text1"/>
                <w:szCs w:val="21"/>
                <w:highlight w:val="none"/>
                <w:lang w:val="en-US" w:eastAsia="zh-CN"/>
                <w14:textFill>
                  <w14:solidFill>
                    <w14:schemeClr w14:val="tx1"/>
                  </w14:solidFill>
                </w14:textFill>
              </w:rPr>
              <w:t>主要</w:t>
            </w:r>
            <w:r>
              <w:rPr>
                <w:rFonts w:hint="default" w:ascii="Times New Roman" w:hAnsi="Times New Roman" w:eastAsia="宋体" w:cs="Times New Roman"/>
                <w:b/>
                <w:bCs/>
                <w:color w:val="000000" w:themeColor="text1"/>
                <w:szCs w:val="21"/>
                <w:highlight w:val="none"/>
                <w14:textFill>
                  <w14:solidFill>
                    <w14:schemeClr w14:val="tx1"/>
                  </w14:solidFill>
                </w14:textFill>
              </w:rPr>
              <w:t>设备表</w:t>
            </w:r>
          </w:p>
          <w:tbl>
            <w:tblPr>
              <w:tblStyle w:val="36"/>
              <w:tblW w:w="470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2068"/>
              <w:gridCol w:w="1849"/>
              <w:gridCol w:w="934"/>
              <w:gridCol w:w="1392"/>
            </w:tblGrid>
            <w:tr w14:paraId="7A9670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26" w:type="pct"/>
                  <w:tcBorders>
                    <w:tl2br w:val="nil"/>
                    <w:tr2bl w:val="nil"/>
                  </w:tcBorders>
                  <w:vAlign w:val="center"/>
                </w:tcPr>
                <w:p w14:paraId="0E08E60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序号</w:t>
                  </w:r>
                </w:p>
              </w:tc>
              <w:tc>
                <w:tcPr>
                  <w:tcW w:w="1382" w:type="pct"/>
                  <w:tcBorders>
                    <w:tl2br w:val="nil"/>
                    <w:tr2bl w:val="nil"/>
                  </w:tcBorders>
                  <w:vAlign w:val="center"/>
                </w:tcPr>
                <w:p w14:paraId="4A8EB32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名称</w:t>
                  </w:r>
                </w:p>
              </w:tc>
              <w:tc>
                <w:tcPr>
                  <w:tcW w:w="1235" w:type="pct"/>
                  <w:tcBorders>
                    <w:tl2br w:val="nil"/>
                    <w:tr2bl w:val="nil"/>
                  </w:tcBorders>
                  <w:vAlign w:val="center"/>
                </w:tcPr>
                <w:p w14:paraId="09A4071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单位</w:t>
                  </w:r>
                </w:p>
              </w:tc>
              <w:tc>
                <w:tcPr>
                  <w:tcW w:w="624" w:type="pct"/>
                  <w:tcBorders>
                    <w:tl2br w:val="nil"/>
                    <w:tr2bl w:val="nil"/>
                  </w:tcBorders>
                  <w:shd w:val="clear" w:color="auto" w:fill="auto"/>
                  <w:vAlign w:val="center"/>
                </w:tcPr>
                <w:p w14:paraId="04E7170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数量</w:t>
                  </w:r>
                </w:p>
              </w:tc>
              <w:tc>
                <w:tcPr>
                  <w:tcW w:w="930" w:type="pct"/>
                  <w:tcBorders>
                    <w:tl2br w:val="nil"/>
                    <w:tr2bl w:val="nil"/>
                  </w:tcBorders>
                  <w:vAlign w:val="center"/>
                </w:tcPr>
                <w:p w14:paraId="732F68C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备注</w:t>
                  </w:r>
                </w:p>
              </w:tc>
            </w:tr>
            <w:tr w14:paraId="3D6DE1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26" w:type="pct"/>
                  <w:tcBorders>
                    <w:tl2br w:val="nil"/>
                    <w:tr2bl w:val="nil"/>
                  </w:tcBorders>
                  <w:vAlign w:val="center"/>
                </w:tcPr>
                <w:p w14:paraId="2782DC3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1</w:t>
                  </w:r>
                </w:p>
              </w:tc>
              <w:tc>
                <w:tcPr>
                  <w:tcW w:w="1382" w:type="pct"/>
                  <w:tcBorders>
                    <w:tl2br w:val="nil"/>
                    <w:tr2bl w:val="nil"/>
                  </w:tcBorders>
                  <w:shd w:val="clear" w:color="auto" w:fill="auto"/>
                  <w:vAlign w:val="center"/>
                </w:tcPr>
                <w:p w14:paraId="08DD3592">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热风炉</w:t>
                  </w:r>
                </w:p>
              </w:tc>
              <w:tc>
                <w:tcPr>
                  <w:tcW w:w="1235" w:type="pct"/>
                  <w:tcBorders>
                    <w:tl2br w:val="nil"/>
                    <w:tr2bl w:val="nil"/>
                  </w:tcBorders>
                  <w:shd w:val="clear" w:color="auto" w:fill="auto"/>
                  <w:vAlign w:val="center"/>
                </w:tcPr>
                <w:p w14:paraId="6BFC23B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240万大卡</w:t>
                  </w:r>
                </w:p>
              </w:tc>
              <w:tc>
                <w:tcPr>
                  <w:tcW w:w="624" w:type="pct"/>
                  <w:tcBorders>
                    <w:tl2br w:val="nil"/>
                    <w:tr2bl w:val="nil"/>
                  </w:tcBorders>
                  <w:shd w:val="clear" w:color="auto" w:fill="auto"/>
                  <w:vAlign w:val="center"/>
                </w:tcPr>
                <w:p w14:paraId="7918024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1</w:t>
                  </w:r>
                </w:p>
              </w:tc>
              <w:tc>
                <w:tcPr>
                  <w:tcW w:w="930" w:type="pct"/>
                  <w:tcBorders>
                    <w:tl2br w:val="nil"/>
                    <w:tr2bl w:val="nil"/>
                  </w:tcBorders>
                  <w:shd w:val="clear" w:color="auto" w:fill="auto"/>
                  <w:vAlign w:val="center"/>
                </w:tcPr>
                <w:p w14:paraId="6AD6D1C7">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r w14:paraId="2A18B7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26" w:type="pct"/>
                  <w:tcBorders>
                    <w:tl2br w:val="nil"/>
                    <w:tr2bl w:val="nil"/>
                  </w:tcBorders>
                  <w:vAlign w:val="center"/>
                </w:tcPr>
                <w:p w14:paraId="28F6547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2</w:t>
                  </w:r>
                </w:p>
              </w:tc>
              <w:tc>
                <w:tcPr>
                  <w:tcW w:w="1382" w:type="pct"/>
                  <w:tcBorders>
                    <w:tl2br w:val="nil"/>
                    <w:tr2bl w:val="nil"/>
                  </w:tcBorders>
                  <w:shd w:val="clear" w:color="auto" w:fill="auto"/>
                  <w:vAlign w:val="center"/>
                </w:tcPr>
                <w:p w14:paraId="3F5FA62E">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提升机</w:t>
                  </w:r>
                </w:p>
              </w:tc>
              <w:tc>
                <w:tcPr>
                  <w:tcW w:w="1235" w:type="pct"/>
                  <w:tcBorders>
                    <w:tl2br w:val="nil"/>
                    <w:tr2bl w:val="nil"/>
                  </w:tcBorders>
                  <w:shd w:val="clear" w:color="auto" w:fill="auto"/>
                  <w:vAlign w:val="center"/>
                </w:tcPr>
                <w:p w14:paraId="7A930BF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c>
                <w:tcPr>
                  <w:tcW w:w="624" w:type="pct"/>
                  <w:tcBorders>
                    <w:tl2br w:val="nil"/>
                    <w:tr2bl w:val="nil"/>
                  </w:tcBorders>
                  <w:shd w:val="clear" w:color="auto" w:fill="auto"/>
                  <w:vAlign w:val="center"/>
                </w:tcPr>
                <w:p w14:paraId="54F4E4A4">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1</w:t>
                  </w:r>
                </w:p>
              </w:tc>
              <w:tc>
                <w:tcPr>
                  <w:tcW w:w="930" w:type="pct"/>
                  <w:tcBorders>
                    <w:tl2br w:val="nil"/>
                    <w:tr2bl w:val="nil"/>
                  </w:tcBorders>
                  <w:shd w:val="clear" w:color="auto" w:fill="auto"/>
                  <w:vAlign w:val="center"/>
                </w:tcPr>
                <w:p w14:paraId="2FF256CF">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r w14:paraId="7B5238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26" w:type="pct"/>
                  <w:tcBorders>
                    <w:tl2br w:val="nil"/>
                    <w:tr2bl w:val="nil"/>
                  </w:tcBorders>
                  <w:vAlign w:val="center"/>
                </w:tcPr>
                <w:p w14:paraId="437E973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3</w:t>
                  </w:r>
                </w:p>
              </w:tc>
              <w:tc>
                <w:tcPr>
                  <w:tcW w:w="1382" w:type="pct"/>
                  <w:tcBorders>
                    <w:tl2br w:val="nil"/>
                    <w:tr2bl w:val="nil"/>
                  </w:tcBorders>
                  <w:shd w:val="clear" w:color="auto" w:fill="auto"/>
                  <w:vAlign w:val="center"/>
                </w:tcPr>
                <w:p w14:paraId="590D4F67">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清选机</w:t>
                  </w:r>
                </w:p>
              </w:tc>
              <w:tc>
                <w:tcPr>
                  <w:tcW w:w="1235" w:type="pct"/>
                  <w:tcBorders>
                    <w:tl2br w:val="nil"/>
                    <w:tr2bl w:val="nil"/>
                  </w:tcBorders>
                  <w:shd w:val="clear" w:color="auto" w:fill="auto"/>
                  <w:vAlign w:val="center"/>
                </w:tcPr>
                <w:p w14:paraId="0FB84B0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c>
                <w:tcPr>
                  <w:tcW w:w="624" w:type="pct"/>
                  <w:tcBorders>
                    <w:tl2br w:val="nil"/>
                    <w:tr2bl w:val="nil"/>
                  </w:tcBorders>
                  <w:shd w:val="clear" w:color="auto" w:fill="auto"/>
                  <w:vAlign w:val="center"/>
                </w:tcPr>
                <w:p w14:paraId="2A16C6FB">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1</w:t>
                  </w:r>
                </w:p>
              </w:tc>
              <w:tc>
                <w:tcPr>
                  <w:tcW w:w="930" w:type="pct"/>
                  <w:tcBorders>
                    <w:tl2br w:val="nil"/>
                    <w:tr2bl w:val="nil"/>
                  </w:tcBorders>
                  <w:shd w:val="clear" w:color="auto" w:fill="auto"/>
                  <w:vAlign w:val="center"/>
                </w:tcPr>
                <w:p w14:paraId="54718BA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r w14:paraId="2795A8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6" w:type="pct"/>
                  <w:tcBorders>
                    <w:tl2br w:val="nil"/>
                    <w:tr2bl w:val="nil"/>
                  </w:tcBorders>
                  <w:vAlign w:val="center"/>
                </w:tcPr>
                <w:p w14:paraId="19D5E4A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4</w:t>
                  </w:r>
                </w:p>
              </w:tc>
              <w:tc>
                <w:tcPr>
                  <w:tcW w:w="1382" w:type="pct"/>
                  <w:tcBorders>
                    <w:tl2br w:val="nil"/>
                    <w:tr2bl w:val="nil"/>
                  </w:tcBorders>
                  <w:shd w:val="clear" w:color="auto" w:fill="auto"/>
                  <w:vAlign w:val="center"/>
                </w:tcPr>
                <w:p w14:paraId="59188021">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地秤</w:t>
                  </w:r>
                </w:p>
              </w:tc>
              <w:tc>
                <w:tcPr>
                  <w:tcW w:w="1235" w:type="pct"/>
                  <w:tcBorders>
                    <w:tl2br w:val="nil"/>
                    <w:tr2bl w:val="nil"/>
                  </w:tcBorders>
                  <w:shd w:val="clear" w:color="auto" w:fill="auto"/>
                  <w:vAlign w:val="center"/>
                </w:tcPr>
                <w:p w14:paraId="6446030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 xml:space="preserve">scs-100 </w:t>
                  </w:r>
                </w:p>
              </w:tc>
              <w:tc>
                <w:tcPr>
                  <w:tcW w:w="624" w:type="pct"/>
                  <w:tcBorders>
                    <w:tl2br w:val="nil"/>
                    <w:tr2bl w:val="nil"/>
                  </w:tcBorders>
                  <w:shd w:val="clear" w:color="auto" w:fill="auto"/>
                  <w:vAlign w:val="center"/>
                </w:tcPr>
                <w:p w14:paraId="31FEA044">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1</w:t>
                  </w:r>
                </w:p>
              </w:tc>
              <w:tc>
                <w:tcPr>
                  <w:tcW w:w="930" w:type="pct"/>
                  <w:tcBorders>
                    <w:tl2br w:val="nil"/>
                    <w:tr2bl w:val="nil"/>
                  </w:tcBorders>
                  <w:shd w:val="clear" w:color="auto" w:fill="auto"/>
                  <w:vAlign w:val="center"/>
                </w:tcPr>
                <w:p w14:paraId="136E8A3F">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r w14:paraId="28F927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26" w:type="pct"/>
                  <w:tcBorders>
                    <w:tl2br w:val="nil"/>
                    <w:tr2bl w:val="nil"/>
                  </w:tcBorders>
                  <w:vAlign w:val="center"/>
                </w:tcPr>
                <w:p w14:paraId="3399666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5</w:t>
                  </w:r>
                </w:p>
              </w:tc>
              <w:tc>
                <w:tcPr>
                  <w:tcW w:w="1382" w:type="pct"/>
                  <w:tcBorders>
                    <w:tl2br w:val="nil"/>
                    <w:tr2bl w:val="nil"/>
                  </w:tcBorders>
                  <w:shd w:val="clear" w:color="auto" w:fill="auto"/>
                  <w:vAlign w:val="center"/>
                </w:tcPr>
                <w:p w14:paraId="5B3873BB">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输送机</w:t>
                  </w:r>
                </w:p>
              </w:tc>
              <w:tc>
                <w:tcPr>
                  <w:tcW w:w="1235" w:type="pct"/>
                  <w:tcBorders>
                    <w:tl2br w:val="nil"/>
                    <w:tr2bl w:val="nil"/>
                  </w:tcBorders>
                  <w:shd w:val="clear" w:color="auto" w:fill="auto"/>
                  <w:vAlign w:val="center"/>
                </w:tcPr>
                <w:p w14:paraId="172913F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c>
                <w:tcPr>
                  <w:tcW w:w="624" w:type="pct"/>
                  <w:tcBorders>
                    <w:tl2br w:val="nil"/>
                    <w:tr2bl w:val="nil"/>
                  </w:tcBorders>
                  <w:shd w:val="clear" w:color="auto" w:fill="auto"/>
                  <w:vAlign w:val="center"/>
                </w:tcPr>
                <w:p w14:paraId="28011EF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4</w:t>
                  </w:r>
                </w:p>
              </w:tc>
              <w:tc>
                <w:tcPr>
                  <w:tcW w:w="930" w:type="pct"/>
                  <w:tcBorders>
                    <w:tl2br w:val="nil"/>
                    <w:tr2bl w:val="nil"/>
                  </w:tcBorders>
                  <w:shd w:val="clear" w:color="auto" w:fill="auto"/>
                  <w:vAlign w:val="center"/>
                </w:tcPr>
                <w:p w14:paraId="5CD0518B">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r w14:paraId="277FD2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826" w:type="pct"/>
                  <w:tcBorders>
                    <w:tl2br w:val="nil"/>
                    <w:tr2bl w:val="nil"/>
                  </w:tcBorders>
                  <w:vAlign w:val="center"/>
                </w:tcPr>
                <w:p w14:paraId="5D5CED3B">
                  <w:pPr>
                    <w:keepNext w:val="0"/>
                    <w:keepLines w:val="0"/>
                    <w:suppressLineNumbers w:val="0"/>
                    <w:spacing w:before="0" w:beforeAutospacing="0" w:after="0" w:afterAutospacing="0"/>
                    <w:ind w:left="0" w:right="0"/>
                    <w:jc w:val="center"/>
                    <w:rPr>
                      <w:rFonts w:hint="default"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6</w:t>
                  </w:r>
                </w:p>
              </w:tc>
              <w:tc>
                <w:tcPr>
                  <w:tcW w:w="1382" w:type="pct"/>
                  <w:tcBorders>
                    <w:tl2br w:val="nil"/>
                    <w:tr2bl w:val="nil"/>
                  </w:tcBorders>
                  <w:shd w:val="clear" w:color="auto" w:fill="auto"/>
                  <w:vAlign w:val="center"/>
                </w:tcPr>
                <w:p w14:paraId="7CD3E31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烘干塔</w:t>
                  </w:r>
                </w:p>
              </w:tc>
              <w:tc>
                <w:tcPr>
                  <w:tcW w:w="1235" w:type="pct"/>
                  <w:tcBorders>
                    <w:tl2br w:val="nil"/>
                    <w:tr2bl w:val="nil"/>
                  </w:tcBorders>
                  <w:shd w:val="clear" w:color="auto" w:fill="auto"/>
                  <w:vAlign w:val="center"/>
                </w:tcPr>
                <w:p w14:paraId="2259852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200t/d</w:t>
                  </w:r>
                </w:p>
              </w:tc>
              <w:tc>
                <w:tcPr>
                  <w:tcW w:w="624" w:type="pct"/>
                  <w:tcBorders>
                    <w:tl2br w:val="nil"/>
                    <w:tr2bl w:val="nil"/>
                  </w:tcBorders>
                  <w:shd w:val="clear" w:color="auto" w:fill="auto"/>
                  <w:vAlign w:val="center"/>
                </w:tcPr>
                <w:p w14:paraId="031D6260">
                  <w:pPr>
                    <w:keepNext w:val="0"/>
                    <w:keepLines w:val="0"/>
                    <w:suppressLineNumbers w:val="0"/>
                    <w:spacing w:before="0" w:beforeAutospacing="0" w:after="0" w:afterAutospacing="0"/>
                    <w:ind w:left="0" w:right="0"/>
                    <w:jc w:val="center"/>
                    <w:rPr>
                      <w:rFonts w:hint="default" w:cs="Times New Roman"/>
                      <w:color w:val="000000" w:themeColor="text1"/>
                      <w:szCs w:val="21"/>
                      <w:highlight w:val="none"/>
                      <w:lang w:val="en-US" w:eastAsia="zh-CN"/>
                      <w14:textFill>
                        <w14:solidFill>
                          <w14:schemeClr w14:val="tx1"/>
                        </w14:solidFill>
                      </w14:textFill>
                      <w14:ligatures w14:val="none"/>
                    </w:rPr>
                  </w:pPr>
                  <w:r>
                    <w:rPr>
                      <w:rFonts w:hint="eastAsia" w:cs="Times New Roman"/>
                      <w:color w:val="000000" w:themeColor="text1"/>
                      <w:szCs w:val="21"/>
                      <w:highlight w:val="none"/>
                      <w:lang w:val="en-US" w:eastAsia="zh-CN"/>
                      <w14:textFill>
                        <w14:solidFill>
                          <w14:schemeClr w14:val="tx1"/>
                        </w14:solidFill>
                      </w14:textFill>
                      <w14:ligatures w14:val="none"/>
                    </w:rPr>
                    <w:t>1</w:t>
                  </w:r>
                </w:p>
              </w:tc>
              <w:tc>
                <w:tcPr>
                  <w:tcW w:w="930" w:type="pct"/>
                  <w:tcBorders>
                    <w:tl2br w:val="nil"/>
                    <w:tr2bl w:val="nil"/>
                  </w:tcBorders>
                  <w:shd w:val="clear" w:color="auto" w:fill="auto"/>
                  <w:vAlign w:val="center"/>
                </w:tcPr>
                <w:p w14:paraId="7B5A783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14:ligatures w14:val="none"/>
                    </w:rPr>
                    <w:t>/</w:t>
                  </w:r>
                </w:p>
              </w:tc>
            </w:tr>
          </w:tbl>
          <w:p w14:paraId="6168F948">
            <w:pPr>
              <w:keepNext w:val="0"/>
              <w:keepLines w:val="0"/>
              <w:widowControl/>
              <w:suppressLineNumbers w:val="0"/>
              <w:spacing w:before="0" w:beforeAutospacing="0" w:after="0" w:afterAutospacing="0" w:line="360" w:lineRule="auto"/>
              <w:ind w:left="0" w:right="0" w:firstLine="482" w:firstLineChars="200"/>
              <w:jc w:val="left"/>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4"/>
                <w:highlight w:val="none"/>
                <w:lang w:val="en-US" w:eastAsia="zh-CN" w:bidi="ar"/>
                <w14:textFill>
                  <w14:solidFill>
                    <w14:schemeClr w14:val="tx1"/>
                  </w14:solidFill>
                </w14:textFill>
              </w:rPr>
              <w:t>三</w:t>
            </w:r>
            <w:r>
              <w:rPr>
                <w:rFonts w:hint="default" w:ascii="Times New Roman" w:hAnsi="Times New Roman" w:eastAsia="宋体" w:cs="Times New Roman"/>
                <w:b/>
                <w:bCs/>
                <w:color w:val="000000" w:themeColor="text1"/>
                <w:kern w:val="0"/>
                <w:sz w:val="24"/>
                <w:highlight w:val="none"/>
                <w:lang w:bidi="ar"/>
                <w14:textFill>
                  <w14:solidFill>
                    <w14:schemeClr w14:val="tx1"/>
                  </w14:solidFill>
                </w14:textFill>
              </w:rPr>
              <w:t>、现有工程</w:t>
            </w:r>
            <w:r>
              <w:rPr>
                <w:rFonts w:hint="default" w:ascii="Times New Roman" w:hAnsi="Times New Roman" w:eastAsia="宋体" w:cs="Times New Roman"/>
                <w:b/>
                <w:bCs/>
                <w:color w:val="000000" w:themeColor="text1"/>
                <w:kern w:val="0"/>
                <w:sz w:val="24"/>
                <w:highlight w:val="none"/>
                <w:lang w:val="en-US" w:eastAsia="zh-CN" w:bidi="ar"/>
                <w14:textFill>
                  <w14:solidFill>
                    <w14:schemeClr w14:val="tx1"/>
                  </w14:solidFill>
                </w14:textFill>
              </w:rPr>
              <w:t>主要原材料</w:t>
            </w:r>
          </w:p>
          <w:p w14:paraId="4A57C302">
            <w:pPr>
              <w:keepNext w:val="0"/>
              <w:keepLines w:val="0"/>
              <w:suppressLineNumbers w:val="0"/>
              <w:spacing w:before="0" w:beforeAutospacing="0" w:after="0" w:afterAutospacing="0" w:line="360" w:lineRule="auto"/>
              <w:ind w:left="2823" w:right="0"/>
              <w:rPr>
                <w:rFonts w:hint="default" w:ascii="Times New Roman" w:hAnsi="Times New Roman" w:eastAsia="宋体" w:cs="Times New Roman"/>
                <w:b/>
                <w:bCs/>
                <w:color w:val="000000" w:themeColor="text1"/>
                <w:szCs w:val="21"/>
                <w:highlight w:val="none"/>
                <w14:textFill>
                  <w14:solidFill>
                    <w14:schemeClr w14:val="tx1"/>
                  </w14:solidFill>
                </w14:textFill>
              </w:rPr>
            </w:pPr>
            <w:r>
              <w:rPr>
                <w:rFonts w:hint="default" w:ascii="Times New Roman" w:hAnsi="Times New Roman" w:eastAsia="宋体" w:cs="Times New Roman"/>
                <w:b/>
                <w:bCs/>
                <w:color w:val="000000" w:themeColor="text1"/>
                <w:szCs w:val="21"/>
                <w:highlight w:val="none"/>
                <w14:textFill>
                  <w14:solidFill>
                    <w14:schemeClr w14:val="tx1"/>
                  </w14:solidFill>
                </w14:textFill>
              </w:rPr>
              <w:t>表2-</w:t>
            </w:r>
            <w:r>
              <w:rPr>
                <w:rFonts w:hint="eastAsia" w:ascii="Times New Roman" w:hAnsi="Times New Roman" w:eastAsia="宋体" w:cs="Times New Roman"/>
                <w:b/>
                <w:bCs/>
                <w:color w:val="000000" w:themeColor="text1"/>
                <w:szCs w:val="21"/>
                <w:highlight w:val="none"/>
                <w:lang w:val="en-US" w:eastAsia="zh-CN"/>
                <w14:textFill>
                  <w14:solidFill>
                    <w14:schemeClr w14:val="tx1"/>
                  </w14:solidFill>
                </w14:textFill>
              </w:rPr>
              <w:t>10</w:t>
            </w:r>
            <w:r>
              <w:rPr>
                <w:rFonts w:hint="default" w:ascii="Times New Roman" w:hAnsi="Times New Roman" w:eastAsia="宋体" w:cs="Times New Roman"/>
                <w:b/>
                <w:bCs/>
                <w:color w:val="000000" w:themeColor="text1"/>
                <w:szCs w:val="21"/>
                <w:highlight w:val="none"/>
                <w14:textFill>
                  <w14:solidFill>
                    <w14:schemeClr w14:val="tx1"/>
                  </w14:solidFill>
                </w14:textFill>
              </w:rPr>
              <w:t>原辅材料一览表</w:t>
            </w:r>
          </w:p>
          <w:tbl>
            <w:tblPr>
              <w:tblStyle w:val="35"/>
              <w:tblW w:w="8039"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879"/>
              <w:gridCol w:w="2205"/>
              <w:gridCol w:w="1626"/>
              <w:gridCol w:w="3329"/>
            </w:tblGrid>
            <w:tr w14:paraId="6ECE17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552" w:hRule="atLeast"/>
                <w:jc w:val="center"/>
              </w:trPr>
              <w:tc>
                <w:tcPr>
                  <w:tcW w:w="879" w:type="dxa"/>
                  <w:vAlign w:val="center"/>
                </w:tcPr>
                <w:p w14:paraId="766F7675">
                  <w:pPr>
                    <w:pStyle w:val="56"/>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序号</w:t>
                  </w:r>
                </w:p>
              </w:tc>
              <w:tc>
                <w:tcPr>
                  <w:tcW w:w="2205" w:type="dxa"/>
                  <w:vAlign w:val="center"/>
                </w:tcPr>
                <w:p w14:paraId="7E0A1009">
                  <w:pPr>
                    <w:pStyle w:val="56"/>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名称</w:t>
                  </w:r>
                </w:p>
              </w:tc>
              <w:tc>
                <w:tcPr>
                  <w:tcW w:w="1626" w:type="dxa"/>
                  <w:vAlign w:val="center"/>
                </w:tcPr>
                <w:p w14:paraId="02A7F157">
                  <w:pPr>
                    <w:pStyle w:val="56"/>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用量</w:t>
                  </w:r>
                </w:p>
              </w:tc>
              <w:tc>
                <w:tcPr>
                  <w:tcW w:w="3329" w:type="dxa"/>
                  <w:vAlign w:val="center"/>
                </w:tcPr>
                <w:p w14:paraId="509A16B7">
                  <w:pPr>
                    <w:pStyle w:val="56"/>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备注</w:t>
                  </w:r>
                </w:p>
              </w:tc>
            </w:tr>
            <w:tr w14:paraId="4E894A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554" w:hRule="atLeast"/>
                <w:jc w:val="center"/>
              </w:trPr>
              <w:tc>
                <w:tcPr>
                  <w:tcW w:w="879" w:type="dxa"/>
                  <w:vAlign w:val="center"/>
                </w:tcPr>
                <w:p w14:paraId="1B2784BF">
                  <w:pPr>
                    <w:pStyle w:val="56"/>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2205" w:type="dxa"/>
                  <w:vAlign w:val="center"/>
                </w:tcPr>
                <w:p w14:paraId="675305C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玉米原粮</w:t>
                  </w:r>
                </w:p>
              </w:tc>
              <w:tc>
                <w:tcPr>
                  <w:tcW w:w="1626" w:type="dxa"/>
                  <w:vAlign w:val="center"/>
                </w:tcPr>
                <w:p w14:paraId="25E9EA5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Cs w:val="21"/>
                      <w:highlight w:val="none"/>
                      <w14:textFill>
                        <w14:solidFill>
                          <w14:schemeClr w14:val="tx1"/>
                        </w14:solidFill>
                      </w14:textFill>
                    </w:rPr>
                    <w:t>000t/a</w:t>
                  </w:r>
                </w:p>
              </w:tc>
              <w:tc>
                <w:tcPr>
                  <w:tcW w:w="3329" w:type="dxa"/>
                </w:tcPr>
                <w:p w14:paraId="479FA3D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外购，含水率约</w:t>
                  </w:r>
                  <w:r>
                    <w:rPr>
                      <w:rFonts w:hint="eastAsia" w:cs="Times New Roman"/>
                      <w:color w:val="000000" w:themeColor="text1"/>
                      <w:szCs w:val="21"/>
                      <w:highlight w:val="none"/>
                      <w:lang w:val="en-US" w:eastAsia="zh-CN"/>
                      <w14:textFill>
                        <w14:solidFill>
                          <w14:schemeClr w14:val="tx1"/>
                        </w14:solidFill>
                      </w14:textFill>
                    </w:rPr>
                    <w:t>28</w:t>
                  </w:r>
                  <w:r>
                    <w:rPr>
                      <w:rFonts w:hint="default" w:ascii="Times New Roman" w:hAnsi="Times New Roman" w:eastAsia="宋体" w:cs="Times New Roman"/>
                      <w:color w:val="000000" w:themeColor="text1"/>
                      <w:szCs w:val="21"/>
                      <w:highlight w:val="none"/>
                      <w14:textFill>
                        <w14:solidFill>
                          <w14:schemeClr w14:val="tx1"/>
                        </w14:solidFill>
                      </w14:textFill>
                    </w:rPr>
                    <w:t>%</w:t>
                  </w:r>
                </w:p>
              </w:tc>
            </w:tr>
          </w:tbl>
          <w:p w14:paraId="2FFDED43">
            <w:pPr>
              <w:keepNext w:val="0"/>
              <w:keepLines w:val="0"/>
              <w:pageBreakBefore w:val="0"/>
              <w:widowControl w:val="0"/>
              <w:numPr>
                <w:ilvl w:val="0"/>
                <w:numId w:val="6"/>
              </w:numPr>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000000" w:themeColor="text1"/>
                <w:kern w:val="0"/>
                <w:sz w:val="24"/>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4"/>
                <w:highlight w:val="none"/>
                <w:lang w:bidi="ar"/>
                <w14:textFill>
                  <w14:solidFill>
                    <w14:schemeClr w14:val="tx1"/>
                  </w14:solidFill>
                </w14:textFill>
              </w:rPr>
              <w:t>现有工程</w:t>
            </w:r>
            <w:r>
              <w:rPr>
                <w:rFonts w:hint="default" w:ascii="Times New Roman" w:hAnsi="Times New Roman" w:eastAsia="宋体" w:cs="Times New Roman"/>
                <w:b/>
                <w:bCs/>
                <w:color w:val="000000" w:themeColor="text1"/>
                <w:kern w:val="0"/>
                <w:sz w:val="24"/>
                <w:highlight w:val="none"/>
                <w:lang w:val="en-US" w:eastAsia="zh-CN" w:bidi="ar"/>
                <w14:textFill>
                  <w14:solidFill>
                    <w14:schemeClr w14:val="tx1"/>
                  </w14:solidFill>
                </w14:textFill>
              </w:rPr>
              <w:t>工艺流程</w:t>
            </w:r>
          </w:p>
          <w:p w14:paraId="76807DCA">
            <w:pPr>
              <w:pStyle w:val="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iC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iCs w:val="0"/>
                <w:color w:val="000000" w:themeColor="text1"/>
                <w:kern w:val="2"/>
                <w:sz w:val="24"/>
                <w:szCs w:val="24"/>
                <w:highlight w:val="none"/>
                <w:lang w:val="en-US" w:eastAsia="zh-CN" w:bidi="ar-SA"/>
                <w14:textFill>
                  <w14:solidFill>
                    <w14:schemeClr w14:val="tx1"/>
                  </w14:solidFill>
                </w14:textFill>
              </w:rPr>
              <w:t>现有工程工艺流程图详见下图。</w:t>
            </w:r>
          </w:p>
          <w:p w14:paraId="1E4676EA">
            <w:pPr>
              <w:keepNext w:val="0"/>
              <w:keepLines w:val="0"/>
              <w:suppressLineNumbers w:val="0"/>
              <w:spacing w:before="0" w:beforeAutospacing="0" w:after="0" w:afterAutospacing="0" w:line="360" w:lineRule="auto"/>
              <w:ind w:left="0" w:right="0" w:firstLine="422" w:firstLineChars="200"/>
              <w:jc w:val="center"/>
              <w:rPr>
                <w:rFonts w:hint="default" w:ascii="Times New Roman" w:hAnsi="Times New Roman" w:cs="Times New Roman"/>
                <w:b/>
                <w:color w:val="000000" w:themeColor="text1"/>
                <w:szCs w:val="21"/>
                <w:highlight w:val="none"/>
                <w14:textFill>
                  <w14:solidFill>
                    <w14:schemeClr w14:val="tx1"/>
                  </w14:solidFill>
                </w14:textFill>
              </w:rPr>
            </w:pPr>
            <w:r>
              <w:rPr>
                <w:rFonts w:hint="default" w:ascii="Times New Roman" w:hAnsi="Times New Roman" w:cs="Times New Roman"/>
                <w:b/>
                <w:color w:val="000000" w:themeColor="text1"/>
                <w:szCs w:val="21"/>
                <w:highlight w:val="none"/>
                <w14:textFill>
                  <w14:solidFill>
                    <w14:schemeClr w14:val="tx1"/>
                  </w14:solidFill>
                </w14:textFill>
              </w:rPr>
              <w:object>
                <v:shape id="_x0000_i1025" o:spt="75" type="#_x0000_t75" style="height:284.7pt;width:200pt;" o:ole="t" filled="f" o:preferrelative="t" stroked="f" coordsize="21600,21600">
                  <v:path/>
                  <v:fill on="f" focussize="0,0"/>
                  <v:stroke on="f"/>
                  <v:imagedata r:id="rId18" cropbottom="3120f" o:title=""/>
                  <o:lock v:ext="edit" aspectratio="f"/>
                  <w10:wrap type="none"/>
                  <w10:anchorlock/>
                </v:shape>
                <o:OLEObject Type="Embed" ProgID="Visio.Drawing.11" ShapeID="_x0000_i1025" DrawAspect="Content" ObjectID="_1468075725" r:id="rId17">
                  <o:LockedField>false</o:LockedField>
                </o:OLEObject>
              </w:object>
            </w:r>
          </w:p>
          <w:p w14:paraId="77AA1348">
            <w:pPr>
              <w:keepNext w:val="0"/>
              <w:keepLines w:val="0"/>
              <w:suppressLineNumbers w:val="0"/>
              <w:spacing w:before="0" w:beforeAutospacing="0" w:after="0" w:afterAutospacing="0" w:line="360" w:lineRule="auto"/>
              <w:ind w:left="0" w:right="0" w:firstLine="422" w:firstLineChars="200"/>
              <w:jc w:val="center"/>
              <w:rPr>
                <w:rFonts w:hint="default" w:ascii="Times New Roman" w:hAnsi="Times New Roman" w:eastAsia="宋体" w:cs="Times New Roman"/>
                <w:b/>
                <w:bCs/>
                <w:color w:val="000000" w:themeColor="text1"/>
                <w:szCs w:val="21"/>
                <w:highlight w:val="none"/>
                <w14:textFill>
                  <w14:solidFill>
                    <w14:schemeClr w14:val="tx1"/>
                  </w14:solidFill>
                </w14:textFill>
              </w:rPr>
            </w:pPr>
            <w:r>
              <w:rPr>
                <w:rFonts w:hint="default" w:ascii="Times New Roman" w:hAnsi="Times New Roman" w:eastAsia="宋体" w:cs="Times New Roman"/>
                <w:b/>
                <w:bCs/>
                <w:color w:val="000000" w:themeColor="text1"/>
                <w:szCs w:val="21"/>
                <w:highlight w:val="none"/>
                <w14:textFill>
                  <w14:solidFill>
                    <w14:schemeClr w14:val="tx1"/>
                  </w14:solidFill>
                </w14:textFill>
              </w:rPr>
              <w:t>图2-</w:t>
            </w:r>
            <w:r>
              <w:rPr>
                <w:rFonts w:hint="default" w:ascii="Times New Roman" w:hAnsi="Times New Roman" w:eastAsia="宋体" w:cs="Times New Roman"/>
                <w:b/>
                <w:bCs/>
                <w:color w:val="000000" w:themeColor="text1"/>
                <w:szCs w:val="21"/>
                <w:highlight w:val="none"/>
                <w:lang w:val="en-US" w:eastAsia="zh-CN"/>
                <w14:textFill>
                  <w14:solidFill>
                    <w14:schemeClr w14:val="tx1"/>
                  </w14:solidFill>
                </w14:textFill>
              </w:rPr>
              <w:t>3</w:t>
            </w:r>
            <w:r>
              <w:rPr>
                <w:rFonts w:hint="default" w:ascii="Times New Roman" w:hAnsi="Times New Roman" w:eastAsia="宋体" w:cs="Times New Roman"/>
                <w:b/>
                <w:bCs/>
                <w:color w:val="000000" w:themeColor="text1"/>
                <w:szCs w:val="21"/>
                <w:highlight w:val="none"/>
                <w14:textFill>
                  <w14:solidFill>
                    <w14:schemeClr w14:val="tx1"/>
                  </w14:solidFill>
                </w14:textFill>
              </w:rPr>
              <w:t>项目生产工艺流程及产污节点示意图</w:t>
            </w:r>
          </w:p>
          <w:p w14:paraId="0452F862">
            <w:pPr>
              <w:keepNext w:val="0"/>
              <w:keepLines w:val="0"/>
              <w:widowControl/>
              <w:suppressLineNumbers w:val="0"/>
              <w:spacing w:before="0" w:beforeAutospacing="0" w:after="0" w:afterAutospacing="0" w:line="360" w:lineRule="auto"/>
              <w:ind w:left="0" w:right="0" w:firstLine="482" w:firstLineChars="200"/>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highlight w:val="none"/>
                <w:lang w:val="en-US" w:eastAsia="zh-CN" w:bidi="ar"/>
                <w14:textFill>
                  <w14:solidFill>
                    <w14:schemeClr w14:val="tx1"/>
                  </w14:solidFill>
                </w14:textFill>
              </w:rPr>
              <w:t>五</w:t>
            </w:r>
            <w:r>
              <w:rPr>
                <w:rFonts w:hint="default" w:ascii="Times New Roman" w:hAnsi="Times New Roman" w:eastAsia="宋体" w:cs="Times New Roman"/>
                <w:b/>
                <w:bCs/>
                <w:color w:val="000000" w:themeColor="text1"/>
                <w:kern w:val="0"/>
                <w:sz w:val="24"/>
                <w:highlight w:val="none"/>
                <w:lang w:bidi="ar"/>
                <w14:textFill>
                  <w14:solidFill>
                    <w14:schemeClr w14:val="tx1"/>
                  </w14:solidFill>
                </w14:textFill>
              </w:rPr>
              <w:t>、现有工程污染物排放情况</w:t>
            </w:r>
          </w:p>
          <w:p w14:paraId="3899D284">
            <w:pPr>
              <w:keepNext w:val="0"/>
              <w:keepLines w:val="0"/>
              <w:widowControl/>
              <w:numPr>
                <w:ilvl w:val="0"/>
                <w:numId w:val="7"/>
              </w:numPr>
              <w:suppressLineNumbers w:val="0"/>
              <w:spacing w:before="0" w:beforeAutospacing="0" w:after="0" w:afterAutospacing="0" w:line="360" w:lineRule="auto"/>
              <w:ind w:left="0" w:right="0" w:firstLine="482" w:firstLineChars="200"/>
              <w:jc w:val="left"/>
              <w:rPr>
                <w:rFonts w:hint="default" w:ascii="Times New Roman" w:hAnsi="Times New Roman" w:eastAsia="宋体" w:cs="Times New Roman"/>
                <w:b/>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废气</w:t>
            </w:r>
          </w:p>
          <w:p w14:paraId="3F9C8FD7">
            <w:pPr>
              <w:keepNext w:val="0"/>
              <w:keepLines w:val="0"/>
              <w:widowControl/>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现有工程废气主要为热风炉烟气，烘干塔废气，粮食输送、</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卸粮筛分</w:t>
            </w:r>
            <w:r>
              <w:rPr>
                <w:rFonts w:hint="default" w:ascii="Times New Roman" w:hAnsi="Times New Roman" w:eastAsia="宋体" w:cs="Times New Roman"/>
                <w:color w:val="000000" w:themeColor="text1"/>
                <w:sz w:val="24"/>
                <w:highlight w:val="none"/>
                <w14:textFill>
                  <w14:solidFill>
                    <w14:schemeClr w14:val="tx1"/>
                  </w14:solidFill>
                </w14:textFill>
              </w:rPr>
              <w:t>粉尘。</w:t>
            </w:r>
          </w:p>
          <w:p w14:paraId="7B43040E">
            <w:pPr>
              <w:keepNext w:val="0"/>
              <w:keepLines w:val="0"/>
              <w:widowControl/>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（1）热风炉烟气</w:t>
            </w:r>
          </w:p>
          <w:p w14:paraId="0B53613D">
            <w:pPr>
              <w:pStyle w:val="10"/>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pacing w:val="-2"/>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1台</w:t>
            </w:r>
            <w:r>
              <w:rPr>
                <w:rFonts w:hint="eastAsia" w:eastAsia="宋体" w:cs="Times New Roman"/>
                <w:color w:val="000000" w:themeColor="text1"/>
                <w:sz w:val="24"/>
                <w:highlight w:val="none"/>
                <w:lang w:val="en-US" w:eastAsia="zh-CN"/>
                <w14:textFill>
                  <w14:solidFill>
                    <w14:schemeClr w14:val="tx1"/>
                  </w14:solidFill>
                </w14:textFill>
              </w:rPr>
              <w:t>240万大卡</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燃</w:t>
            </w:r>
            <w:r>
              <w:rPr>
                <w:rFonts w:hint="eastAsia" w:eastAsia="宋体" w:cs="Times New Roman"/>
                <w:color w:val="000000" w:themeColor="text1"/>
                <w:sz w:val="24"/>
                <w:highlight w:val="none"/>
                <w:lang w:val="en-US" w:eastAsia="zh-CN"/>
                <w14:textFill>
                  <w14:solidFill>
                    <w14:schemeClr w14:val="tx1"/>
                  </w14:solidFill>
                </w14:textFill>
              </w:rPr>
              <w:t>煤</w:t>
            </w:r>
            <w:r>
              <w:rPr>
                <w:rFonts w:hint="default" w:ascii="Times New Roman" w:hAnsi="Times New Roman" w:eastAsia="宋体" w:cs="Times New Roman"/>
                <w:color w:val="000000" w:themeColor="text1"/>
                <w:sz w:val="24"/>
                <w:highlight w:val="none"/>
                <w14:textFill>
                  <w14:solidFill>
                    <w14:schemeClr w14:val="tx1"/>
                  </w14:solidFill>
                </w14:textFill>
              </w:rPr>
              <w:t>热风炉烟气经除尘器处理后由</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1根</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15</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m</w:t>
            </w:r>
            <w:r>
              <w:rPr>
                <w:rFonts w:hint="default" w:ascii="Times New Roman" w:hAnsi="Times New Roman" w:eastAsia="宋体" w:cs="Times New Roman"/>
                <w:color w:val="000000" w:themeColor="text1"/>
                <w:sz w:val="24"/>
                <w:highlight w:val="none"/>
                <w14:textFill>
                  <w14:solidFill>
                    <w14:schemeClr w14:val="tx1"/>
                  </w14:solidFill>
                </w14:textFill>
              </w:rPr>
              <w:t>高烟囱排放。</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根据</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2016年哈尔滨汇诚环境检测有限公司的</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监测可知</w:t>
            </w:r>
            <w:r>
              <w:rPr>
                <w:rFonts w:hint="eastAsia" w:eastAsia="宋体" w:cs="Times New Roman"/>
                <w:color w:val="000000" w:themeColor="text1"/>
                <w:sz w:val="24"/>
                <w:highlight w:val="none"/>
                <w:lang w:eastAsia="zh-CN"/>
                <w14:textFill>
                  <w14:solidFill>
                    <w14:schemeClr w14:val="tx1"/>
                  </w14:solidFill>
                </w14:textFill>
              </w:rPr>
              <w:t>（</w:t>
            </w:r>
            <w:r>
              <w:rPr>
                <w:rFonts w:hint="eastAsia" w:eastAsia="宋体" w:cs="Times New Roman"/>
                <w:color w:val="000000" w:themeColor="text1"/>
                <w:sz w:val="24"/>
                <w:highlight w:val="none"/>
                <w:lang w:val="en-US" w:eastAsia="zh-CN"/>
                <w14:textFill>
                  <w14:solidFill>
                    <w14:schemeClr w14:val="tx1"/>
                  </w14:solidFill>
                </w14:textFill>
              </w:rPr>
              <w:t>见附件5</w:t>
            </w:r>
            <w:r>
              <w:rPr>
                <w:rFonts w:hint="eastAsia"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，在监测期间，</w:t>
            </w:r>
            <w:r>
              <w:rPr>
                <w:rFonts w:hint="default" w:ascii="Times New Roman" w:hAnsi="Times New Roman" w:eastAsia="宋体" w:cs="Times New Roman"/>
                <w:color w:val="000000" w:themeColor="text1"/>
                <w:sz w:val="24"/>
                <w:highlight w:val="none"/>
                <w14:textFill>
                  <w14:solidFill>
                    <w14:schemeClr w14:val="tx1"/>
                  </w14:solidFill>
                </w14:textFill>
              </w:rPr>
              <w:t>废气中颗粒物最大排放浓度为</w:t>
            </w:r>
            <w:r>
              <w:rPr>
                <w:rFonts w:hint="eastAsia" w:eastAsia="宋体" w:cs="Times New Roman"/>
                <w:color w:val="000000" w:themeColor="text1"/>
                <w:sz w:val="24"/>
                <w:highlight w:val="none"/>
                <w:lang w:val="en-US" w:eastAsia="zh-CN"/>
                <w14:textFill>
                  <w14:solidFill>
                    <w14:schemeClr w14:val="tx1"/>
                  </w14:solidFill>
                </w14:textFill>
              </w:rPr>
              <w:t>93</w:t>
            </w:r>
            <w:r>
              <w:rPr>
                <w:rFonts w:hint="default" w:ascii="Times New Roman" w:hAnsi="Times New Roman" w:eastAsia="宋体" w:cs="Times New Roman"/>
                <w:color w:val="000000" w:themeColor="text1"/>
                <w:sz w:val="24"/>
                <w:highlight w:val="none"/>
                <w14:textFill>
                  <w14:solidFill>
                    <w14:schemeClr w14:val="tx1"/>
                  </w14:solidFill>
                </w14:textFill>
              </w:rPr>
              <w:t>mg</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vertAlign w:val="baseline"/>
                <w:lang w:eastAsia="zh-CN"/>
                <w14:textFill>
                  <w14:solidFill>
                    <w14:schemeClr w14:val="tx1"/>
                  </w14:solidFill>
                </w14:textFill>
              </w:rPr>
              <w:t>，</w:t>
            </w:r>
            <w:r>
              <w:rPr>
                <w:rFonts w:hint="default" w:ascii="Times New Roman" w:hAnsi="Times New Roman" w:eastAsia="宋体" w:cs="Times New Roman"/>
                <w:color w:val="000000" w:themeColor="text1"/>
                <w:spacing w:val="-1"/>
                <w:sz w:val="24"/>
                <w:szCs w:val="24"/>
                <w:highlight w:val="none"/>
                <w14:textFill>
                  <w14:solidFill>
                    <w14:schemeClr w14:val="tx1"/>
                  </w14:solidFill>
                </w14:textFill>
              </w:rPr>
              <w:t>二氧化硫</w:t>
            </w:r>
            <w:r>
              <w:rPr>
                <w:rFonts w:hint="default" w:ascii="Times New Roman" w:hAnsi="Times New Roman" w:eastAsia="宋体" w:cs="Times New Roman"/>
                <w:color w:val="000000" w:themeColor="text1"/>
                <w:spacing w:val="-7"/>
                <w:sz w:val="24"/>
                <w:szCs w:val="24"/>
                <w:highlight w:val="none"/>
                <w14:textFill>
                  <w14:solidFill>
                    <w14:schemeClr w14:val="tx1"/>
                  </w14:solidFill>
                </w14:textFill>
              </w:rPr>
              <w:t>最大排放浓度为</w:t>
            </w:r>
            <w:r>
              <w:rPr>
                <w:rFonts w:hint="default" w:ascii="Times New Roman" w:hAnsi="Times New Roman" w:eastAsia="宋体" w:cs="Times New Roman"/>
                <w:color w:val="000000" w:themeColor="text1"/>
                <w:spacing w:val="-7"/>
                <w:sz w:val="24"/>
                <w:szCs w:val="24"/>
                <w:highlight w:val="none"/>
                <w:lang w:val="en-US" w:eastAsia="zh-CN"/>
                <w14:textFill>
                  <w14:solidFill>
                    <w14:schemeClr w14:val="tx1"/>
                  </w14:solidFill>
                </w14:textFill>
              </w:rPr>
              <w:t>1</w:t>
            </w:r>
            <w:r>
              <w:rPr>
                <w:rFonts w:hint="eastAsia" w:eastAsia="宋体" w:cs="Times New Roman"/>
                <w:color w:val="000000" w:themeColor="text1"/>
                <w:spacing w:val="-7"/>
                <w:sz w:val="24"/>
                <w:szCs w:val="24"/>
                <w:highlight w:val="none"/>
                <w:lang w:val="en-US" w:eastAsia="zh-CN"/>
                <w14:textFill>
                  <w14:solidFill>
                    <w14:schemeClr w14:val="tx1"/>
                  </w14:solidFill>
                </w14:textFill>
              </w:rPr>
              <w:t>43</w:t>
            </w:r>
            <w:r>
              <w:rPr>
                <w:rFonts w:hint="default" w:ascii="Times New Roman" w:hAnsi="Times New Roman" w:eastAsia="宋体" w:cs="Times New Roman"/>
                <w:color w:val="000000" w:themeColor="text1"/>
                <w:sz w:val="24"/>
                <w:szCs w:val="24"/>
                <w:highlight w:val="none"/>
                <w14:textFill>
                  <w14:solidFill>
                    <w14:schemeClr w14:val="tx1"/>
                  </w14:solidFill>
                </w14:textFill>
              </w:rPr>
              <w:t>mg/m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vertAlign w:val="baseli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氮氧化物</w:t>
            </w:r>
            <w:r>
              <w:rPr>
                <w:rFonts w:hint="default" w:ascii="Times New Roman" w:hAnsi="Times New Roman" w:eastAsia="宋体" w:cs="Times New Roman"/>
                <w:color w:val="000000" w:themeColor="text1"/>
                <w:spacing w:val="-7"/>
                <w:sz w:val="24"/>
                <w:szCs w:val="24"/>
                <w:highlight w:val="none"/>
                <w14:textFill>
                  <w14:solidFill>
                    <w14:schemeClr w14:val="tx1"/>
                  </w14:solidFill>
                </w14:textFill>
              </w:rPr>
              <w:t>最大排放浓度为</w:t>
            </w:r>
            <w:r>
              <w:rPr>
                <w:rFonts w:hint="eastAsia" w:eastAsia="宋体" w:cs="Times New Roman"/>
                <w:color w:val="000000" w:themeColor="text1"/>
                <w:spacing w:val="-7"/>
                <w:sz w:val="24"/>
                <w:szCs w:val="24"/>
                <w:highlight w:val="none"/>
                <w:lang w:val="en-US" w:eastAsia="zh-CN"/>
                <w14:textFill>
                  <w14:solidFill>
                    <w14:schemeClr w14:val="tx1"/>
                  </w14:solidFill>
                </w14:textFill>
              </w:rPr>
              <w:t>80</w:t>
            </w:r>
            <w:r>
              <w:rPr>
                <w:rFonts w:hint="default" w:ascii="Times New Roman" w:hAnsi="Times New Roman" w:eastAsia="宋体" w:cs="Times New Roman"/>
                <w:color w:val="000000" w:themeColor="text1"/>
                <w:sz w:val="24"/>
                <w:szCs w:val="24"/>
                <w:highlight w:val="none"/>
                <w14:textFill>
                  <w14:solidFill>
                    <w14:schemeClr w14:val="tx1"/>
                  </w14:solidFill>
                </w14:textFill>
              </w:rPr>
              <w:t>mg/m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vertAlign w:val="baseli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烟气黑度&lt;1</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均满足《</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工</w:t>
            </w:r>
            <w:r>
              <w:rPr>
                <w:rFonts w:hint="default" w:ascii="Times New Roman" w:hAnsi="Times New Roman" w:eastAsia="宋体" w:cs="Times New Roman"/>
                <w:color w:val="000000" w:themeColor="text1"/>
                <w:sz w:val="24"/>
                <w:szCs w:val="24"/>
                <w:highlight w:val="none"/>
                <w14:textFill>
                  <w14:solidFill>
                    <w14:schemeClr w14:val="tx1"/>
                  </w14:solidFill>
                </w14:textFill>
              </w:rPr>
              <w:t>业炉炉大气污染物排放标准》(GB9078- 1996)中锅炉污染物排放限值要求</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w:t>
            </w:r>
          </w:p>
          <w:p w14:paraId="793733D9">
            <w:pPr>
              <w:pStyle w:val="10"/>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（2）</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厂界无组织排放废气主要包括</w:t>
            </w:r>
            <w:r>
              <w:rPr>
                <w:rFonts w:hint="default" w:ascii="Times New Roman" w:hAnsi="Times New Roman" w:eastAsia="宋体" w:cs="Times New Roman"/>
                <w:color w:val="000000" w:themeColor="text1"/>
                <w:sz w:val="24"/>
                <w:highlight w:val="none"/>
                <w14:textFill>
                  <w14:solidFill>
                    <w14:schemeClr w14:val="tx1"/>
                  </w14:solidFill>
                </w14:textFill>
              </w:rPr>
              <w:t>烘干塔废气</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粮食输送粉尘</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卸粮</w:t>
            </w:r>
            <w:r>
              <w:rPr>
                <w:rFonts w:hint="default" w:ascii="Times New Roman" w:hAnsi="Times New Roman" w:eastAsia="宋体" w:cs="Times New Roman"/>
                <w:color w:val="000000" w:themeColor="text1"/>
                <w:sz w:val="24"/>
                <w:highlight w:val="none"/>
                <w14:textFill>
                  <w14:solidFill>
                    <w14:schemeClr w14:val="tx1"/>
                  </w14:solidFill>
                </w14:textFill>
              </w:rPr>
              <w:t>粉尘</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经</w:t>
            </w:r>
            <w:r>
              <w:rPr>
                <w:rFonts w:hint="default" w:ascii="Times New Roman" w:hAnsi="Times New Roman" w:eastAsia="宋体" w:cs="Times New Roman"/>
                <w:color w:val="000000" w:themeColor="text1"/>
                <w:sz w:val="24"/>
                <w:highlight w:val="none"/>
                <w14:textFill>
                  <w14:solidFill>
                    <w14:schemeClr w14:val="tx1"/>
                  </w14:solidFill>
                </w14:textFill>
              </w:rPr>
              <w:t>烘干塔设置管道</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在塔体排潮孔外设置金属防尘挡板</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用密闭的粮食输送、筛分设备</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减小装卸高度、密闭输送</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等</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措施，降低了无组织废气的排放量。</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在监测期间，根据</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哈尔滨汇诚环境检测有限公司的</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监测可知</w:t>
            </w:r>
            <w:r>
              <w:rPr>
                <w:rFonts w:hint="eastAsia" w:eastAsia="宋体" w:cs="Times New Roman"/>
                <w:color w:val="000000" w:themeColor="text1"/>
                <w:sz w:val="24"/>
                <w:highlight w:val="none"/>
                <w:lang w:eastAsia="zh-CN"/>
                <w14:textFill>
                  <w14:solidFill>
                    <w14:schemeClr w14:val="tx1"/>
                  </w14:solidFill>
                </w14:textFill>
              </w:rPr>
              <w:t>（</w:t>
            </w:r>
            <w:r>
              <w:rPr>
                <w:rFonts w:hint="eastAsia" w:eastAsia="宋体" w:cs="Times New Roman"/>
                <w:color w:val="000000" w:themeColor="text1"/>
                <w:sz w:val="24"/>
                <w:highlight w:val="none"/>
                <w:lang w:val="en-US" w:eastAsia="zh-CN"/>
                <w14:textFill>
                  <w14:solidFill>
                    <w14:schemeClr w14:val="tx1"/>
                  </w14:solidFill>
                </w14:textFill>
              </w:rPr>
              <w:t>见附件5</w:t>
            </w:r>
            <w:r>
              <w:rPr>
                <w:rFonts w:hint="eastAsia"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无组织废气</w:t>
            </w:r>
            <w:r>
              <w:rPr>
                <w:rFonts w:hint="default" w:ascii="Times New Roman" w:hAnsi="Times New Roman" w:eastAsia="宋体" w:cs="Times New Roman"/>
                <w:color w:val="000000" w:themeColor="text1"/>
                <w:sz w:val="24"/>
                <w:highlight w:val="none"/>
                <w14:textFill>
                  <w14:solidFill>
                    <w14:schemeClr w14:val="tx1"/>
                  </w14:solidFill>
                </w14:textFill>
              </w:rPr>
              <w:t>最大排放浓度为</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w:t>
            </w:r>
            <w:r>
              <w:rPr>
                <w:rFonts w:hint="eastAsia" w:eastAsia="宋体" w:cs="Times New Roman"/>
                <w:color w:val="000000" w:themeColor="text1"/>
                <w:sz w:val="24"/>
                <w:highlight w:val="none"/>
                <w:lang w:val="en-US" w:eastAsia="zh-CN"/>
                <w14:textFill>
                  <w14:solidFill>
                    <w14:schemeClr w14:val="tx1"/>
                  </w14:solidFill>
                </w14:textFill>
              </w:rPr>
              <w:t>26</w:t>
            </w:r>
            <w:r>
              <w:rPr>
                <w:rFonts w:hint="default" w:ascii="Times New Roman" w:hAnsi="Times New Roman" w:eastAsia="宋体" w:cs="Times New Roman"/>
                <w:color w:val="000000" w:themeColor="text1"/>
                <w:sz w:val="24"/>
                <w:highlight w:val="none"/>
                <w14:textFill>
                  <w14:solidFill>
                    <w14:schemeClr w14:val="tx1"/>
                  </w14:solidFill>
                </w14:textFill>
              </w:rPr>
              <w:t>mg</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kern w:val="0"/>
                <w:sz w:val="24"/>
                <w:highlight w:val="none"/>
                <w:lang w:eastAsia="zh-CN" w:bidi="ar"/>
                <w14:textFill>
                  <w14:solidFill>
                    <w14:schemeClr w14:val="tx1"/>
                  </w14:solidFill>
                </w14:textFill>
              </w:rPr>
              <w:t>，</w:t>
            </w:r>
            <w:r>
              <w:rPr>
                <w:rFonts w:hint="default" w:ascii="Times New Roman" w:hAnsi="Times New Roman" w:eastAsia="宋体" w:cs="Times New Roman"/>
                <w:color w:val="000000" w:themeColor="text1"/>
                <w:kern w:val="0"/>
                <w:sz w:val="24"/>
                <w:highlight w:val="none"/>
                <w:lang w:val="en-US" w:eastAsia="zh-CN" w:bidi="ar"/>
                <w14:textFill>
                  <w14:solidFill>
                    <w14:schemeClr w14:val="tx1"/>
                  </w14:solidFill>
                </w14:textFill>
              </w:rPr>
              <w:t>满足</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《大气污染物综合排放标准》（GB16297-1996）表2无组织排放监控浓度限值</w:t>
            </w:r>
            <w:r>
              <w:rPr>
                <w:rFonts w:hint="default" w:ascii="Times New Roman" w:hAnsi="Times New Roman" w:eastAsia="宋体" w:cs="Times New Roman"/>
                <w:color w:val="000000" w:themeColor="text1"/>
                <w:sz w:val="24"/>
                <w:highlight w:val="none"/>
                <w14:textFill>
                  <w14:solidFill>
                    <w14:schemeClr w14:val="tx1"/>
                  </w14:solidFill>
                </w14:textFill>
              </w:rPr>
              <w:t>标准</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p>
          <w:p w14:paraId="1C51E816">
            <w:pPr>
              <w:keepNext w:val="0"/>
              <w:keepLines w:val="0"/>
              <w:widowControl/>
              <w:suppressLineNumbers w:val="0"/>
              <w:spacing w:before="0" w:beforeAutospacing="0" w:after="0" w:afterAutospacing="0" w:line="360" w:lineRule="auto"/>
              <w:ind w:left="0" w:right="0" w:firstLine="482" w:firstLineChars="200"/>
              <w:jc w:val="left"/>
              <w:rPr>
                <w:rFonts w:hint="default" w:ascii="Times New Roman" w:hAnsi="Times New Roman" w:eastAsia="宋体" w:cs="Times New Roman"/>
                <w:b/>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2、废水</w:t>
            </w:r>
          </w:p>
          <w:p w14:paraId="06C6DB8D">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bCs/>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现有工程生产不用水，无生产废水产生，员工生活污水排入防渗</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旱厕</w:t>
            </w:r>
            <w:r>
              <w:rPr>
                <w:rFonts w:hint="default" w:ascii="Times New Roman" w:hAnsi="Times New Roman" w:eastAsia="宋体" w:cs="Times New Roman"/>
                <w:color w:val="000000" w:themeColor="text1"/>
                <w:sz w:val="24"/>
                <w:highlight w:val="none"/>
                <w14:textFill>
                  <w14:solidFill>
                    <w14:schemeClr w14:val="tx1"/>
                  </w14:solidFill>
                </w14:textFill>
              </w:rPr>
              <w:t>，定期清掏，外运堆肥</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w:t>
            </w:r>
          </w:p>
          <w:p w14:paraId="31490381">
            <w:pPr>
              <w:keepNext w:val="0"/>
              <w:keepLines w:val="0"/>
              <w:widowControl/>
              <w:suppressLineNumbers w:val="0"/>
              <w:spacing w:before="0" w:beforeAutospacing="0" w:after="0" w:afterAutospacing="0" w:line="360" w:lineRule="auto"/>
              <w:ind w:left="0" w:right="0" w:firstLine="482" w:firstLineChars="200"/>
              <w:jc w:val="left"/>
              <w:rPr>
                <w:rFonts w:hint="default" w:ascii="Times New Roman" w:hAnsi="Times New Roman" w:eastAsia="宋体" w:cs="Times New Roman"/>
                <w:b/>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3、噪声</w:t>
            </w:r>
          </w:p>
          <w:p w14:paraId="38D73A6C">
            <w:pPr>
              <w:pStyle w:val="5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现有工程噪声来自于生产设备和运输车辆产生噪声，噪声值范围在75～90dB</w:t>
            </w:r>
            <w:r>
              <w:rPr>
                <w:rFonts w:hint="default" w:ascii="Times New Roman" w:hAnsi="Times New Roman" w:eastAsia="宋体" w:cs="Times New Roman"/>
                <w:color w:val="000000" w:themeColor="text1"/>
                <w:sz w:val="24"/>
                <w:highlight w:val="none"/>
                <w14:textFill>
                  <w14:solidFill>
                    <w14:schemeClr w14:val="tx1"/>
                  </w14:solidFill>
                </w14:textFill>
              </w:rPr>
              <w:t>(A)之间，采取了选用低噪声设备，</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对高噪声设备加装减振垫，加设消音器等措施。</w:t>
            </w:r>
            <w:r>
              <w:rPr>
                <w:rFonts w:hint="default" w:ascii="Times New Roman" w:hAnsi="Times New Roman" w:eastAsia="宋体" w:cs="Times New Roman"/>
                <w:color w:val="000000" w:themeColor="text1"/>
                <w:highlight w:val="none"/>
                <w:lang w:eastAsia="zh-CN" w:bidi="ar"/>
                <w14:textFill>
                  <w14:solidFill>
                    <w14:schemeClr w14:val="tx1"/>
                  </w14:solidFill>
                </w14:textFill>
              </w:rPr>
              <w:t>根据</w:t>
            </w:r>
            <w:r>
              <w:rPr>
                <w:rFonts w:hint="default" w:ascii="Times New Roman" w:hAnsi="Times New Roman" w:eastAsia="宋体" w:cs="Times New Roman"/>
                <w:color w:val="000000" w:themeColor="text1"/>
                <w:highlight w:val="none"/>
                <w:lang w:val="en-US" w:eastAsia="zh-CN" w:bidi="ar"/>
                <w14:textFill>
                  <w14:solidFill>
                    <w14:schemeClr w14:val="tx1"/>
                  </w14:solidFill>
                </w14:textFill>
              </w:rPr>
              <w:t>哈尔滨汇诚环境检测有限公司的</w:t>
            </w:r>
            <w:r>
              <w:rPr>
                <w:rFonts w:hint="default" w:ascii="Times New Roman" w:hAnsi="Times New Roman" w:eastAsia="宋体" w:cs="Times New Roman"/>
                <w:color w:val="000000" w:themeColor="text1"/>
                <w:highlight w:val="none"/>
                <w:lang w:eastAsia="zh-CN" w:bidi="ar"/>
                <w14:textFill>
                  <w14:solidFill>
                    <w14:schemeClr w14:val="tx1"/>
                  </w14:solidFill>
                </w14:textFill>
              </w:rPr>
              <w:t>监测可知</w:t>
            </w:r>
            <w:r>
              <w:rPr>
                <w:rFonts w:hint="eastAsia" w:eastAsia="宋体" w:cs="Times New Roman"/>
                <w:color w:val="000000" w:themeColor="text1"/>
                <w:sz w:val="24"/>
                <w:highlight w:val="none"/>
                <w:lang w:eastAsia="zh-CN"/>
                <w14:textFill>
                  <w14:solidFill>
                    <w14:schemeClr w14:val="tx1"/>
                  </w14:solidFill>
                </w14:textFill>
              </w:rPr>
              <w:t>（</w:t>
            </w:r>
            <w:r>
              <w:rPr>
                <w:rFonts w:hint="eastAsia" w:eastAsia="宋体" w:cs="Times New Roman"/>
                <w:color w:val="000000" w:themeColor="text1"/>
                <w:sz w:val="24"/>
                <w:highlight w:val="none"/>
                <w:lang w:val="en-US" w:eastAsia="zh-CN"/>
                <w14:textFill>
                  <w14:solidFill>
                    <w14:schemeClr w14:val="tx1"/>
                  </w14:solidFill>
                </w14:textFill>
              </w:rPr>
              <w:t>见附件5</w:t>
            </w:r>
            <w:r>
              <w:rPr>
                <w:rFonts w:hint="eastAsia"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highlight w:val="none"/>
                <w:lang w:eastAsia="zh-CN" w:bidi="ar"/>
                <w14:textFill>
                  <w14:solidFill>
                    <w14:schemeClr w14:val="tx1"/>
                  </w14:solidFill>
                </w14:textFill>
              </w:rPr>
              <w:t>，在监测期间，厂界昼间测定值在</w:t>
            </w:r>
            <w:r>
              <w:rPr>
                <w:rFonts w:hint="default" w:ascii="Times New Roman" w:hAnsi="Times New Roman" w:eastAsia="宋体" w:cs="Times New Roman"/>
                <w:color w:val="000000" w:themeColor="text1"/>
                <w:highlight w:val="none"/>
                <w:lang w:val="en-US" w:eastAsia="zh-CN" w:bidi="ar"/>
                <w14:textFill>
                  <w14:solidFill>
                    <w14:schemeClr w14:val="tx1"/>
                  </w14:solidFill>
                </w14:textFill>
              </w:rPr>
              <w:t>5</w:t>
            </w:r>
            <w:r>
              <w:rPr>
                <w:rFonts w:hint="eastAsia" w:cs="Times New Roman"/>
                <w:color w:val="000000" w:themeColor="text1"/>
                <w:highlight w:val="none"/>
                <w:lang w:val="en-US" w:eastAsia="zh-CN" w:bidi="ar"/>
                <w14:textFill>
                  <w14:solidFill>
                    <w14:schemeClr w14:val="tx1"/>
                  </w14:solidFill>
                </w14:textFill>
              </w:rPr>
              <w:t>5.2</w:t>
            </w:r>
            <w:r>
              <w:rPr>
                <w:rFonts w:hint="default" w:ascii="Times New Roman" w:hAnsi="Times New Roman" w:eastAsia="宋体" w:cs="Times New Roman"/>
                <w:color w:val="000000" w:themeColor="text1"/>
                <w:highlight w:val="none"/>
                <w:lang w:eastAsia="zh-CN" w:bidi="ar"/>
                <w14:textFill>
                  <w14:solidFill>
                    <w14:schemeClr w14:val="tx1"/>
                  </w14:solidFill>
                </w14:textFill>
              </w:rPr>
              <w:t>~5</w:t>
            </w:r>
            <w:r>
              <w:rPr>
                <w:rFonts w:hint="default" w:ascii="Times New Roman" w:hAnsi="Times New Roman" w:eastAsia="宋体" w:cs="Times New Roman"/>
                <w:color w:val="000000" w:themeColor="text1"/>
                <w:highlight w:val="none"/>
                <w:lang w:val="en-US" w:eastAsia="zh-CN" w:bidi="ar"/>
                <w14:textFill>
                  <w14:solidFill>
                    <w14:schemeClr w14:val="tx1"/>
                  </w14:solidFill>
                </w14:textFill>
              </w:rPr>
              <w:t>7.</w:t>
            </w:r>
            <w:r>
              <w:rPr>
                <w:rFonts w:hint="eastAsia" w:cs="Times New Roman"/>
                <w:color w:val="000000" w:themeColor="text1"/>
                <w:highlight w:val="none"/>
                <w:lang w:val="en-US" w:eastAsia="zh-CN" w:bidi="ar"/>
                <w14:textFill>
                  <w14:solidFill>
                    <w14:schemeClr w14:val="tx1"/>
                  </w14:solidFill>
                </w14:textFill>
              </w:rPr>
              <w:t>6</w:t>
            </w:r>
            <w:r>
              <w:rPr>
                <w:rFonts w:hint="default" w:ascii="Times New Roman" w:hAnsi="Times New Roman" w:eastAsia="宋体" w:cs="Times New Roman"/>
                <w:color w:val="000000" w:themeColor="text1"/>
                <w:highlight w:val="none"/>
                <w:lang w:eastAsia="zh-CN" w:bidi="ar"/>
                <w14:textFill>
                  <w14:solidFill>
                    <w14:schemeClr w14:val="tx1"/>
                  </w14:solidFill>
                </w14:textFill>
              </w:rPr>
              <w:t>dB(A)之间，小于其标准限值（昼间：6</w:t>
            </w:r>
            <w:r>
              <w:rPr>
                <w:rFonts w:hint="default" w:ascii="Times New Roman" w:hAnsi="Times New Roman" w:eastAsia="宋体" w:cs="Times New Roman"/>
                <w:color w:val="000000" w:themeColor="text1"/>
                <w:highlight w:val="none"/>
                <w:lang w:val="en-US" w:eastAsia="zh-CN" w:bidi="ar"/>
                <w14:textFill>
                  <w14:solidFill>
                    <w14:schemeClr w14:val="tx1"/>
                  </w14:solidFill>
                </w14:textFill>
              </w:rPr>
              <w:t>0</w:t>
            </w:r>
            <w:r>
              <w:rPr>
                <w:rFonts w:hint="default" w:ascii="Times New Roman" w:hAnsi="Times New Roman" w:eastAsia="宋体" w:cs="Times New Roman"/>
                <w:color w:val="000000" w:themeColor="text1"/>
                <w:highlight w:val="none"/>
                <w:lang w:eastAsia="zh-CN" w:bidi="ar"/>
                <w14:textFill>
                  <w14:solidFill>
                    <w14:schemeClr w14:val="tx1"/>
                  </w14:solidFill>
                </w14:textFill>
              </w:rPr>
              <w:t>dB(A)）；厂界夜间噪声测定值在</w:t>
            </w:r>
            <w:r>
              <w:rPr>
                <w:rFonts w:hint="eastAsia" w:cs="Times New Roman"/>
                <w:color w:val="000000" w:themeColor="text1"/>
                <w:highlight w:val="none"/>
                <w:lang w:val="en-US" w:eastAsia="zh-CN" w:bidi="ar"/>
                <w14:textFill>
                  <w14:solidFill>
                    <w14:schemeClr w14:val="tx1"/>
                  </w14:solidFill>
                </w14:textFill>
              </w:rPr>
              <w:t>43.4</w:t>
            </w:r>
            <w:r>
              <w:rPr>
                <w:rFonts w:hint="default" w:ascii="Times New Roman" w:hAnsi="Times New Roman" w:eastAsia="宋体" w:cs="Times New Roman"/>
                <w:color w:val="000000" w:themeColor="text1"/>
                <w:highlight w:val="none"/>
                <w:lang w:eastAsia="zh-CN" w:bidi="ar"/>
                <w14:textFill>
                  <w14:solidFill>
                    <w14:schemeClr w14:val="tx1"/>
                  </w14:solidFill>
                </w14:textFill>
              </w:rPr>
              <w:t>~4</w:t>
            </w:r>
            <w:r>
              <w:rPr>
                <w:rFonts w:hint="eastAsia" w:cs="Times New Roman"/>
                <w:color w:val="000000" w:themeColor="text1"/>
                <w:highlight w:val="none"/>
                <w:lang w:val="en-US" w:eastAsia="zh-CN" w:bidi="ar"/>
                <w14:textFill>
                  <w14:solidFill>
                    <w14:schemeClr w14:val="tx1"/>
                  </w14:solidFill>
                </w14:textFill>
              </w:rPr>
              <w:t>6</w:t>
            </w:r>
            <w:r>
              <w:rPr>
                <w:rFonts w:hint="default" w:ascii="Times New Roman" w:hAnsi="Times New Roman" w:eastAsia="宋体" w:cs="Times New Roman"/>
                <w:color w:val="000000" w:themeColor="text1"/>
                <w:highlight w:val="none"/>
                <w:lang w:val="en-US" w:eastAsia="zh-CN" w:bidi="ar"/>
                <w14:textFill>
                  <w14:solidFill>
                    <w14:schemeClr w14:val="tx1"/>
                  </w14:solidFill>
                </w14:textFill>
              </w:rPr>
              <w:t>.</w:t>
            </w:r>
            <w:r>
              <w:rPr>
                <w:rFonts w:hint="eastAsia" w:cs="Times New Roman"/>
                <w:color w:val="000000" w:themeColor="text1"/>
                <w:highlight w:val="none"/>
                <w:lang w:val="en-US" w:eastAsia="zh-CN" w:bidi="ar"/>
                <w14:textFill>
                  <w14:solidFill>
                    <w14:schemeClr w14:val="tx1"/>
                  </w14:solidFill>
                </w14:textFill>
              </w:rPr>
              <w:t>2</w:t>
            </w:r>
            <w:r>
              <w:rPr>
                <w:rFonts w:hint="default" w:ascii="Times New Roman" w:hAnsi="Times New Roman" w:eastAsia="宋体" w:cs="Times New Roman"/>
                <w:color w:val="000000" w:themeColor="text1"/>
                <w:highlight w:val="none"/>
                <w:lang w:eastAsia="zh-CN" w:bidi="ar"/>
                <w14:textFill>
                  <w14:solidFill>
                    <w14:schemeClr w14:val="tx1"/>
                  </w14:solidFill>
                </w14:textFill>
              </w:rPr>
              <w:t>dB(A)之间，小于其标准限值（夜间：5</w:t>
            </w:r>
            <w:r>
              <w:rPr>
                <w:rFonts w:hint="default" w:ascii="Times New Roman" w:hAnsi="Times New Roman" w:eastAsia="宋体" w:cs="Times New Roman"/>
                <w:color w:val="000000" w:themeColor="text1"/>
                <w:highlight w:val="none"/>
                <w:lang w:val="en-US" w:eastAsia="zh-CN" w:bidi="ar"/>
                <w14:textFill>
                  <w14:solidFill>
                    <w14:schemeClr w14:val="tx1"/>
                  </w14:solidFill>
                </w14:textFill>
              </w:rPr>
              <w:t>0</w:t>
            </w:r>
            <w:r>
              <w:rPr>
                <w:rFonts w:hint="default" w:ascii="Times New Roman" w:hAnsi="Times New Roman" w:eastAsia="宋体" w:cs="Times New Roman"/>
                <w:color w:val="000000" w:themeColor="text1"/>
                <w:highlight w:val="none"/>
                <w:lang w:eastAsia="zh-CN" w:bidi="ar"/>
                <w14:textFill>
                  <w14:solidFill>
                    <w14:schemeClr w14:val="tx1"/>
                  </w14:solidFill>
                </w14:textFill>
              </w:rPr>
              <w:t>dB(A)）。</w:t>
            </w:r>
          </w:p>
          <w:p w14:paraId="4DD013C7">
            <w:pPr>
              <w:keepNext w:val="0"/>
              <w:keepLines w:val="0"/>
              <w:widowControl/>
              <w:suppressLineNumbers w:val="0"/>
              <w:spacing w:before="0" w:beforeAutospacing="0" w:after="0" w:afterAutospacing="0" w:line="360" w:lineRule="auto"/>
              <w:ind w:left="0" w:right="0" w:firstLine="482" w:firstLineChars="200"/>
              <w:jc w:val="left"/>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4、固废</w:t>
            </w:r>
          </w:p>
          <w:p w14:paraId="157D77D4">
            <w:pPr>
              <w:keepNext w:val="0"/>
              <w:keepLines w:val="0"/>
              <w:widowControl/>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现有工程运行期的固体废物主要为员工生活垃圾，碎石、杂质</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青粒、糟粒</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、灰渣</w:t>
            </w:r>
            <w:r>
              <w:rPr>
                <w:rFonts w:hint="default" w:ascii="Times New Roman" w:hAnsi="Times New Roman" w:eastAsia="宋体" w:cs="Times New Roman"/>
                <w:color w:val="000000" w:themeColor="text1"/>
                <w:sz w:val="24"/>
                <w:highlight w:val="none"/>
                <w14:textFill>
                  <w14:solidFill>
                    <w14:schemeClr w14:val="tx1"/>
                  </w14:solidFill>
                </w14:textFill>
              </w:rPr>
              <w:t>。生活垃圾集中收集由市政部门及时统一清运</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碎石、杂质集中收集后运至当地的垃圾填埋场处理</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青粒、糟粒作为饲料外卖</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灰渣作为制砖的原料卖处理。</w:t>
            </w:r>
          </w:p>
          <w:p w14:paraId="4C719573">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2" w:firstLineChars="200"/>
              <w:textAlignment w:val="auto"/>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六</w:t>
            </w: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、现有工程存在问题及整改措施</w:t>
            </w:r>
          </w:p>
          <w:p w14:paraId="02BD2193">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eastAsia" w:ascii="Times New Roman" w:hAnsi="Times New Roman" w:eastAsia="宋体" w:cs="Times New Roman"/>
                <w:b w:val="0"/>
                <w:bCs/>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4"/>
                <w:szCs w:val="24"/>
                <w:highlight w:val="none"/>
                <w:lang w:val="en-US" w:eastAsia="zh-CN" w:bidi="ar-SA"/>
                <w14:textFill>
                  <w14:solidFill>
                    <w14:schemeClr w14:val="tx1"/>
                  </w14:solidFill>
                </w14:textFill>
              </w:rPr>
              <w:t>设备与产业政策：现有工程中240万大卡燃煤热风炉、</w:t>
            </w:r>
            <w:r>
              <w:rPr>
                <w:rFonts w:hint="eastAsia" w:cs="Times New Roman"/>
                <w:b w:val="0"/>
                <w:bCs/>
                <w:color w:val="000000" w:themeColor="text1"/>
                <w:kern w:val="2"/>
                <w:sz w:val="24"/>
                <w:szCs w:val="24"/>
                <w:highlight w:val="none"/>
                <w:lang w:val="en-US" w:eastAsia="zh-CN" w:bidi="ar-SA"/>
                <w14:textFill>
                  <w14:solidFill>
                    <w14:schemeClr w14:val="tx1"/>
                  </w14:solidFill>
                </w14:textFill>
              </w:rPr>
              <w:t>2</w:t>
            </w:r>
            <w:r>
              <w:rPr>
                <w:rFonts w:hint="eastAsia" w:ascii="Times New Roman" w:hAnsi="Times New Roman" w:eastAsia="宋体" w:cs="Times New Roman"/>
                <w:b w:val="0"/>
                <w:bCs/>
                <w:color w:val="000000" w:themeColor="text1"/>
                <w:kern w:val="2"/>
                <w:sz w:val="24"/>
                <w:szCs w:val="24"/>
                <w:highlight w:val="none"/>
                <w:lang w:val="en-US" w:eastAsia="zh-CN" w:bidi="ar-SA"/>
                <w14:textFill>
                  <w14:solidFill>
                    <w14:schemeClr w14:val="tx1"/>
                  </w14:solidFill>
                </w14:textFill>
              </w:rPr>
              <w:t>00t/d烘干塔，根据《产业结构调整指导目录（2024年本）》，燃煤热风炉属于淘汰类项目，现有工程中240万大卡燃煤热风炉，已不满足当下政策。</w:t>
            </w:r>
          </w:p>
          <w:p w14:paraId="2CB5191E">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eastAsia" w:ascii="Times New Roman" w:hAnsi="Times New Roman" w:eastAsia="宋体" w:cs="Times New Roman"/>
                <w:b w:val="0"/>
                <w:bCs/>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4"/>
                <w:szCs w:val="24"/>
                <w:highlight w:val="none"/>
                <w:lang w:val="en-US" w:eastAsia="zh-CN" w:bidi="ar-SA"/>
                <w14:textFill>
                  <w14:solidFill>
                    <w14:schemeClr w14:val="tx1"/>
                  </w14:solidFill>
                </w14:textFill>
              </w:rPr>
              <w:t>排污许可手续：排污许可管理不规范，存在许可证过期未延续。</w:t>
            </w:r>
          </w:p>
          <w:p w14:paraId="62AF2878">
            <w:pPr>
              <w:pStyle w:val="2"/>
              <w:keepNext w:val="0"/>
              <w:keepLines w:val="0"/>
              <w:numPr>
                <w:ilvl w:val="0"/>
                <w:numId w:val="0"/>
              </w:numPr>
              <w:suppressLineNumbers w:val="0"/>
              <w:spacing w:before="0" w:beforeAutospacing="0" w:after="0" w:afterAutospacing="0"/>
              <w:ind w:left="420" w:leftChars="200" w:right="0" w:rightChars="0"/>
              <w:rPr>
                <w:rFonts w:hint="eastAsia" w:ascii="Times New Roman" w:hAnsi="Times New Roman" w:eastAsia="宋体" w:cs="Times New Roman"/>
                <w:iCs w:val="0"/>
                <w:color w:val="000000" w:themeColor="text1"/>
                <w:kern w:val="0"/>
                <w:sz w:val="24"/>
                <w:szCs w:val="20"/>
                <w:highlight w:val="none"/>
                <w:lang w:val="en-US" w:eastAsia="zh-CN" w:bidi="ar-SA"/>
                <w14:textFill>
                  <w14:solidFill>
                    <w14:schemeClr w14:val="tx1"/>
                  </w14:solidFill>
                </w14:textFill>
              </w:rPr>
            </w:pPr>
            <w:r>
              <w:rPr>
                <w:rFonts w:hint="eastAsia" w:ascii="Times New Roman" w:hAnsi="Times New Roman" w:eastAsia="宋体" w:cs="Times New Roman"/>
                <w:iCs w:val="0"/>
                <w:color w:val="000000" w:themeColor="text1"/>
                <w:kern w:val="0"/>
                <w:sz w:val="24"/>
                <w:szCs w:val="20"/>
                <w:highlight w:val="none"/>
                <w:lang w:val="en-US" w:eastAsia="zh-CN" w:bidi="ar-SA"/>
                <w14:textFill>
                  <w14:solidFill>
                    <w14:schemeClr w14:val="tx1"/>
                  </w14:solidFill>
                </w14:textFill>
              </w:rPr>
              <w:t>企业生产设备维修保养过程中会产生危险废物（废润滑油、废润滑油</w:t>
            </w:r>
          </w:p>
          <w:p w14:paraId="6D22A4AE">
            <w:pPr>
              <w:pStyle w:val="2"/>
              <w:keepNext w:val="0"/>
              <w:keepLines w:val="0"/>
              <w:numPr>
                <w:ilvl w:val="0"/>
                <w:numId w:val="0"/>
              </w:numPr>
              <w:suppressLineNumbers w:val="0"/>
              <w:spacing w:before="0" w:beforeAutospacing="0" w:after="0" w:afterAutospacing="0"/>
              <w:ind w:left="0" w:right="0" w:rightChars="0"/>
              <w:rPr>
                <w:rFonts w:hint="default"/>
                <w:color w:val="000000" w:themeColor="text1"/>
                <w:lang w:val="en-US" w:eastAsia="zh-CN"/>
                <w14:textFill>
                  <w14:solidFill>
                    <w14:schemeClr w14:val="tx1"/>
                  </w14:solidFill>
                </w14:textFill>
              </w:rPr>
            </w:pPr>
            <w:r>
              <w:rPr>
                <w:rFonts w:hint="eastAsia" w:ascii="Times New Roman" w:hAnsi="Times New Roman" w:eastAsia="宋体" w:cs="Times New Roman"/>
                <w:iCs w:val="0"/>
                <w:color w:val="000000" w:themeColor="text1"/>
                <w:kern w:val="0"/>
                <w:sz w:val="24"/>
                <w:szCs w:val="20"/>
                <w:highlight w:val="none"/>
                <w:lang w:val="en-US" w:eastAsia="zh-CN" w:bidi="ar-SA"/>
                <w14:textFill>
                  <w14:solidFill>
                    <w14:schemeClr w14:val="tx1"/>
                  </w14:solidFill>
                </w14:textFill>
              </w:rPr>
              <w:t>油桶及含油抹布手套）。根据《国家危险废物名录》2025版，废润滑油、废润滑油油桶及含油抹布手套属于危险废物，应设置危险废物贮存库。</w:t>
            </w:r>
          </w:p>
          <w:p w14:paraId="24005768">
            <w:pPr>
              <w:keepNext w:val="0"/>
              <w:keepLines w:val="0"/>
              <w:widowControl/>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整改措施：</w:t>
            </w:r>
          </w:p>
          <w:p w14:paraId="4CEBFAA2">
            <w:pPr>
              <w:keepNext w:val="0"/>
              <w:keepLines w:val="0"/>
              <w:widowControl/>
              <w:numPr>
                <w:ilvl w:val="0"/>
                <w:numId w:val="8"/>
              </w:numPr>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本次黑龙江省牡丹江农垦双合粮食仓储有限公司建设项目取得环评批复后，企业将立即启动全厂的排污许可申领工作，根据《固定污染源排污许可分类管理名录(2019版)》，本项目属于其他行业108，涉及通用工序简化管理的执行简化管理。按照《排污许可证申请与核发技术规范工业炉窑》(HJ1121-2020)填报排污许可并按排污许可监测要求进行例行监测。</w:t>
            </w:r>
          </w:p>
          <w:p w14:paraId="365DCB1E">
            <w:pPr>
              <w:keepNext w:val="0"/>
              <w:keepLines w:val="0"/>
              <w:widowControl/>
              <w:numPr>
                <w:ilvl w:val="0"/>
                <w:numId w:val="8"/>
              </w:numPr>
              <w:suppressLineNumbers w:val="0"/>
              <w:spacing w:before="0" w:beforeAutospacing="0" w:after="0" w:afterAutospacing="0" w:line="360" w:lineRule="auto"/>
              <w:ind w:left="0" w:leftChars="0" w:right="0" w:rightChars="0" w:firstLine="480" w:firstLineChars="200"/>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企业</w:t>
            </w:r>
            <w:r>
              <w:rPr>
                <w:rFonts w:hint="eastAsia" w:cs="Times New Roman"/>
                <w:color w:val="000000" w:themeColor="text1"/>
                <w:sz w:val="24"/>
                <w:highlight w:val="none"/>
                <w:lang w:val="en-US" w:eastAsia="zh-CN"/>
                <w14:textFill>
                  <w14:solidFill>
                    <w14:schemeClr w14:val="tx1"/>
                  </w14:solidFill>
                </w14:textFill>
              </w:rPr>
              <w:t>已</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拆除</w:t>
            </w:r>
            <w:r>
              <w:rPr>
                <w:rFonts w:hint="eastAsia" w:cs="Times New Roman"/>
                <w:color w:val="000000" w:themeColor="text1"/>
                <w:sz w:val="24"/>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00t/d烘干塔以及240万大卡燃煤热风炉设备。</w:t>
            </w:r>
          </w:p>
          <w:p w14:paraId="4B26BFB5">
            <w:pPr>
              <w:keepNext w:val="0"/>
              <w:keepLines w:val="0"/>
              <w:widowControl/>
              <w:numPr>
                <w:ilvl w:val="0"/>
                <w:numId w:val="8"/>
              </w:numPr>
              <w:suppressLineNumbers w:val="0"/>
              <w:spacing w:before="0" w:beforeAutospacing="0" w:after="0" w:afterAutospacing="0" w:line="360" w:lineRule="auto"/>
              <w:ind w:left="0" w:leftChars="0" w:right="0" w:rightChars="0" w:firstLine="480" w:firstLineChars="200"/>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设置危险废物贮存库。</w:t>
            </w:r>
          </w:p>
          <w:p w14:paraId="166D4880">
            <w:pPr>
              <w:keepNext w:val="0"/>
              <w:keepLines w:val="0"/>
              <w:widowControl/>
              <w:suppressLineNumbers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七</w:t>
            </w: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 xml:space="preserve">、现有工程污染物实际排放总量 </w:t>
            </w:r>
          </w:p>
          <w:p w14:paraId="6A9F4715">
            <w:pPr>
              <w:pStyle w:val="99"/>
              <w:keepNext w:val="0"/>
              <w:keepLines w:val="0"/>
              <w:suppressLineNumbers w:val="0"/>
              <w:spacing w:before="0" w:beforeAutospacing="0" w:after="0" w:afterAutospacing="0" w:line="500" w:lineRule="exact"/>
              <w:ind w:left="0" w:right="0" w:firstLine="480"/>
              <w:rPr>
                <w:rFonts w:hint="default" w:ascii="Times New Roman" w:hAnsi="Times New Roman" w:eastAsia="宋体" w:cs="Times New Roman"/>
                <w:color w:val="000000" w:themeColor="text1"/>
                <w:kern w:val="0"/>
                <w:sz w:val="24"/>
                <w:highlight w:val="none"/>
                <w:lang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本项目按照近三年燃料量，进行预测排放量的计算。</w:t>
            </w:r>
            <w:r>
              <w:rPr>
                <w:rFonts w:hint="eastAsia" w:cs="Times New Roman"/>
                <w:color w:val="000000" w:themeColor="text1"/>
                <w:kern w:val="0"/>
                <w:sz w:val="24"/>
                <w:highlight w:val="none"/>
                <w:lang w:val="en-US" w:eastAsia="zh-CN" w:bidi="ar"/>
                <w14:textFill>
                  <w14:solidFill>
                    <w14:schemeClr w14:val="tx1"/>
                  </w14:solidFill>
                </w14:textFill>
              </w:rPr>
              <w:t>240万大卡</w:t>
            </w:r>
            <w:r>
              <w:rPr>
                <w:rFonts w:hint="default" w:ascii="Times New Roman" w:hAnsi="Times New Roman" w:eastAsia="宋体" w:cs="Times New Roman"/>
                <w:color w:val="000000" w:themeColor="text1"/>
                <w:sz w:val="24"/>
                <w:szCs w:val="24"/>
                <w:highlight w:val="none"/>
                <w:vertAlign w:val="baseline"/>
                <w14:textFill>
                  <w14:solidFill>
                    <w14:schemeClr w14:val="tx1"/>
                  </w14:solidFill>
                </w14:textFill>
              </w:rPr>
              <w:t>燃</w:t>
            </w:r>
            <w:r>
              <w:rPr>
                <w:rFonts w:hint="eastAsia" w:cs="Times New Roman"/>
                <w:color w:val="000000" w:themeColor="text1"/>
                <w:sz w:val="24"/>
                <w:szCs w:val="24"/>
                <w:highlight w:val="none"/>
                <w:vertAlign w:val="baseline"/>
                <w:lang w:val="en-US" w:eastAsia="zh-CN"/>
                <w14:textFill>
                  <w14:solidFill>
                    <w14:schemeClr w14:val="tx1"/>
                  </w14:solidFill>
                </w14:textFill>
              </w:rPr>
              <w:t>煤</w:t>
            </w:r>
            <w:r>
              <w:rPr>
                <w:rFonts w:hint="default" w:ascii="Times New Roman" w:hAnsi="Times New Roman" w:eastAsia="宋体" w:cs="Times New Roman"/>
                <w:color w:val="000000" w:themeColor="text1"/>
                <w:sz w:val="24"/>
                <w:szCs w:val="24"/>
                <w:highlight w:val="none"/>
                <w:vertAlign w:val="baseline"/>
                <w14:textFill>
                  <w14:solidFill>
                    <w14:schemeClr w14:val="tx1"/>
                  </w14:solidFill>
                </w14:textFill>
              </w:rPr>
              <w:t>热风炉</w:t>
            </w:r>
            <w:r>
              <w:rPr>
                <w:rFonts w:hint="default" w:ascii="Times New Roman" w:hAnsi="Times New Roman" w:eastAsia="宋体" w:cs="Times New Roman"/>
                <w:color w:val="000000" w:themeColor="text1"/>
                <w:kern w:val="0"/>
                <w:sz w:val="24"/>
                <w:highlight w:val="none"/>
                <w:lang w:eastAsia="zh-CN" w:bidi="ar"/>
                <w14:textFill>
                  <w14:solidFill>
                    <w14:schemeClr w14:val="tx1"/>
                  </w14:solidFill>
                </w14:textFill>
              </w:rPr>
              <w:t>采用近三年企业实际</w:t>
            </w:r>
            <w:r>
              <w:rPr>
                <w:rFonts w:hint="eastAsia" w:cs="Times New Roman"/>
                <w:color w:val="000000" w:themeColor="text1"/>
                <w:kern w:val="0"/>
                <w:sz w:val="24"/>
                <w:highlight w:val="none"/>
                <w:lang w:val="en-US" w:eastAsia="zh-CN" w:bidi="ar"/>
                <w14:textFill>
                  <w14:solidFill>
                    <w14:schemeClr w14:val="tx1"/>
                  </w14:solidFill>
                </w14:textFill>
              </w:rPr>
              <w:t>平均</w:t>
            </w:r>
            <w:r>
              <w:rPr>
                <w:rFonts w:hint="default" w:ascii="Times New Roman" w:hAnsi="Times New Roman" w:eastAsia="宋体" w:cs="Times New Roman"/>
                <w:color w:val="000000" w:themeColor="text1"/>
                <w:kern w:val="0"/>
                <w:sz w:val="24"/>
                <w:highlight w:val="none"/>
                <w:lang w:eastAsia="zh-CN" w:bidi="ar"/>
                <w14:textFill>
                  <w14:solidFill>
                    <w14:schemeClr w14:val="tx1"/>
                  </w14:solidFill>
                </w14:textFill>
              </w:rPr>
              <w:t>燃</w:t>
            </w:r>
            <w:r>
              <w:rPr>
                <w:rFonts w:hint="eastAsia" w:cs="Times New Roman"/>
                <w:color w:val="000000" w:themeColor="text1"/>
                <w:kern w:val="0"/>
                <w:sz w:val="24"/>
                <w:highlight w:val="none"/>
                <w:lang w:val="en-US" w:eastAsia="zh-CN" w:bidi="ar"/>
                <w14:textFill>
                  <w14:solidFill>
                    <w14:schemeClr w14:val="tx1"/>
                  </w14:solidFill>
                </w14:textFill>
              </w:rPr>
              <w:t>煤</w:t>
            </w:r>
            <w:r>
              <w:rPr>
                <w:rFonts w:hint="default" w:ascii="Times New Roman" w:hAnsi="Times New Roman" w:eastAsia="宋体" w:cs="Times New Roman"/>
                <w:color w:val="000000" w:themeColor="text1"/>
                <w:kern w:val="0"/>
                <w:sz w:val="24"/>
                <w:highlight w:val="none"/>
                <w:lang w:eastAsia="zh-CN" w:bidi="ar"/>
                <w14:textFill>
                  <w14:solidFill>
                    <w14:schemeClr w14:val="tx1"/>
                  </w14:solidFill>
                </w14:textFill>
              </w:rPr>
              <w:t>为</w:t>
            </w:r>
            <w:r>
              <w:rPr>
                <w:rFonts w:hint="eastAsia" w:cs="Times New Roman"/>
                <w:color w:val="000000" w:themeColor="text1"/>
                <w:kern w:val="0"/>
                <w:sz w:val="24"/>
                <w:highlight w:val="none"/>
                <w:lang w:val="en-US" w:eastAsia="zh-CN" w:bidi="ar"/>
                <w14:textFill>
                  <w14:solidFill>
                    <w14:schemeClr w14:val="tx1"/>
                  </w14:solidFill>
                </w14:textFill>
              </w:rPr>
              <w:t>500</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t/a</w:t>
            </w:r>
            <w:r>
              <w:rPr>
                <w:rFonts w:hint="eastAsia" w:cs="Times New Roman"/>
                <w:color w:val="000000" w:themeColor="text1"/>
                <w:kern w:val="0"/>
                <w:sz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highlight w:val="none"/>
                <w:lang w:eastAsia="zh-CN" w:bidi="ar"/>
                <w14:textFill>
                  <w14:solidFill>
                    <w14:schemeClr w14:val="tx1"/>
                  </w14:solidFill>
                </w14:textFill>
              </w:rPr>
              <w:t>热风炉排放</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污染物为二氧化硫、烟尘和氮氧化物，经过除尘效率</w:t>
            </w:r>
            <w:r>
              <w:rPr>
                <w:rFonts w:hint="eastAsia" w:cs="Times New Roman"/>
                <w:color w:val="000000" w:themeColor="text1"/>
                <w:kern w:val="0"/>
                <w:sz w:val="24"/>
                <w:highlight w:val="none"/>
                <w:lang w:eastAsia="zh-CN" w:bidi="ar"/>
                <w14:textFill>
                  <w14:solidFill>
                    <w14:schemeClr w14:val="tx1"/>
                  </w14:solidFill>
                </w14:textFill>
              </w:rPr>
              <w:t>95%</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的除尘处理后，经高</w:t>
            </w:r>
            <w:r>
              <w:rPr>
                <w:rFonts w:hint="eastAsia" w:cs="Times New Roman"/>
                <w:color w:val="000000" w:themeColor="text1"/>
                <w:kern w:val="0"/>
                <w:sz w:val="24"/>
                <w:highlight w:val="none"/>
                <w:lang w:val="en-US" w:eastAsia="zh-CN" w:bidi="ar"/>
                <w14:textFill>
                  <w14:solidFill>
                    <w14:schemeClr w14:val="tx1"/>
                  </w14:solidFill>
                </w14:textFill>
              </w:rPr>
              <w:t>15</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m的烟囱高空排放。</w:t>
            </w:r>
          </w:p>
          <w:p w14:paraId="4265A312">
            <w:pPr>
              <w:pStyle w:val="56"/>
              <w:keepNext w:val="0"/>
              <w:keepLines w:val="0"/>
              <w:suppressLineNumbers w:val="0"/>
              <w:spacing w:before="0" w:beforeAutospacing="0" w:after="0" w:afterAutospacing="0" w:line="500" w:lineRule="exact"/>
              <w:ind w:left="0" w:right="0" w:firstLine="480"/>
              <w:rPr>
                <w:rFonts w:hint="default"/>
                <w:color w:val="000000" w:themeColor="text1"/>
                <w:highlight w:val="none"/>
                <w14:textFill>
                  <w14:solidFill>
                    <w14:schemeClr w14:val="tx1"/>
                  </w14:solidFill>
                </w14:textFill>
              </w:rPr>
            </w:pPr>
            <w:r>
              <w:rPr>
                <w:rFonts w:hint="default"/>
                <w:color w:val="000000" w:themeColor="text1"/>
                <w:highlight w:val="none"/>
                <w14:textFill>
                  <w14:solidFill>
                    <w14:schemeClr w14:val="tx1"/>
                  </w14:solidFill>
                </w14:textFill>
              </w:rPr>
              <w:t>参照《污染源源强核算技术指南 锅炉》（HJ991-2018）附录C中C.5，没有元素分析时，干烟气排放量的经验公式计算参照HJ953，则本项目的干烟气量为</w:t>
            </w:r>
          </w:p>
          <w:p w14:paraId="2F431F9F">
            <w:pPr>
              <w:pStyle w:val="94"/>
              <w:keepNext w:val="0"/>
              <w:keepLines w:val="0"/>
              <w:suppressLineNumbers w:val="0"/>
              <w:autoSpaceDE w:val="0"/>
              <w:spacing w:before="0" w:beforeAutospacing="0" w:after="0" w:afterAutospacing="0" w:line="500" w:lineRule="exact"/>
              <w:ind w:left="0" w:right="0" w:firstLine="480"/>
              <w:rPr>
                <w:rFonts w:hint="default"/>
                <w:bCs/>
                <w:color w:val="000000" w:themeColor="text1"/>
                <w:sz w:val="24"/>
                <w:highlight w:val="none"/>
                <w14:textFill>
                  <w14:solidFill>
                    <w14:schemeClr w14:val="tx1"/>
                  </w14:solidFill>
                </w14:textFill>
              </w:rPr>
            </w:pPr>
            <w:r>
              <w:rPr>
                <w:rFonts w:hint="default"/>
                <w:color w:val="000000" w:themeColor="text1"/>
                <w:sz w:val="24"/>
                <w:highlight w:val="none"/>
                <w14:textFill>
                  <w14:solidFill>
                    <w14:schemeClr w14:val="tx1"/>
                  </w14:solidFill>
                </w14:textFill>
              </w:rPr>
              <w:t>Vg=（0.3</w:t>
            </w:r>
            <w:r>
              <w:rPr>
                <w:rFonts w:hint="eastAsia"/>
                <w:color w:val="000000" w:themeColor="text1"/>
                <w:sz w:val="24"/>
                <w:highlight w:val="none"/>
                <w14:textFill>
                  <w14:solidFill>
                    <w14:schemeClr w14:val="tx1"/>
                  </w14:solidFill>
                </w14:textFill>
              </w:rPr>
              <w:t>93</w:t>
            </w:r>
            <w:r>
              <w:rPr>
                <w:rFonts w:hint="default"/>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29.3</w:t>
            </w:r>
            <w:r>
              <w:rPr>
                <w:rFonts w:hint="default"/>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0.876</w:t>
            </w:r>
            <w:r>
              <w:rPr>
                <w:rFonts w:hint="default"/>
                <w:color w:val="000000" w:themeColor="text1"/>
                <w:sz w:val="24"/>
                <w:highlight w:val="none"/>
                <w14:textFill>
                  <w14:solidFill>
                    <w14:schemeClr w14:val="tx1"/>
                  </w14:solidFill>
                </w14:textFill>
              </w:rPr>
              <w:t>）Nm</w:t>
            </w:r>
            <w:r>
              <w:rPr>
                <w:rFonts w:hint="default"/>
                <w:color w:val="000000" w:themeColor="text1"/>
                <w:sz w:val="24"/>
                <w:highlight w:val="none"/>
                <w:vertAlign w:val="superscript"/>
                <w14:textFill>
                  <w14:solidFill>
                    <w14:schemeClr w14:val="tx1"/>
                  </w14:solidFill>
                </w14:textFill>
              </w:rPr>
              <w:t>3</w:t>
            </w:r>
            <w:r>
              <w:rPr>
                <w:rFonts w:hint="default"/>
                <w:color w:val="000000" w:themeColor="text1"/>
                <w:sz w:val="24"/>
                <w:highlight w:val="none"/>
                <w14:textFill>
                  <w14:solidFill>
                    <w14:schemeClr w14:val="tx1"/>
                  </w14:solidFill>
                </w14:textFill>
              </w:rPr>
              <w:t>/kg×10</w:t>
            </w:r>
            <w:r>
              <w:rPr>
                <w:rFonts w:hint="default"/>
                <w:color w:val="000000" w:themeColor="text1"/>
                <w:sz w:val="24"/>
                <w:highlight w:val="none"/>
                <w:vertAlign w:val="superscript"/>
                <w14:textFill>
                  <w14:solidFill>
                    <w14:schemeClr w14:val="tx1"/>
                  </w14:solidFill>
                </w14:textFill>
              </w:rPr>
              <w:t>3</w:t>
            </w:r>
            <w:r>
              <w:rPr>
                <w:rFonts w:hint="default"/>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12.3909</w:t>
            </w:r>
            <w:r>
              <w:rPr>
                <w:rFonts w:hint="default"/>
                <w:color w:val="000000" w:themeColor="text1"/>
                <w:sz w:val="24"/>
                <w:highlight w:val="none"/>
                <w14:textFill>
                  <w14:solidFill>
                    <w14:schemeClr w14:val="tx1"/>
                  </w14:solidFill>
                </w14:textFill>
              </w:rPr>
              <w:t>Nm</w:t>
            </w:r>
            <w:r>
              <w:rPr>
                <w:rFonts w:hint="default"/>
                <w:color w:val="000000" w:themeColor="text1"/>
                <w:sz w:val="24"/>
                <w:highlight w:val="none"/>
                <w:vertAlign w:val="superscript"/>
                <w14:textFill>
                  <w14:solidFill>
                    <w14:schemeClr w14:val="tx1"/>
                  </w14:solidFill>
                </w14:textFill>
              </w:rPr>
              <w:t>3</w:t>
            </w:r>
            <w:r>
              <w:rPr>
                <w:rFonts w:hint="default"/>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kg</w:t>
            </w:r>
            <w:r>
              <w:rPr>
                <w:rFonts w:hint="default"/>
                <w:color w:val="000000" w:themeColor="text1"/>
                <w:sz w:val="24"/>
                <w:highlight w:val="none"/>
                <w14:textFill>
                  <w14:solidFill>
                    <w14:schemeClr w14:val="tx1"/>
                  </w14:solidFill>
                </w14:textFill>
              </w:rPr>
              <w:t>，燃料量为</w:t>
            </w:r>
            <w:r>
              <w:rPr>
                <w:rFonts w:hint="eastAsia" w:cs="Times New Roman"/>
                <w:color w:val="000000" w:themeColor="text1"/>
                <w:sz w:val="24"/>
                <w:highlight w:val="none"/>
                <w:lang w:val="en-US" w:eastAsia="zh-CN"/>
                <w14:textFill>
                  <w14:solidFill>
                    <w14:schemeClr w14:val="tx1"/>
                  </w14:solidFill>
                </w14:textFill>
              </w:rPr>
              <w:t>500</w:t>
            </w:r>
            <w:r>
              <w:rPr>
                <w:rFonts w:hint="default"/>
                <w:color w:val="000000" w:themeColor="text1"/>
                <w:sz w:val="24"/>
                <w:highlight w:val="none"/>
                <w14:textFill>
                  <w14:solidFill>
                    <w14:schemeClr w14:val="tx1"/>
                  </w14:solidFill>
                </w14:textFill>
              </w:rPr>
              <w:t>t/a，则</w:t>
            </w:r>
            <w:r>
              <w:rPr>
                <w:rFonts w:hint="default"/>
                <w:bCs/>
                <w:color w:val="000000" w:themeColor="text1"/>
                <w:sz w:val="24"/>
                <w:highlight w:val="none"/>
                <w14:textFill>
                  <w14:solidFill>
                    <w14:schemeClr w14:val="tx1"/>
                  </w14:solidFill>
                </w14:textFill>
              </w:rPr>
              <w:t>烟气量6195450Nm</w:t>
            </w:r>
            <w:r>
              <w:rPr>
                <w:rFonts w:hint="default"/>
                <w:bCs/>
                <w:color w:val="000000" w:themeColor="text1"/>
                <w:sz w:val="24"/>
                <w:highlight w:val="none"/>
                <w:vertAlign w:val="superscript"/>
                <w14:textFill>
                  <w14:solidFill>
                    <w14:schemeClr w14:val="tx1"/>
                  </w14:solidFill>
                </w14:textFill>
              </w:rPr>
              <w:t>3</w:t>
            </w:r>
            <w:r>
              <w:rPr>
                <w:rFonts w:hint="default"/>
                <w:bCs/>
                <w:color w:val="000000" w:themeColor="text1"/>
                <w:sz w:val="24"/>
                <w:highlight w:val="none"/>
                <w14:textFill>
                  <w14:solidFill>
                    <w14:schemeClr w14:val="tx1"/>
                  </w14:solidFill>
                </w14:textFill>
              </w:rPr>
              <w:t>/a。</w:t>
            </w:r>
          </w:p>
          <w:p w14:paraId="6DDF4B09">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a.颗粒物排放量按下式计算：</w:t>
            </w:r>
          </w:p>
          <w:p w14:paraId="3704CAEF">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drawing>
                <wp:anchor distT="0" distB="0" distL="114300" distR="114300" simplePos="0" relativeHeight="251667456" behindDoc="0" locked="0" layoutInCell="1" allowOverlap="1">
                  <wp:simplePos x="0" y="0"/>
                  <wp:positionH relativeFrom="column">
                    <wp:posOffset>998220</wp:posOffset>
                  </wp:positionH>
                  <wp:positionV relativeFrom="paragraph">
                    <wp:posOffset>102235</wp:posOffset>
                  </wp:positionV>
                  <wp:extent cx="2064385" cy="847090"/>
                  <wp:effectExtent l="0" t="0" r="12065" b="10160"/>
                  <wp:wrapTopAndBottom/>
                  <wp:docPr id="3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7"/>
                          <pic:cNvPicPr>
                            <a:picLocks noChangeAspect="1"/>
                          </pic:cNvPicPr>
                        </pic:nvPicPr>
                        <pic:blipFill>
                          <a:blip r:embed="rId19"/>
                          <a:stretch>
                            <a:fillRect/>
                          </a:stretch>
                        </pic:blipFill>
                        <pic:spPr>
                          <a:xfrm>
                            <a:off x="0" y="0"/>
                            <a:ext cx="2064385" cy="847090"/>
                          </a:xfrm>
                          <a:prstGeom prst="rect">
                            <a:avLst/>
                          </a:prstGeom>
                          <a:noFill/>
                          <a:ln>
                            <a:noFill/>
                          </a:ln>
                        </pic:spPr>
                      </pic:pic>
                    </a:graphicData>
                  </a:graphic>
                </wp:anchor>
              </w:drawing>
            </w:r>
            <w:r>
              <w:rPr>
                <w:rFonts w:hint="default" w:ascii="Times New Roman" w:hAnsi="Times New Roman" w:cs="Times New Roman"/>
                <w:color w:val="000000" w:themeColor="text1"/>
                <w:sz w:val="24"/>
                <w:highlight w:val="none"/>
                <w:lang w:val="en-US" w:eastAsia="zh-CN"/>
                <w14:textFill>
                  <w14:solidFill>
                    <w14:schemeClr w14:val="tx1"/>
                  </w14:solidFill>
                </w14:textFill>
              </w:rPr>
              <w:t xml:space="preserve"> 式中：</w:t>
            </w:r>
          </w:p>
          <w:p w14:paraId="06410EA4">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EA——核算时段内颗粒物（烟囱）排放量，t；</w:t>
            </w:r>
          </w:p>
          <w:p w14:paraId="53593DE0">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R——核算时段内锅炉燃料耗量，t，取值500t/a；</w:t>
            </w:r>
          </w:p>
          <w:p w14:paraId="066E910B">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Aar——收到基灰分质量分数，%，，本项目Aar取值4.82；</w:t>
            </w:r>
          </w:p>
          <w:p w14:paraId="015D28C9">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dfh——锅炉烟气带出的飞灰份额，%，取值（15+30）%；（数据来源《污染源源强核算技术指南 锅炉》（H 991—2018）附录B表B.2链条炉排炉，燃用煤炭、生物质）</w:t>
            </w:r>
          </w:p>
          <w:p w14:paraId="38AA010D">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ηc——综合除尘效率，%，取值95；</w:t>
            </w:r>
          </w:p>
          <w:p w14:paraId="537D57DD">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Cfh——飞灰中的可燃物含量，%，取11，（数据来源《工业锅炉经济运行》（GB/T17954-2007）表4）。</w:t>
            </w:r>
          </w:p>
          <w:p w14:paraId="33753C7C">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颗粒物</w:t>
            </w:r>
            <w:r>
              <w:rPr>
                <w:rFonts w:hint="default" w:ascii="Times New Roman" w:hAnsi="Times New Roman" w:cs="Times New Roman"/>
                <w:color w:val="000000" w:themeColor="text1"/>
                <w:sz w:val="24"/>
                <w:highlight w:val="none"/>
                <w:lang w:eastAsia="zh-CN"/>
                <w14:textFill>
                  <w14:solidFill>
                    <w14:schemeClr w14:val="tx1"/>
                  </w14:solidFill>
                </w14:textFill>
              </w:rPr>
              <w:t>排放量</w:t>
            </w:r>
            <w:r>
              <w:rPr>
                <w:rFonts w:hint="eastAsia" w:cs="Times New Roman"/>
                <w:color w:val="000000" w:themeColor="text1"/>
                <w:sz w:val="24"/>
                <w:highlight w:val="none"/>
                <w:lang w:val="en-US" w:eastAsia="zh-CN"/>
                <w14:textFill>
                  <w14:solidFill>
                    <w14:schemeClr w14:val="tx1"/>
                  </w14:solidFill>
                </w14:textFill>
              </w:rPr>
              <w:t>=【500×4.82/100×45/100×（1-0.95）】/1-0.11</w:t>
            </w:r>
            <w:r>
              <w:rPr>
                <w:rFonts w:hint="eastAsia"/>
                <w:bCs/>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0.609t/a</w:t>
            </w:r>
          </w:p>
          <w:p w14:paraId="49AD5619">
            <w:pPr>
              <w:pStyle w:val="94"/>
              <w:keepNext w:val="0"/>
              <w:keepLines w:val="0"/>
              <w:suppressLineNumbers w:val="0"/>
              <w:autoSpaceDE w:val="0"/>
              <w:spacing w:before="0" w:beforeAutospacing="0" w:after="0" w:afterAutospacing="0" w:line="500" w:lineRule="exact"/>
              <w:ind w:left="0" w:right="0" w:firstLine="480"/>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highlight w:val="none"/>
                <w:lang w:val="en-US" w:eastAsia="zh-CN"/>
                <w14:textFill>
                  <w14:solidFill>
                    <w14:schemeClr w14:val="tx1"/>
                  </w14:solidFill>
                </w14:textFill>
              </w:rPr>
              <w:t>排放浓度=</w:t>
            </w:r>
            <w:r>
              <w:rPr>
                <w:rFonts w:hint="default" w:ascii="Times New Roman" w:hAnsi="Times New Roman" w:cs="Times New Roman"/>
                <w:color w:val="000000" w:themeColor="text1"/>
                <w:sz w:val="24"/>
                <w:highlight w:val="none"/>
                <w:lang w:val="en-US" w:eastAsia="zh-CN"/>
                <w14:textFill>
                  <w14:solidFill>
                    <w14:schemeClr w14:val="tx1"/>
                  </w14:solidFill>
                </w14:textFill>
              </w:rPr>
              <w:t>0.609</w:t>
            </w:r>
            <w:r>
              <w:rPr>
                <w:rFonts w:hint="eastAsia" w:ascii="Times New Roman" w:hAnsi="Times New Roman" w:cs="Times New Roman"/>
                <w:color w:val="000000" w:themeColor="text1"/>
                <w:sz w:val="24"/>
                <w:highlight w:val="none"/>
                <w:lang w:val="en-US" w:eastAsia="zh-CN"/>
                <w14:textFill>
                  <w14:solidFill>
                    <w14:schemeClr w14:val="tx1"/>
                  </w14:solidFill>
                </w14:textFill>
              </w:rPr>
              <w:t>×10</w:t>
            </w:r>
            <w:r>
              <w:rPr>
                <w:rFonts w:hint="eastAsia" w:ascii="Times New Roman" w:hAnsi="Times New Roman" w:cs="Times New Roman"/>
                <w:color w:val="000000" w:themeColor="text1"/>
                <w:sz w:val="24"/>
                <w:highlight w:val="none"/>
                <w:vertAlign w:val="superscript"/>
                <w:lang w:val="en-US" w:eastAsia="zh-CN"/>
                <w14:textFill>
                  <w14:solidFill>
                    <w14:schemeClr w14:val="tx1"/>
                  </w14:solidFill>
                </w14:textFill>
              </w:rPr>
              <w:t>9</w:t>
            </w:r>
            <w:r>
              <w:rPr>
                <w:rFonts w:hint="eastAsia" w:cs="Times New Roman"/>
                <w:color w:val="000000" w:themeColor="text1"/>
                <w:sz w:val="24"/>
                <w:highlight w:val="none"/>
                <w:lang w:val="en-US" w:eastAsia="zh-CN"/>
                <w14:textFill>
                  <w14:solidFill>
                    <w14:schemeClr w14:val="tx1"/>
                  </w14:solidFill>
                </w14:textFill>
              </w:rPr>
              <w:t>/</w:t>
            </w:r>
            <w:r>
              <w:rPr>
                <w:rFonts w:hint="default"/>
                <w:bCs/>
                <w:color w:val="000000" w:themeColor="text1"/>
                <w:sz w:val="24"/>
                <w:highlight w:val="none"/>
                <w14:textFill>
                  <w14:solidFill>
                    <w14:schemeClr w14:val="tx1"/>
                  </w14:solidFill>
                </w14:textFill>
              </w:rPr>
              <w:t>6195450</w:t>
            </w:r>
            <w:r>
              <w:rPr>
                <w:rFonts w:hint="eastAsia"/>
                <w:bCs/>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98.34mg/m</w:t>
            </w:r>
            <w:r>
              <w:rPr>
                <w:rFonts w:hint="default" w:ascii="Times New Roman" w:hAnsi="Times New Roman" w:cs="Times New Roman"/>
                <w:color w:val="000000" w:themeColor="text1"/>
                <w:sz w:val="24"/>
                <w:highlight w:val="none"/>
                <w:vertAlign w:val="superscript"/>
                <w:lang w:val="en-US" w:eastAsia="zh-CN"/>
                <w14:textFill>
                  <w14:solidFill>
                    <w14:schemeClr w14:val="tx1"/>
                  </w14:solidFill>
                </w14:textFill>
              </w:rPr>
              <w:t>3</w:t>
            </w:r>
          </w:p>
          <w:p w14:paraId="64C64CB0">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经计算，本项目锅炉烟气中</w:t>
            </w:r>
            <w:r>
              <w:rPr>
                <w:rFonts w:hint="default" w:ascii="Times New Roman" w:hAnsi="Times New Roman" w:cs="Times New Roman"/>
                <w:color w:val="000000" w:themeColor="text1"/>
                <w:sz w:val="24"/>
                <w:highlight w:val="none"/>
                <w14:textFill>
                  <w14:solidFill>
                    <w14:schemeClr w14:val="tx1"/>
                  </w14:solidFill>
                </w14:textFill>
              </w:rPr>
              <w:t>颗粒物</w:t>
            </w:r>
            <w:r>
              <w:rPr>
                <w:rFonts w:hint="default" w:ascii="Times New Roman" w:hAnsi="Times New Roman" w:cs="Times New Roman"/>
                <w:color w:val="000000" w:themeColor="text1"/>
                <w:sz w:val="24"/>
                <w:highlight w:val="none"/>
                <w:lang w:eastAsia="zh-CN"/>
                <w14:textFill>
                  <w14:solidFill>
                    <w14:schemeClr w14:val="tx1"/>
                  </w14:solidFill>
                </w14:textFill>
              </w:rPr>
              <w:t>排放量为</w:t>
            </w:r>
            <w:r>
              <w:rPr>
                <w:rFonts w:hint="default" w:ascii="Times New Roman" w:hAnsi="Times New Roman" w:cs="Times New Roman"/>
                <w:color w:val="000000" w:themeColor="text1"/>
                <w:sz w:val="24"/>
                <w:highlight w:val="none"/>
                <w:lang w:val="en-US" w:eastAsia="zh-CN"/>
                <w14:textFill>
                  <w14:solidFill>
                    <w14:schemeClr w14:val="tx1"/>
                  </w14:solidFill>
                </w14:textFill>
              </w:rPr>
              <w:t>0.609t/a、98.34mg/m</w:t>
            </w:r>
            <w:r>
              <w:rPr>
                <w:rFonts w:hint="default" w:ascii="Times New Roman" w:hAnsi="Times New Roman"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p>
          <w:p w14:paraId="460151AD">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b.二氧化硫排放量按下式计算：</w:t>
            </w:r>
          </w:p>
          <w:p w14:paraId="1898739F">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drawing>
                <wp:anchor distT="0" distB="0" distL="114300" distR="114300" simplePos="0" relativeHeight="251668480" behindDoc="0" locked="0" layoutInCell="1" allowOverlap="1">
                  <wp:simplePos x="0" y="0"/>
                  <wp:positionH relativeFrom="column">
                    <wp:posOffset>1054100</wp:posOffset>
                  </wp:positionH>
                  <wp:positionV relativeFrom="paragraph">
                    <wp:posOffset>156210</wp:posOffset>
                  </wp:positionV>
                  <wp:extent cx="2687320" cy="477520"/>
                  <wp:effectExtent l="0" t="0" r="17780" b="17780"/>
                  <wp:wrapTopAndBottom/>
                  <wp:docPr id="3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8"/>
                          <pic:cNvPicPr>
                            <a:picLocks noChangeAspect="1"/>
                          </pic:cNvPicPr>
                        </pic:nvPicPr>
                        <pic:blipFill>
                          <a:blip r:embed="rId20"/>
                          <a:stretch>
                            <a:fillRect/>
                          </a:stretch>
                        </pic:blipFill>
                        <pic:spPr>
                          <a:xfrm>
                            <a:off x="0" y="0"/>
                            <a:ext cx="2687320" cy="477520"/>
                          </a:xfrm>
                          <a:prstGeom prst="rect">
                            <a:avLst/>
                          </a:prstGeom>
                          <a:noFill/>
                          <a:ln>
                            <a:noFill/>
                          </a:ln>
                        </pic:spPr>
                      </pic:pic>
                    </a:graphicData>
                  </a:graphic>
                </wp:anchor>
              </w:drawing>
            </w:r>
            <w:r>
              <w:rPr>
                <w:rFonts w:hint="default" w:ascii="Times New Roman" w:hAnsi="Times New Roman" w:cs="Times New Roman"/>
                <w:color w:val="000000" w:themeColor="text1"/>
                <w:sz w:val="24"/>
                <w:highlight w:val="none"/>
                <w:lang w:val="en-US" w:eastAsia="zh-CN"/>
                <w14:textFill>
                  <w14:solidFill>
                    <w14:schemeClr w14:val="tx1"/>
                  </w14:solidFill>
                </w14:textFill>
              </w:rPr>
              <w:t xml:space="preserve"> 式中：</w:t>
            </w:r>
          </w:p>
          <w:p w14:paraId="56D3C063">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ESO</w:t>
            </w:r>
            <w:r>
              <w:rPr>
                <w:rFonts w:hint="default" w:ascii="Times New Roman" w:hAnsi="Times New Roman" w:cs="Times New Roman"/>
                <w:color w:val="000000" w:themeColor="text1"/>
                <w:sz w:val="24"/>
                <w:highlight w:val="none"/>
                <w:vertAlign w:val="subscript"/>
                <w:lang w:val="en-US" w:eastAsia="zh-CN"/>
                <w14:textFill>
                  <w14:solidFill>
                    <w14:schemeClr w14:val="tx1"/>
                  </w14:solidFill>
                </w14:textFill>
              </w:rPr>
              <w:t>2</w:t>
            </w:r>
            <w:r>
              <w:rPr>
                <w:rFonts w:hint="default" w:ascii="Times New Roman" w:hAnsi="Times New Roman" w:cs="Times New Roman"/>
                <w:color w:val="000000" w:themeColor="text1"/>
                <w:sz w:val="24"/>
                <w:highlight w:val="none"/>
                <w:lang w:val="en-US" w:eastAsia="zh-CN"/>
                <w14:textFill>
                  <w14:solidFill>
                    <w14:schemeClr w14:val="tx1"/>
                  </w14:solidFill>
                </w14:textFill>
              </w:rPr>
              <w:t>——核算时段内二氧化硫排放量，t；</w:t>
            </w:r>
          </w:p>
          <w:p w14:paraId="7D519EC5">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R——核算时段内锅炉燃料耗量，t，取值500t/a；</w:t>
            </w:r>
          </w:p>
          <w:p w14:paraId="350812E6">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Sar——收到基硫的质量分数，%，根据黑龙江生物质平均含硫计算，收到基硫分=</w:t>
            </w:r>
            <w:r>
              <w:rPr>
                <w:rFonts w:hint="default" w:ascii="Times New Roman" w:hAnsi="Times New Roman" w:cs="Times New Roman"/>
                <w:color w:val="000000" w:themeColor="text1"/>
                <w:sz w:val="24"/>
                <w:highlight w:val="none"/>
                <w14:textFill>
                  <w14:solidFill>
                    <w14:schemeClr w14:val="tx1"/>
                  </w14:solidFill>
                </w14:textFill>
              </w:rPr>
              <w:t>空气干燥基全硫×（100-收到基水分）/（100-空气干燥基水分）</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本项目Sar取值0.53；</w:t>
            </w:r>
          </w:p>
          <w:p w14:paraId="7438E94E">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q4——锅炉机械不完全燃烧热损失，%，取值10（数据来源《污染源源强核算技术指南 锅炉》（HJ991—2018）附录B表B.1链条炉排炉）；</w:t>
            </w:r>
          </w:p>
          <w:p w14:paraId="2AE9B601">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ηs——脱硫效率，%，取值0；</w:t>
            </w:r>
          </w:p>
          <w:p w14:paraId="49B52836">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K——燃料中的硫燃烧后氧化成而二氧化硫的份额，量纲一的量，取值0.4。</w:t>
            </w:r>
          </w:p>
          <w:p w14:paraId="05FC333D">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二氧化硫</w:t>
            </w:r>
            <w:r>
              <w:rPr>
                <w:rFonts w:hint="default" w:ascii="Times New Roman" w:hAnsi="Times New Roman" w:cs="Times New Roman"/>
                <w:color w:val="000000" w:themeColor="text1"/>
                <w:sz w:val="24"/>
                <w:highlight w:val="none"/>
                <w:lang w:eastAsia="zh-CN"/>
                <w14:textFill>
                  <w14:solidFill>
                    <w14:schemeClr w14:val="tx1"/>
                  </w14:solidFill>
                </w14:textFill>
              </w:rPr>
              <w:t>排放量</w:t>
            </w:r>
            <w:r>
              <w:rPr>
                <w:rFonts w:hint="eastAsia" w:cs="Times New Roman"/>
                <w:color w:val="000000" w:themeColor="text1"/>
                <w:sz w:val="24"/>
                <w:highlight w:val="none"/>
                <w:lang w:val="en-US" w:eastAsia="zh-CN"/>
                <w14:textFill>
                  <w14:solidFill>
                    <w14:schemeClr w14:val="tx1"/>
                  </w14:solidFill>
                </w14:textFill>
              </w:rPr>
              <w:t>=2×500×0.53/100×（1-0.1）×（1-0）×0.4</w:t>
            </w:r>
            <w:r>
              <w:rPr>
                <w:rFonts w:hint="eastAsia"/>
                <w:bCs/>
                <w:color w:val="000000" w:themeColor="text1"/>
                <w:sz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1.908</w:t>
            </w:r>
            <w:r>
              <w:rPr>
                <w:rFonts w:hint="default" w:ascii="Times New Roman" w:hAnsi="Times New Roman" w:cs="Times New Roman"/>
                <w:color w:val="000000" w:themeColor="text1"/>
                <w:sz w:val="24"/>
                <w:highlight w:val="none"/>
                <w:lang w:val="en-US" w:eastAsia="zh-CN"/>
                <w14:textFill>
                  <w14:solidFill>
                    <w14:schemeClr w14:val="tx1"/>
                  </w14:solidFill>
                </w14:textFill>
              </w:rPr>
              <w:t>t/a</w:t>
            </w:r>
          </w:p>
          <w:p w14:paraId="5C6B4042">
            <w:pPr>
              <w:pStyle w:val="94"/>
              <w:keepNext w:val="0"/>
              <w:keepLines w:val="0"/>
              <w:suppressLineNumbers w:val="0"/>
              <w:autoSpaceDE w:val="0"/>
              <w:spacing w:before="0" w:beforeAutospacing="0" w:after="0" w:afterAutospacing="0" w:line="500" w:lineRule="exact"/>
              <w:ind w:left="0" w:right="0" w:firstLine="480"/>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highlight w:val="none"/>
                <w:lang w:val="en-US" w:eastAsia="zh-CN"/>
                <w14:textFill>
                  <w14:solidFill>
                    <w14:schemeClr w14:val="tx1"/>
                  </w14:solidFill>
                </w14:textFill>
              </w:rPr>
              <w:t>排放浓度=1.908×10</w:t>
            </w:r>
            <w:r>
              <w:rPr>
                <w:rFonts w:hint="eastAsia" w:ascii="Times New Roman" w:hAnsi="Times New Roman" w:cs="Times New Roman"/>
                <w:color w:val="000000" w:themeColor="text1"/>
                <w:sz w:val="24"/>
                <w:highlight w:val="none"/>
                <w:vertAlign w:val="superscript"/>
                <w:lang w:val="en-US" w:eastAsia="zh-CN"/>
                <w14:textFill>
                  <w14:solidFill>
                    <w14:schemeClr w14:val="tx1"/>
                  </w14:solidFill>
                </w14:textFill>
              </w:rPr>
              <w:t>9</w:t>
            </w:r>
            <w:r>
              <w:rPr>
                <w:rFonts w:hint="eastAsia" w:cs="Times New Roman"/>
                <w:color w:val="000000" w:themeColor="text1"/>
                <w:sz w:val="24"/>
                <w:highlight w:val="none"/>
                <w:lang w:val="en-US" w:eastAsia="zh-CN"/>
                <w14:textFill>
                  <w14:solidFill>
                    <w14:schemeClr w14:val="tx1"/>
                  </w14:solidFill>
                </w14:textFill>
              </w:rPr>
              <w:t>/</w:t>
            </w:r>
            <w:r>
              <w:rPr>
                <w:rFonts w:hint="default"/>
                <w:bCs/>
                <w:color w:val="000000" w:themeColor="text1"/>
                <w:sz w:val="24"/>
                <w:highlight w:val="none"/>
                <w14:textFill>
                  <w14:solidFill>
                    <w14:schemeClr w14:val="tx1"/>
                  </w14:solidFill>
                </w14:textFill>
              </w:rPr>
              <w:t>6195450</w:t>
            </w:r>
            <w:r>
              <w:rPr>
                <w:rFonts w:hint="eastAsia"/>
                <w:bCs/>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30</w:t>
            </w:r>
            <w:r>
              <w:rPr>
                <w:rFonts w:hint="eastAsia" w:ascii="Times New Roman" w:hAnsi="Times New Roman" w:cs="Times New Roman"/>
                <w:color w:val="000000" w:themeColor="text1"/>
                <w:sz w:val="24"/>
                <w:highlight w:val="none"/>
                <w:lang w:val="en-US" w:eastAsia="zh-CN"/>
                <w14:textFill>
                  <w14:solidFill>
                    <w14:schemeClr w14:val="tx1"/>
                  </w14:solidFill>
                </w14:textFill>
              </w:rPr>
              <w:t>7.97</w:t>
            </w:r>
            <w:r>
              <w:rPr>
                <w:rFonts w:hint="default" w:ascii="Times New Roman" w:hAnsi="Times New Roman" w:cs="Times New Roman"/>
                <w:color w:val="000000" w:themeColor="text1"/>
                <w:sz w:val="24"/>
                <w:highlight w:val="none"/>
                <w:lang w:val="en-US" w:eastAsia="zh-CN"/>
                <w14:textFill>
                  <w14:solidFill>
                    <w14:schemeClr w14:val="tx1"/>
                  </w14:solidFill>
                </w14:textFill>
              </w:rPr>
              <w:t>mg/m</w:t>
            </w:r>
            <w:r>
              <w:rPr>
                <w:rFonts w:hint="default" w:ascii="Times New Roman" w:hAnsi="Times New Roman" w:cs="Times New Roman"/>
                <w:color w:val="000000" w:themeColor="text1"/>
                <w:sz w:val="24"/>
                <w:highlight w:val="none"/>
                <w:vertAlign w:val="superscript"/>
                <w:lang w:val="en-US" w:eastAsia="zh-CN"/>
                <w14:textFill>
                  <w14:solidFill>
                    <w14:schemeClr w14:val="tx1"/>
                  </w14:solidFill>
                </w14:textFill>
              </w:rPr>
              <w:t>3</w:t>
            </w:r>
          </w:p>
          <w:p w14:paraId="2A9583A6">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经计算，本项目锅炉烟气中二氧化硫</w:t>
            </w:r>
            <w:r>
              <w:rPr>
                <w:rFonts w:hint="default" w:ascii="Times New Roman" w:hAnsi="Times New Roman" w:cs="Times New Roman"/>
                <w:color w:val="000000" w:themeColor="text1"/>
                <w:sz w:val="24"/>
                <w:highlight w:val="none"/>
                <w:lang w:eastAsia="zh-CN"/>
                <w14:textFill>
                  <w14:solidFill>
                    <w14:schemeClr w14:val="tx1"/>
                  </w14:solidFill>
                </w14:textFill>
              </w:rPr>
              <w:t>排放量为</w:t>
            </w:r>
            <w:r>
              <w:rPr>
                <w:rFonts w:hint="eastAsia" w:ascii="Times New Roman" w:hAnsi="Times New Roman" w:cs="Times New Roman"/>
                <w:color w:val="000000" w:themeColor="text1"/>
                <w:sz w:val="24"/>
                <w:highlight w:val="none"/>
                <w:lang w:val="en-US" w:eastAsia="zh-CN"/>
                <w14:textFill>
                  <w14:solidFill>
                    <w14:schemeClr w14:val="tx1"/>
                  </w14:solidFill>
                </w14:textFill>
              </w:rPr>
              <w:t>1.908</w:t>
            </w:r>
            <w:r>
              <w:rPr>
                <w:rFonts w:hint="default" w:ascii="Times New Roman" w:hAnsi="Times New Roman" w:cs="Times New Roman"/>
                <w:color w:val="000000" w:themeColor="text1"/>
                <w:sz w:val="24"/>
                <w:highlight w:val="none"/>
                <w:lang w:val="en-US" w:eastAsia="zh-CN"/>
                <w14:textFill>
                  <w14:solidFill>
                    <w14:schemeClr w14:val="tx1"/>
                  </w14:solidFill>
                </w14:textFill>
              </w:rPr>
              <w:t>t/a、30</w:t>
            </w:r>
            <w:r>
              <w:rPr>
                <w:rFonts w:hint="eastAsia" w:ascii="Times New Roman" w:hAnsi="Times New Roman" w:cs="Times New Roman"/>
                <w:color w:val="000000" w:themeColor="text1"/>
                <w:sz w:val="24"/>
                <w:highlight w:val="none"/>
                <w:lang w:val="en-US" w:eastAsia="zh-CN"/>
                <w14:textFill>
                  <w14:solidFill>
                    <w14:schemeClr w14:val="tx1"/>
                  </w14:solidFill>
                </w14:textFill>
              </w:rPr>
              <w:t>7.97</w:t>
            </w:r>
            <w:r>
              <w:rPr>
                <w:rFonts w:hint="default" w:ascii="Times New Roman" w:hAnsi="Times New Roman" w:cs="Times New Roman"/>
                <w:color w:val="000000" w:themeColor="text1"/>
                <w:sz w:val="24"/>
                <w:highlight w:val="none"/>
                <w:lang w:val="en-US" w:eastAsia="zh-CN"/>
                <w14:textFill>
                  <w14:solidFill>
                    <w14:schemeClr w14:val="tx1"/>
                  </w14:solidFill>
                </w14:textFill>
              </w:rPr>
              <w:t>mg/m</w:t>
            </w:r>
            <w:r>
              <w:rPr>
                <w:rFonts w:hint="default" w:ascii="Times New Roman" w:hAnsi="Times New Roman"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p>
          <w:p w14:paraId="1FE69E0E">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c.氮氧化物排放量按下式计算：</w:t>
            </w:r>
          </w:p>
          <w:p w14:paraId="067CE12C">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drawing>
                <wp:anchor distT="0" distB="0" distL="114300" distR="114300" simplePos="0" relativeHeight="251669504" behindDoc="0" locked="0" layoutInCell="1" allowOverlap="1">
                  <wp:simplePos x="0" y="0"/>
                  <wp:positionH relativeFrom="column">
                    <wp:posOffset>694055</wp:posOffset>
                  </wp:positionH>
                  <wp:positionV relativeFrom="paragraph">
                    <wp:posOffset>382905</wp:posOffset>
                  </wp:positionV>
                  <wp:extent cx="2687320" cy="560705"/>
                  <wp:effectExtent l="0" t="0" r="17780" b="10795"/>
                  <wp:wrapTopAndBottom/>
                  <wp:docPr id="3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9"/>
                          <pic:cNvPicPr>
                            <a:picLocks noChangeAspect="1"/>
                          </pic:cNvPicPr>
                        </pic:nvPicPr>
                        <pic:blipFill>
                          <a:blip r:embed="rId21"/>
                          <a:stretch>
                            <a:fillRect/>
                          </a:stretch>
                        </pic:blipFill>
                        <pic:spPr>
                          <a:xfrm>
                            <a:off x="0" y="0"/>
                            <a:ext cx="2687320" cy="560705"/>
                          </a:xfrm>
                          <a:prstGeom prst="rect">
                            <a:avLst/>
                          </a:prstGeom>
                          <a:noFill/>
                          <a:ln>
                            <a:noFill/>
                          </a:ln>
                        </pic:spPr>
                      </pic:pic>
                    </a:graphicData>
                  </a:graphic>
                </wp:anchor>
              </w:drawing>
            </w:r>
            <w:r>
              <w:rPr>
                <w:rFonts w:hint="default" w:ascii="Times New Roman" w:hAnsi="Times New Roman" w:cs="Times New Roman"/>
                <w:color w:val="000000" w:themeColor="text1"/>
                <w:sz w:val="24"/>
                <w:highlight w:val="none"/>
                <w:lang w:val="en-US" w:eastAsia="zh-CN"/>
                <w14:textFill>
                  <w14:solidFill>
                    <w14:schemeClr w14:val="tx1"/>
                  </w14:solidFill>
                </w14:textFill>
              </w:rPr>
              <w:t xml:space="preserve"> 式中：</w:t>
            </w:r>
          </w:p>
          <w:p w14:paraId="3E07CAB9">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ENO</w:t>
            </w:r>
            <w:r>
              <w:rPr>
                <w:rFonts w:hint="default" w:ascii="Times New Roman" w:hAnsi="Times New Roman" w:cs="Times New Roman"/>
                <w:color w:val="000000" w:themeColor="text1"/>
                <w:sz w:val="24"/>
                <w:highlight w:val="none"/>
                <w:vertAlign w:val="subscript"/>
                <w:lang w:val="en-US" w:eastAsia="zh-CN"/>
                <w14:textFill>
                  <w14:solidFill>
                    <w14:schemeClr w14:val="tx1"/>
                  </w14:solidFill>
                </w14:textFill>
              </w:rPr>
              <w:t>X</w:t>
            </w:r>
            <w:r>
              <w:rPr>
                <w:rFonts w:hint="default" w:ascii="Times New Roman" w:hAnsi="Times New Roman" w:cs="Times New Roman"/>
                <w:color w:val="000000" w:themeColor="text1"/>
                <w:sz w:val="24"/>
                <w:highlight w:val="none"/>
                <w:lang w:val="en-US" w:eastAsia="zh-CN"/>
                <w14:textFill>
                  <w14:solidFill>
                    <w14:schemeClr w14:val="tx1"/>
                  </w14:solidFill>
                </w14:textFill>
              </w:rPr>
              <w:t>——核算时段内氮氧化物排放量，t；</w:t>
            </w:r>
          </w:p>
          <w:p w14:paraId="26EC3044">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ρNO</w:t>
            </w:r>
            <w:r>
              <w:rPr>
                <w:rFonts w:hint="default" w:ascii="Times New Roman" w:hAnsi="Times New Roman" w:cs="Times New Roman"/>
                <w:color w:val="000000" w:themeColor="text1"/>
                <w:sz w:val="24"/>
                <w:highlight w:val="none"/>
                <w:vertAlign w:val="subscript"/>
                <w:lang w:val="en-US" w:eastAsia="zh-CN"/>
                <w14:textFill>
                  <w14:solidFill>
                    <w14:schemeClr w14:val="tx1"/>
                  </w14:solidFill>
                </w14:textFill>
              </w:rPr>
              <w:t>X</w:t>
            </w:r>
            <w:r>
              <w:rPr>
                <w:rFonts w:hint="default" w:ascii="Times New Roman" w:hAnsi="Times New Roman" w:cs="Times New Roman"/>
                <w:color w:val="000000" w:themeColor="text1"/>
                <w:sz w:val="24"/>
                <w:highlight w:val="none"/>
                <w:lang w:val="en-US" w:eastAsia="zh-CN"/>
                <w14:textFill>
                  <w14:solidFill>
                    <w14:schemeClr w14:val="tx1"/>
                  </w14:solidFill>
                </w14:textFill>
              </w:rPr>
              <w:t>——锅炉炉膛出口氮氧化物质量浓度，mg/m</w:t>
            </w:r>
            <w:r>
              <w:rPr>
                <w:rFonts w:hint="default" w:ascii="Times New Roman" w:hAnsi="Times New Roman"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highlight w:val="none"/>
                <w:lang w:val="en-US" w:eastAsia="zh-CN"/>
                <w14:textFill>
                  <w14:solidFill>
                    <w14:schemeClr w14:val="tx1"/>
                  </w14:solidFill>
                </w14:textFill>
              </w:rPr>
              <w:t>，则本次评价取300；</w:t>
            </w:r>
          </w:p>
          <w:p w14:paraId="6FCD4404">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ηNOX——脱硝效率，%，取0。</w:t>
            </w:r>
          </w:p>
          <w:p w14:paraId="7CDE5C47">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Q——核算时段内标态干烟气排放量，m</w:t>
            </w:r>
            <w:r>
              <w:rPr>
                <w:rFonts w:hint="default" w:ascii="Times New Roman" w:hAnsi="Times New Roman"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highlight w:val="none"/>
                <w:lang w:val="en-US" w:eastAsia="zh-CN"/>
                <w14:textFill>
                  <w14:solidFill>
                    <w14:schemeClr w14:val="tx1"/>
                  </w14:solidFill>
                </w14:textFill>
              </w:rPr>
              <w:t>，参照《污染源源强核算技术指南 锅炉》（HJ 991-2018）附录C中C.2、C.3计算。</w:t>
            </w:r>
          </w:p>
          <w:p w14:paraId="0DA555D3">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氮氧化物</w:t>
            </w:r>
            <w:r>
              <w:rPr>
                <w:rFonts w:hint="default" w:ascii="Times New Roman" w:hAnsi="Times New Roman" w:cs="Times New Roman"/>
                <w:color w:val="000000" w:themeColor="text1"/>
                <w:sz w:val="24"/>
                <w:highlight w:val="none"/>
                <w:lang w:eastAsia="zh-CN"/>
                <w14:textFill>
                  <w14:solidFill>
                    <w14:schemeClr w14:val="tx1"/>
                  </w14:solidFill>
                </w14:textFill>
              </w:rPr>
              <w:t>排放量</w:t>
            </w:r>
            <w:r>
              <w:rPr>
                <w:rFonts w:hint="eastAsia" w:cs="Times New Roman"/>
                <w:color w:val="000000" w:themeColor="text1"/>
                <w:sz w:val="24"/>
                <w:highlight w:val="none"/>
                <w:lang w:val="en-US" w:eastAsia="zh-CN"/>
                <w14:textFill>
                  <w14:solidFill>
                    <w14:schemeClr w14:val="tx1"/>
                  </w14:solidFill>
                </w14:textFill>
              </w:rPr>
              <w:t>=300×</w:t>
            </w:r>
            <w:r>
              <w:rPr>
                <w:rFonts w:hint="default"/>
                <w:bCs/>
                <w:color w:val="000000" w:themeColor="text1"/>
                <w:sz w:val="24"/>
                <w:highlight w:val="none"/>
                <w14:textFill>
                  <w14:solidFill>
                    <w14:schemeClr w14:val="tx1"/>
                  </w14:solidFill>
                </w14:textFill>
              </w:rPr>
              <w:t>6195450</w:t>
            </w:r>
            <w:r>
              <w:rPr>
                <w:rFonts w:hint="eastAsia" w:cs="Times New Roman"/>
                <w:color w:val="000000" w:themeColor="text1"/>
                <w:sz w:val="24"/>
                <w:highlight w:val="none"/>
                <w:lang w:val="en-US" w:eastAsia="zh-CN"/>
                <w14:textFill>
                  <w14:solidFill>
                    <w14:schemeClr w14:val="tx1"/>
                  </w14:solidFill>
                </w14:textFill>
              </w:rPr>
              <w:t>×10</w:t>
            </w:r>
            <w:r>
              <w:rPr>
                <w:rFonts w:hint="eastAsia" w:cs="Times New Roman"/>
                <w:color w:val="000000" w:themeColor="text1"/>
                <w:sz w:val="24"/>
                <w:highlight w:val="none"/>
                <w:vertAlign w:val="superscript"/>
                <w:lang w:val="en-US" w:eastAsia="zh-CN"/>
                <w14:textFill>
                  <w14:solidFill>
                    <w14:schemeClr w14:val="tx1"/>
                  </w14:solidFill>
                </w14:textFill>
              </w:rPr>
              <w:t>-9</w:t>
            </w:r>
            <w:r>
              <w:rPr>
                <w:rFonts w:hint="eastAsia"/>
                <w:bCs/>
                <w:color w:val="000000" w:themeColor="text1"/>
                <w:sz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1.859</w:t>
            </w:r>
            <w:r>
              <w:rPr>
                <w:rFonts w:hint="default" w:ascii="Times New Roman" w:hAnsi="Times New Roman" w:cs="Times New Roman"/>
                <w:color w:val="000000" w:themeColor="text1"/>
                <w:sz w:val="24"/>
                <w:highlight w:val="none"/>
                <w:lang w:val="en-US" w:eastAsia="zh-CN"/>
                <w14:textFill>
                  <w14:solidFill>
                    <w14:schemeClr w14:val="tx1"/>
                  </w14:solidFill>
                </w14:textFill>
              </w:rPr>
              <w:t>t/a</w:t>
            </w:r>
          </w:p>
          <w:p w14:paraId="3C3F6319">
            <w:pPr>
              <w:pStyle w:val="94"/>
              <w:keepNext w:val="0"/>
              <w:keepLines w:val="0"/>
              <w:suppressLineNumbers w:val="0"/>
              <w:autoSpaceDE w:val="0"/>
              <w:spacing w:before="0" w:beforeAutospacing="0" w:after="0" w:afterAutospacing="0" w:line="500" w:lineRule="exact"/>
              <w:ind w:left="0" w:right="0" w:firstLine="480"/>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highlight w:val="none"/>
                <w:lang w:val="en-US" w:eastAsia="zh-CN"/>
                <w14:textFill>
                  <w14:solidFill>
                    <w14:schemeClr w14:val="tx1"/>
                  </w14:solidFill>
                </w14:textFill>
              </w:rPr>
              <w:t>排放浓度=1.859×10</w:t>
            </w:r>
            <w:r>
              <w:rPr>
                <w:rFonts w:hint="eastAsia" w:ascii="Times New Roman" w:hAnsi="Times New Roman" w:cs="Times New Roman"/>
                <w:color w:val="000000" w:themeColor="text1"/>
                <w:sz w:val="24"/>
                <w:highlight w:val="none"/>
                <w:vertAlign w:val="superscript"/>
                <w:lang w:val="en-US" w:eastAsia="zh-CN"/>
                <w14:textFill>
                  <w14:solidFill>
                    <w14:schemeClr w14:val="tx1"/>
                  </w14:solidFill>
                </w14:textFill>
              </w:rPr>
              <w:t>9</w:t>
            </w:r>
            <w:r>
              <w:rPr>
                <w:rFonts w:hint="eastAsia" w:cs="Times New Roman"/>
                <w:color w:val="000000" w:themeColor="text1"/>
                <w:sz w:val="24"/>
                <w:highlight w:val="none"/>
                <w:lang w:val="en-US" w:eastAsia="zh-CN"/>
                <w14:textFill>
                  <w14:solidFill>
                    <w14:schemeClr w14:val="tx1"/>
                  </w14:solidFill>
                </w14:textFill>
              </w:rPr>
              <w:t>/</w:t>
            </w:r>
            <w:r>
              <w:rPr>
                <w:rFonts w:hint="default"/>
                <w:bCs/>
                <w:color w:val="000000" w:themeColor="text1"/>
                <w:sz w:val="24"/>
                <w:highlight w:val="none"/>
                <w14:textFill>
                  <w14:solidFill>
                    <w14:schemeClr w14:val="tx1"/>
                  </w14:solidFill>
                </w14:textFill>
              </w:rPr>
              <w:t>6195450</w:t>
            </w:r>
            <w:r>
              <w:rPr>
                <w:rFonts w:hint="eastAsia"/>
                <w:bCs/>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30</w:t>
            </w:r>
            <w:r>
              <w:rPr>
                <w:rFonts w:hint="eastAsia" w:ascii="Times New Roman" w:hAnsi="Times New Roman" w:cs="Times New Roman"/>
                <w:color w:val="000000" w:themeColor="text1"/>
                <w:sz w:val="24"/>
                <w:highlight w:val="none"/>
                <w:lang w:val="en-US" w:eastAsia="zh-CN"/>
                <w14:textFill>
                  <w14:solidFill>
                    <w14:schemeClr w14:val="tx1"/>
                  </w14:solidFill>
                </w14:textFill>
              </w:rPr>
              <w:t>0</w:t>
            </w:r>
            <w:r>
              <w:rPr>
                <w:rFonts w:hint="default" w:ascii="Times New Roman" w:hAnsi="Times New Roman" w:cs="Times New Roman"/>
                <w:color w:val="000000" w:themeColor="text1"/>
                <w:sz w:val="24"/>
                <w:highlight w:val="none"/>
                <w:lang w:val="en-US" w:eastAsia="zh-CN"/>
                <w14:textFill>
                  <w14:solidFill>
                    <w14:schemeClr w14:val="tx1"/>
                  </w14:solidFill>
                </w14:textFill>
              </w:rPr>
              <w:t>mg/m</w:t>
            </w:r>
            <w:r>
              <w:rPr>
                <w:rFonts w:hint="default" w:ascii="Times New Roman" w:hAnsi="Times New Roman" w:cs="Times New Roman"/>
                <w:color w:val="000000" w:themeColor="text1"/>
                <w:sz w:val="24"/>
                <w:highlight w:val="none"/>
                <w:vertAlign w:val="superscript"/>
                <w:lang w:val="en-US" w:eastAsia="zh-CN"/>
                <w14:textFill>
                  <w14:solidFill>
                    <w14:schemeClr w14:val="tx1"/>
                  </w14:solidFill>
                </w14:textFill>
              </w:rPr>
              <w:t>3</w:t>
            </w:r>
          </w:p>
          <w:p w14:paraId="0BA352A3">
            <w:pPr>
              <w:pStyle w:val="94"/>
              <w:keepNext w:val="0"/>
              <w:keepLines w:val="0"/>
              <w:suppressLineNumbers w:val="0"/>
              <w:autoSpaceDE w:val="0"/>
              <w:spacing w:before="0" w:beforeAutospacing="0" w:after="0" w:afterAutospacing="0" w:line="500" w:lineRule="exact"/>
              <w:ind w:left="0" w:right="0" w:firstLine="48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经计算，本项目锅炉烟气中氮氧化物</w:t>
            </w:r>
            <w:r>
              <w:rPr>
                <w:rFonts w:hint="default" w:ascii="Times New Roman" w:hAnsi="Times New Roman" w:cs="Times New Roman"/>
                <w:color w:val="000000" w:themeColor="text1"/>
                <w:sz w:val="24"/>
                <w:highlight w:val="none"/>
                <w:lang w:eastAsia="zh-CN"/>
                <w14:textFill>
                  <w14:solidFill>
                    <w14:schemeClr w14:val="tx1"/>
                  </w14:solidFill>
                </w14:textFill>
              </w:rPr>
              <w:t>排放量为</w:t>
            </w:r>
            <w:r>
              <w:rPr>
                <w:rFonts w:hint="eastAsia" w:ascii="Times New Roman" w:hAnsi="Times New Roman" w:cs="Times New Roman"/>
                <w:color w:val="000000" w:themeColor="text1"/>
                <w:sz w:val="24"/>
                <w:highlight w:val="none"/>
                <w:lang w:val="en-US" w:eastAsia="zh-CN"/>
                <w14:textFill>
                  <w14:solidFill>
                    <w14:schemeClr w14:val="tx1"/>
                  </w14:solidFill>
                </w14:textFill>
              </w:rPr>
              <w:t>1.859</w:t>
            </w:r>
            <w:r>
              <w:rPr>
                <w:rFonts w:hint="default" w:ascii="Times New Roman" w:hAnsi="Times New Roman" w:cs="Times New Roman"/>
                <w:color w:val="000000" w:themeColor="text1"/>
                <w:sz w:val="24"/>
                <w:highlight w:val="none"/>
                <w:lang w:val="en-US" w:eastAsia="zh-CN"/>
                <w14:textFill>
                  <w14:solidFill>
                    <w14:schemeClr w14:val="tx1"/>
                  </w14:solidFill>
                </w14:textFill>
              </w:rPr>
              <w:t>t/a、300mg/m</w:t>
            </w:r>
            <w:r>
              <w:rPr>
                <w:rFonts w:hint="default" w:ascii="Times New Roman" w:hAnsi="Times New Roman"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p>
          <w:p w14:paraId="0EEFE576">
            <w:pPr>
              <w:pStyle w:val="94"/>
              <w:keepNext w:val="0"/>
              <w:keepLines w:val="0"/>
              <w:numPr>
                <w:ilvl w:val="0"/>
                <w:numId w:val="0"/>
              </w:numPr>
              <w:suppressLineNumbers w:val="0"/>
              <w:spacing w:before="0" w:beforeAutospacing="0" w:after="0" w:afterAutospacing="0" w:line="500" w:lineRule="exact"/>
              <w:ind w:left="0" w:right="0" w:firstLine="480" w:firstLineChars="20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（2）卸粮废气</w:t>
            </w:r>
          </w:p>
          <w:p w14:paraId="5DF2CEDC">
            <w:pPr>
              <w:pStyle w:val="94"/>
              <w:keepNext w:val="0"/>
              <w:keepLines w:val="0"/>
              <w:numPr>
                <w:ilvl w:val="0"/>
                <w:numId w:val="0"/>
              </w:numPr>
              <w:suppressLineNumbers w:val="0"/>
              <w:spacing w:before="0" w:beforeAutospacing="0" w:after="0" w:afterAutospacing="0" w:line="500" w:lineRule="exact"/>
              <w:ind w:left="0" w:right="0" w:firstLine="480" w:firstLineChars="20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本项目原粮卸粮过程中会产生废气，主要污染物为颗粒物，根据《逸散性工业粉尘控制技术》中谷物贮仓，卡车卸料粉尘系数为0.16kg/t（卸料），本项目原粮卸料总量为</w:t>
            </w:r>
            <w:r>
              <w:rPr>
                <w:rFonts w:hint="eastAsia" w:ascii="Times New Roman" w:hAnsi="Times New Roman" w:cs="Times New Roman"/>
                <w:color w:val="000000" w:themeColor="text1"/>
                <w:sz w:val="24"/>
                <w:highlight w:val="none"/>
                <w:lang w:val="en-US" w:eastAsia="zh-CN"/>
                <w14:textFill>
                  <w14:solidFill>
                    <w14:schemeClr w14:val="tx1"/>
                  </w14:solidFill>
                </w14:textFill>
              </w:rPr>
              <w:t>10</w:t>
            </w:r>
            <w:r>
              <w:rPr>
                <w:rFonts w:hint="default" w:ascii="Times New Roman" w:hAnsi="Times New Roman" w:cs="Times New Roman"/>
                <w:color w:val="000000" w:themeColor="text1"/>
                <w:sz w:val="24"/>
                <w:highlight w:val="none"/>
                <w:lang w:val="en-US" w:eastAsia="zh-CN"/>
                <w14:textFill>
                  <w14:solidFill>
                    <w14:schemeClr w14:val="tx1"/>
                  </w14:solidFill>
                </w14:textFill>
              </w:rPr>
              <w:t>000吨，粉尘产生量为</w:t>
            </w:r>
            <w:r>
              <w:rPr>
                <w:rFonts w:hint="eastAsia" w:ascii="Times New Roman" w:hAnsi="Times New Roman" w:cs="Times New Roman"/>
                <w:color w:val="000000" w:themeColor="text1"/>
                <w:sz w:val="24"/>
                <w:highlight w:val="none"/>
                <w:lang w:val="en-US" w:eastAsia="zh-CN"/>
                <w14:textFill>
                  <w14:solidFill>
                    <w14:schemeClr w14:val="tx1"/>
                  </w14:solidFill>
                </w14:textFill>
              </w:rPr>
              <w:t>1.6</w:t>
            </w:r>
            <w:r>
              <w:rPr>
                <w:rFonts w:hint="default" w:ascii="Times New Roman" w:hAnsi="Times New Roman" w:cs="Times New Roman"/>
                <w:color w:val="000000" w:themeColor="text1"/>
                <w:sz w:val="24"/>
                <w:highlight w:val="none"/>
                <w:lang w:val="en-US" w:eastAsia="zh-CN"/>
                <w14:textFill>
                  <w14:solidFill>
                    <w14:schemeClr w14:val="tx1"/>
                  </w14:solidFill>
                </w14:textFill>
              </w:rPr>
              <w:t>t/a，卸粮时间按每天8h，年工作</w:t>
            </w:r>
            <w:r>
              <w:rPr>
                <w:rFonts w:hint="eastAsia" w:cs="Times New Roman"/>
                <w:color w:val="000000" w:themeColor="text1"/>
                <w:sz w:val="24"/>
                <w:highlight w:val="none"/>
                <w:lang w:val="en-US" w:eastAsia="zh-CN"/>
                <w14:textFill>
                  <w14:solidFill>
                    <w14:schemeClr w14:val="tx1"/>
                  </w14:solidFill>
                </w14:textFill>
              </w:rPr>
              <w:t>60</w:t>
            </w:r>
            <w:r>
              <w:rPr>
                <w:rFonts w:hint="default" w:ascii="Times New Roman" w:hAnsi="Times New Roman" w:cs="Times New Roman"/>
                <w:color w:val="000000" w:themeColor="text1"/>
                <w:sz w:val="24"/>
                <w:highlight w:val="none"/>
                <w:lang w:val="en-US" w:eastAsia="zh-CN"/>
                <w14:textFill>
                  <w14:solidFill>
                    <w14:schemeClr w14:val="tx1"/>
                  </w14:solidFill>
                </w14:textFill>
              </w:rPr>
              <w:t>天计，产生速率为</w:t>
            </w:r>
            <w:r>
              <w:rPr>
                <w:rFonts w:hint="eastAsia" w:cs="Times New Roman"/>
                <w:color w:val="000000" w:themeColor="text1"/>
                <w:sz w:val="24"/>
                <w:highlight w:val="none"/>
                <w:lang w:val="en-US" w:eastAsia="zh-CN"/>
                <w14:textFill>
                  <w14:solidFill>
                    <w14:schemeClr w14:val="tx1"/>
                  </w14:solidFill>
                </w14:textFill>
              </w:rPr>
              <w:t>3.33</w:t>
            </w:r>
            <w:r>
              <w:rPr>
                <w:rFonts w:hint="default" w:ascii="Times New Roman" w:hAnsi="Times New Roman" w:cs="Times New Roman"/>
                <w:color w:val="000000" w:themeColor="text1"/>
                <w:sz w:val="24"/>
                <w:highlight w:val="none"/>
                <w:lang w:val="en-US" w:eastAsia="zh-CN"/>
                <w14:textFill>
                  <w14:solidFill>
                    <w14:schemeClr w14:val="tx1"/>
                  </w14:solidFill>
                </w14:textFill>
              </w:rPr>
              <w:t>kg/h，粮食装卸粉尘绝大多数将受到重力的作用回落到地面，采取减小装卸高度、密闭输送等降尘措施，可使粉尘降低约80%，粉尘排放量为</w:t>
            </w:r>
            <w:r>
              <w:rPr>
                <w:rFonts w:hint="eastAsia" w:ascii="Times New Roman" w:hAnsi="Times New Roman" w:cs="Times New Roman"/>
                <w:color w:val="000000" w:themeColor="text1"/>
                <w:sz w:val="24"/>
                <w:highlight w:val="none"/>
                <w:lang w:val="en-US" w:eastAsia="zh-CN"/>
                <w14:textFill>
                  <w14:solidFill>
                    <w14:schemeClr w14:val="tx1"/>
                  </w14:solidFill>
                </w14:textFill>
              </w:rPr>
              <w:t>0.</w:t>
            </w:r>
            <w:r>
              <w:rPr>
                <w:rFonts w:hint="eastAsia" w:cs="Times New Roman"/>
                <w:color w:val="000000" w:themeColor="text1"/>
                <w:sz w:val="24"/>
                <w:highlight w:val="none"/>
                <w:lang w:val="en-US" w:eastAsia="zh-CN"/>
                <w14:textFill>
                  <w14:solidFill>
                    <w14:schemeClr w14:val="tx1"/>
                  </w14:solidFill>
                </w14:textFill>
              </w:rPr>
              <w:t>67</w:t>
            </w:r>
            <w:r>
              <w:rPr>
                <w:rFonts w:hint="default" w:ascii="Times New Roman" w:hAnsi="Times New Roman" w:cs="Times New Roman"/>
                <w:color w:val="000000" w:themeColor="text1"/>
                <w:sz w:val="24"/>
                <w:highlight w:val="none"/>
                <w:lang w:val="en-US" w:eastAsia="zh-CN"/>
                <w14:textFill>
                  <w14:solidFill>
                    <w14:schemeClr w14:val="tx1"/>
                  </w14:solidFill>
                </w14:textFill>
              </w:rPr>
              <w:t>kg/h、</w:t>
            </w:r>
            <w:r>
              <w:rPr>
                <w:rFonts w:hint="eastAsia" w:ascii="Times New Roman" w:hAnsi="Times New Roman" w:cs="Times New Roman"/>
                <w:color w:val="000000" w:themeColor="text1"/>
                <w:sz w:val="24"/>
                <w:highlight w:val="none"/>
                <w:lang w:val="en-US" w:eastAsia="zh-CN"/>
                <w14:textFill>
                  <w14:solidFill>
                    <w14:schemeClr w14:val="tx1"/>
                  </w14:solidFill>
                </w14:textFill>
              </w:rPr>
              <w:t>0.32</w:t>
            </w:r>
            <w:r>
              <w:rPr>
                <w:rFonts w:hint="default" w:ascii="Times New Roman" w:hAnsi="Times New Roman" w:cs="Times New Roman"/>
                <w:color w:val="000000" w:themeColor="text1"/>
                <w:sz w:val="24"/>
                <w:highlight w:val="none"/>
                <w:lang w:val="en-US" w:eastAsia="zh-CN"/>
                <w14:textFill>
                  <w14:solidFill>
                    <w14:schemeClr w14:val="tx1"/>
                  </w14:solidFill>
                </w14:textFill>
              </w:rPr>
              <w:t>t/a。</w:t>
            </w:r>
          </w:p>
          <w:p w14:paraId="6AD874BC">
            <w:pPr>
              <w:pStyle w:val="94"/>
              <w:keepNext w:val="0"/>
              <w:keepLines w:val="0"/>
              <w:numPr>
                <w:ilvl w:val="0"/>
                <w:numId w:val="0"/>
              </w:numPr>
              <w:suppressLineNumbers w:val="0"/>
              <w:spacing w:before="0" w:beforeAutospacing="0" w:after="0" w:afterAutospacing="0" w:line="500" w:lineRule="exact"/>
              <w:ind w:left="0" w:right="0" w:firstLine="480" w:firstLineChars="20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（3）筛分废气</w:t>
            </w:r>
          </w:p>
          <w:p w14:paraId="78BFE089">
            <w:pPr>
              <w:pStyle w:val="94"/>
              <w:keepNext w:val="0"/>
              <w:keepLines w:val="0"/>
              <w:numPr>
                <w:ilvl w:val="0"/>
                <w:numId w:val="0"/>
              </w:numPr>
              <w:suppressLineNumbers w:val="0"/>
              <w:spacing w:before="0" w:beforeAutospacing="0" w:after="0" w:afterAutospacing="0" w:line="500" w:lineRule="exact"/>
              <w:ind w:left="0" w:right="0" w:firstLine="480" w:firstLineChars="20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本项目原粮筛分过程中会产生废气，主要污染物为颗粒物，根据《逸散性工业粉尘控制技术》中谷物贮仓，筛分粉尘系数为0.1kg/t（过筛和清理），本项目筛分原粮量</w:t>
            </w:r>
            <w:r>
              <w:rPr>
                <w:rFonts w:hint="eastAsia" w:ascii="Times New Roman" w:hAnsi="Times New Roman" w:cs="Times New Roman"/>
                <w:color w:val="000000" w:themeColor="text1"/>
                <w:sz w:val="24"/>
                <w:highlight w:val="none"/>
                <w:lang w:val="en-US" w:eastAsia="zh-CN"/>
                <w14:textFill>
                  <w14:solidFill>
                    <w14:schemeClr w14:val="tx1"/>
                  </w14:solidFill>
                </w14:textFill>
              </w:rPr>
              <w:t>10000</w:t>
            </w:r>
            <w:r>
              <w:rPr>
                <w:rFonts w:hint="default" w:ascii="Times New Roman" w:hAnsi="Times New Roman" w:cs="Times New Roman"/>
                <w:color w:val="000000" w:themeColor="text1"/>
                <w:sz w:val="24"/>
                <w:highlight w:val="none"/>
                <w:lang w:val="en-US" w:eastAsia="zh-CN"/>
                <w14:textFill>
                  <w14:solidFill>
                    <w14:schemeClr w14:val="tx1"/>
                  </w14:solidFill>
                </w14:textFill>
              </w:rPr>
              <w:t>吨，则粉尘产生量为</w:t>
            </w:r>
            <w:r>
              <w:rPr>
                <w:rFonts w:hint="eastAsia" w:ascii="Times New Roman" w:hAnsi="Times New Roman" w:cs="Times New Roman"/>
                <w:color w:val="000000" w:themeColor="text1"/>
                <w:sz w:val="24"/>
                <w:highlight w:val="none"/>
                <w:lang w:val="en-US" w:eastAsia="zh-CN"/>
                <w14:textFill>
                  <w14:solidFill>
                    <w14:schemeClr w14:val="tx1"/>
                  </w14:solidFill>
                </w14:textFill>
              </w:rPr>
              <w:t>1</w:t>
            </w:r>
            <w:r>
              <w:rPr>
                <w:rFonts w:hint="default" w:ascii="Times New Roman" w:hAnsi="Times New Roman" w:cs="Times New Roman"/>
                <w:color w:val="000000" w:themeColor="text1"/>
                <w:sz w:val="24"/>
                <w:highlight w:val="none"/>
                <w:lang w:val="en-US" w:eastAsia="zh-CN"/>
                <w14:textFill>
                  <w14:solidFill>
                    <w14:schemeClr w14:val="tx1"/>
                  </w14:solidFill>
                </w14:textFill>
              </w:rPr>
              <w:t>t/a，原粮筛分时间按每天8h，年工作</w:t>
            </w:r>
            <w:r>
              <w:rPr>
                <w:rFonts w:hint="eastAsia" w:cs="Times New Roman"/>
                <w:color w:val="000000" w:themeColor="text1"/>
                <w:sz w:val="24"/>
                <w:highlight w:val="none"/>
                <w:lang w:val="en-US" w:eastAsia="zh-CN"/>
                <w14:textFill>
                  <w14:solidFill>
                    <w14:schemeClr w14:val="tx1"/>
                  </w14:solidFill>
                </w14:textFill>
              </w:rPr>
              <w:t>60</w:t>
            </w:r>
            <w:r>
              <w:rPr>
                <w:rFonts w:hint="default" w:ascii="Times New Roman" w:hAnsi="Times New Roman" w:cs="Times New Roman"/>
                <w:color w:val="000000" w:themeColor="text1"/>
                <w:sz w:val="24"/>
                <w:highlight w:val="none"/>
                <w:lang w:val="en-US" w:eastAsia="zh-CN"/>
                <w14:textFill>
                  <w14:solidFill>
                    <w14:schemeClr w14:val="tx1"/>
                  </w14:solidFill>
                </w14:textFill>
              </w:rPr>
              <w:t>天计，产生速率</w:t>
            </w:r>
            <w:r>
              <w:rPr>
                <w:rFonts w:hint="eastAsia" w:ascii="Times New Roman" w:hAnsi="Times New Roman" w:cs="Times New Roman"/>
                <w:color w:val="000000" w:themeColor="text1"/>
                <w:sz w:val="24"/>
                <w:highlight w:val="none"/>
                <w:lang w:val="en-US" w:eastAsia="zh-CN"/>
                <w14:textFill>
                  <w14:solidFill>
                    <w14:schemeClr w14:val="tx1"/>
                  </w14:solidFill>
                </w14:textFill>
              </w:rPr>
              <w:t>2.</w:t>
            </w:r>
            <w:r>
              <w:rPr>
                <w:rFonts w:hint="eastAsia" w:cs="Times New Roman"/>
                <w:color w:val="000000" w:themeColor="text1"/>
                <w:sz w:val="24"/>
                <w:highlight w:val="none"/>
                <w:lang w:val="en-US" w:eastAsia="zh-CN"/>
                <w14:textFill>
                  <w14:solidFill>
                    <w14:schemeClr w14:val="tx1"/>
                  </w14:solidFill>
                </w14:textFill>
              </w:rPr>
              <w:t>0</w:t>
            </w:r>
            <w:r>
              <w:rPr>
                <w:rFonts w:hint="eastAsia" w:ascii="Times New Roman" w:hAnsi="Times New Roman" w:cs="Times New Roman"/>
                <w:color w:val="000000" w:themeColor="text1"/>
                <w:sz w:val="24"/>
                <w:highlight w:val="none"/>
                <w:lang w:val="en-US" w:eastAsia="zh-CN"/>
                <w14:textFill>
                  <w14:solidFill>
                    <w14:schemeClr w14:val="tx1"/>
                  </w14:solidFill>
                </w14:textFill>
              </w:rPr>
              <w:t>8</w:t>
            </w:r>
            <w:r>
              <w:rPr>
                <w:rFonts w:hint="default" w:ascii="Times New Roman" w:hAnsi="Times New Roman" w:cs="Times New Roman"/>
                <w:color w:val="000000" w:themeColor="text1"/>
                <w:sz w:val="24"/>
                <w:highlight w:val="none"/>
                <w:lang w:val="en-US" w:eastAsia="zh-CN"/>
                <w14:textFill>
                  <w14:solidFill>
                    <w14:schemeClr w14:val="tx1"/>
                  </w14:solidFill>
                </w14:textFill>
              </w:rPr>
              <w:t>kg/h，采用密闭式环保设备，滚筒筛外部被密封隔离罩所密封</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原粮筛分粉尘排放量约为产生量的10%，则筛分粉尘排放量为0.</w:t>
            </w:r>
            <w:r>
              <w:rPr>
                <w:rFonts w:hint="eastAsia" w:ascii="Times New Roman" w:hAnsi="Times New Roman" w:cs="Times New Roman"/>
                <w:color w:val="000000" w:themeColor="text1"/>
                <w:sz w:val="24"/>
                <w:highlight w:val="none"/>
                <w:lang w:val="en-US" w:eastAsia="zh-CN"/>
                <w14:textFill>
                  <w14:solidFill>
                    <w14:schemeClr w14:val="tx1"/>
                  </w14:solidFill>
                </w14:textFill>
              </w:rPr>
              <w:t>10</w:t>
            </w:r>
            <w:r>
              <w:rPr>
                <w:rFonts w:hint="default" w:ascii="Times New Roman" w:hAnsi="Times New Roman" w:cs="Times New Roman"/>
                <w:color w:val="000000" w:themeColor="text1"/>
                <w:sz w:val="24"/>
                <w:highlight w:val="none"/>
                <w:lang w:val="en-US" w:eastAsia="zh-CN"/>
                <w14:textFill>
                  <w14:solidFill>
                    <w14:schemeClr w14:val="tx1"/>
                  </w14:solidFill>
                </w14:textFill>
              </w:rPr>
              <w:t>t/a、</w:t>
            </w:r>
            <w:r>
              <w:rPr>
                <w:rFonts w:hint="eastAsia" w:ascii="Times New Roman" w:hAnsi="Times New Roman" w:cs="Times New Roman"/>
                <w:color w:val="000000" w:themeColor="text1"/>
                <w:sz w:val="24"/>
                <w:highlight w:val="none"/>
                <w:lang w:val="en-US" w:eastAsia="zh-CN"/>
                <w14:textFill>
                  <w14:solidFill>
                    <w14:schemeClr w14:val="tx1"/>
                  </w14:solidFill>
                </w14:textFill>
              </w:rPr>
              <w:t>0.2</w:t>
            </w:r>
            <w:r>
              <w:rPr>
                <w:rFonts w:hint="eastAsia" w:cs="Times New Roman"/>
                <w:color w:val="000000" w:themeColor="text1"/>
                <w:sz w:val="24"/>
                <w:highlight w:val="none"/>
                <w:lang w:val="en-US" w:eastAsia="zh-CN"/>
                <w14:textFill>
                  <w14:solidFill>
                    <w14:schemeClr w14:val="tx1"/>
                  </w14:solidFill>
                </w14:textFill>
              </w:rPr>
              <w:t>0</w:t>
            </w:r>
            <w:r>
              <w:rPr>
                <w:rFonts w:hint="eastAsia" w:ascii="Times New Roman" w:hAnsi="Times New Roman" w:cs="Times New Roman"/>
                <w:color w:val="000000" w:themeColor="text1"/>
                <w:sz w:val="24"/>
                <w:highlight w:val="none"/>
                <w:lang w:val="en-US" w:eastAsia="zh-CN"/>
                <w14:textFill>
                  <w14:solidFill>
                    <w14:schemeClr w14:val="tx1"/>
                  </w14:solidFill>
                </w14:textFill>
              </w:rPr>
              <w:t>8</w:t>
            </w:r>
            <w:r>
              <w:rPr>
                <w:rFonts w:hint="default" w:ascii="Times New Roman" w:hAnsi="Times New Roman" w:cs="Times New Roman"/>
                <w:color w:val="000000" w:themeColor="text1"/>
                <w:sz w:val="24"/>
                <w:highlight w:val="none"/>
                <w:lang w:val="en-US" w:eastAsia="zh-CN"/>
                <w14:textFill>
                  <w14:solidFill>
                    <w14:schemeClr w14:val="tx1"/>
                  </w14:solidFill>
                </w14:textFill>
              </w:rPr>
              <w:t>kg/h。</w:t>
            </w:r>
          </w:p>
          <w:p w14:paraId="1345C5E5">
            <w:pPr>
              <w:pStyle w:val="94"/>
              <w:keepNext w:val="0"/>
              <w:keepLines w:val="0"/>
              <w:numPr>
                <w:ilvl w:val="0"/>
                <w:numId w:val="0"/>
              </w:numPr>
              <w:suppressLineNumbers w:val="0"/>
              <w:spacing w:before="0" w:beforeAutospacing="0" w:after="0" w:afterAutospacing="0" w:line="500" w:lineRule="exact"/>
              <w:ind w:left="0" w:right="0" w:firstLine="480" w:firstLineChars="20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（4）烘干塔废气</w:t>
            </w:r>
          </w:p>
          <w:p w14:paraId="24657B39">
            <w:pPr>
              <w:pStyle w:val="94"/>
              <w:keepNext w:val="0"/>
              <w:keepLines w:val="0"/>
              <w:numPr>
                <w:ilvl w:val="0"/>
                <w:numId w:val="0"/>
              </w:numPr>
              <w:suppressLineNumbers w:val="0"/>
              <w:spacing w:before="0" w:beforeAutospacing="0" w:after="0" w:afterAutospacing="0" w:line="500" w:lineRule="exact"/>
              <w:ind w:left="0" w:right="0" w:firstLine="480" w:firstLineChars="20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本项目原粮烘干过程中会有粉尘产生，参考《逸散性工业粉尘控制技术》（中国环境科学出版社）谷物贮仓章节中，对谷物烘干过程中产尘系数的分析，本次产尘系数按照0.1千克/吨-原料进行核算，根据物料平衡，进入烘干塔原粮量为</w:t>
            </w:r>
            <w:r>
              <w:rPr>
                <w:rFonts w:hint="eastAsia" w:ascii="Times New Roman" w:hAnsi="Times New Roman" w:cs="Times New Roman"/>
                <w:color w:val="000000" w:themeColor="text1"/>
                <w:sz w:val="24"/>
                <w:highlight w:val="none"/>
                <w:lang w:val="en-US" w:eastAsia="zh-CN"/>
                <w14:textFill>
                  <w14:solidFill>
                    <w14:schemeClr w14:val="tx1"/>
                  </w14:solidFill>
                </w14:textFill>
              </w:rPr>
              <w:t>10000</w:t>
            </w:r>
            <w:r>
              <w:rPr>
                <w:rFonts w:hint="default" w:ascii="Times New Roman" w:hAnsi="Times New Roman" w:cs="Times New Roman"/>
                <w:color w:val="000000" w:themeColor="text1"/>
                <w:sz w:val="24"/>
                <w:highlight w:val="none"/>
                <w:lang w:val="en-US" w:eastAsia="zh-CN"/>
                <w14:textFill>
                  <w14:solidFill>
                    <w14:schemeClr w14:val="tx1"/>
                  </w14:solidFill>
                </w14:textFill>
              </w:rPr>
              <w:t>t/a，则产生粉尘量</w:t>
            </w:r>
            <w:r>
              <w:rPr>
                <w:rFonts w:hint="eastAsia" w:ascii="Times New Roman" w:hAnsi="Times New Roman" w:cs="Times New Roman"/>
                <w:color w:val="000000" w:themeColor="text1"/>
                <w:sz w:val="24"/>
                <w:highlight w:val="none"/>
                <w:lang w:val="en-US" w:eastAsia="zh-CN"/>
                <w14:textFill>
                  <w14:solidFill>
                    <w14:schemeClr w14:val="tx1"/>
                  </w14:solidFill>
                </w14:textFill>
              </w:rPr>
              <w:t>1.0</w:t>
            </w:r>
            <w:r>
              <w:rPr>
                <w:rFonts w:hint="default" w:ascii="Times New Roman" w:hAnsi="Times New Roman" w:cs="Times New Roman"/>
                <w:color w:val="000000" w:themeColor="text1"/>
                <w:sz w:val="24"/>
                <w:highlight w:val="none"/>
                <w:lang w:val="en-US" w:eastAsia="zh-CN"/>
                <w14:textFill>
                  <w14:solidFill>
                    <w14:schemeClr w14:val="tx1"/>
                  </w14:solidFill>
                </w14:textFill>
              </w:rPr>
              <w:t>t/a，烘干塔工作时间按每天24h，年工作</w:t>
            </w:r>
            <w:r>
              <w:rPr>
                <w:rFonts w:hint="eastAsia" w:cs="Times New Roman"/>
                <w:color w:val="000000" w:themeColor="text1"/>
                <w:sz w:val="24"/>
                <w:highlight w:val="none"/>
                <w:lang w:val="en-US" w:eastAsia="zh-CN"/>
                <w14:textFill>
                  <w14:solidFill>
                    <w14:schemeClr w14:val="tx1"/>
                  </w14:solidFill>
                </w14:textFill>
              </w:rPr>
              <w:t>60</w:t>
            </w:r>
            <w:r>
              <w:rPr>
                <w:rFonts w:hint="default" w:ascii="Times New Roman" w:hAnsi="Times New Roman" w:cs="Times New Roman"/>
                <w:color w:val="000000" w:themeColor="text1"/>
                <w:sz w:val="24"/>
                <w:highlight w:val="none"/>
                <w:lang w:val="en-US" w:eastAsia="zh-CN"/>
                <w14:textFill>
                  <w14:solidFill>
                    <w14:schemeClr w14:val="tx1"/>
                  </w14:solidFill>
                </w14:textFill>
              </w:rPr>
              <w:t>天计，产生速率</w:t>
            </w:r>
            <w:r>
              <w:rPr>
                <w:rFonts w:hint="eastAsia" w:cs="Times New Roman"/>
                <w:color w:val="000000" w:themeColor="text1"/>
                <w:sz w:val="24"/>
                <w:highlight w:val="none"/>
                <w:lang w:val="en-US" w:eastAsia="zh-CN"/>
                <w14:textFill>
                  <w14:solidFill>
                    <w14:schemeClr w14:val="tx1"/>
                  </w14:solidFill>
                </w14:textFill>
              </w:rPr>
              <w:t>0.694</w:t>
            </w:r>
            <w:r>
              <w:rPr>
                <w:rFonts w:hint="default" w:ascii="Times New Roman" w:hAnsi="Times New Roman" w:cs="Times New Roman"/>
                <w:color w:val="000000" w:themeColor="text1"/>
                <w:sz w:val="24"/>
                <w:highlight w:val="none"/>
                <w:lang w:val="en-US" w:eastAsia="zh-CN"/>
                <w14:textFill>
                  <w14:solidFill>
                    <w14:schemeClr w14:val="tx1"/>
                  </w14:solidFill>
                </w14:textFill>
              </w:rPr>
              <w:t>kg/h，烘干塔塔体两侧排气孔设置折流挡板，塔顶排气孔滤尘网过滤能有效控制大粒径粉尘的排放，除尘效率可达</w:t>
            </w:r>
            <w:r>
              <w:rPr>
                <w:rFonts w:hint="eastAsia" w:cs="Times New Roman"/>
                <w:color w:val="000000" w:themeColor="text1"/>
                <w:sz w:val="24"/>
                <w:highlight w:val="none"/>
                <w:lang w:val="en-US" w:eastAsia="zh-CN"/>
                <w14:textFill>
                  <w14:solidFill>
                    <w14:schemeClr w14:val="tx1"/>
                  </w14:solidFill>
                </w14:textFill>
              </w:rPr>
              <w:t>9</w:t>
            </w:r>
            <w:r>
              <w:rPr>
                <w:rFonts w:hint="default" w:ascii="Times New Roman" w:hAnsi="Times New Roman" w:cs="Times New Roman"/>
                <w:color w:val="000000" w:themeColor="text1"/>
                <w:sz w:val="24"/>
                <w:highlight w:val="none"/>
                <w:lang w:val="en-US" w:eastAsia="zh-CN"/>
                <w14:textFill>
                  <w14:solidFill>
                    <w14:schemeClr w14:val="tx1"/>
                  </w14:solidFill>
                </w14:textFill>
              </w:rPr>
              <w:t>0%，烘干塔废气经塔体两侧排气孔排出，排放速率为0.</w:t>
            </w:r>
            <w:r>
              <w:rPr>
                <w:rFonts w:hint="eastAsia" w:cs="Times New Roman"/>
                <w:color w:val="000000" w:themeColor="text1"/>
                <w:sz w:val="24"/>
                <w:highlight w:val="none"/>
                <w:lang w:val="en-US" w:eastAsia="zh-CN"/>
                <w14:textFill>
                  <w14:solidFill>
                    <w14:schemeClr w14:val="tx1"/>
                  </w14:solidFill>
                </w14:textFill>
              </w:rPr>
              <w:t>069</w:t>
            </w:r>
            <w:r>
              <w:rPr>
                <w:rFonts w:hint="default" w:ascii="Times New Roman" w:hAnsi="Times New Roman" w:cs="Times New Roman"/>
                <w:color w:val="000000" w:themeColor="text1"/>
                <w:sz w:val="24"/>
                <w:highlight w:val="none"/>
                <w:lang w:val="en-US" w:eastAsia="zh-CN"/>
                <w14:textFill>
                  <w14:solidFill>
                    <w14:schemeClr w14:val="tx1"/>
                  </w14:solidFill>
                </w14:textFill>
              </w:rPr>
              <w:t>kg/h，排放量为</w:t>
            </w:r>
            <w:r>
              <w:rPr>
                <w:rFonts w:hint="eastAsia" w:ascii="Times New Roman" w:hAnsi="Times New Roman" w:cs="Times New Roman"/>
                <w:color w:val="000000" w:themeColor="text1"/>
                <w:sz w:val="24"/>
                <w:highlight w:val="none"/>
                <w:lang w:val="en-US" w:eastAsia="zh-CN"/>
                <w14:textFill>
                  <w14:solidFill>
                    <w14:schemeClr w14:val="tx1"/>
                  </w14:solidFill>
                </w14:textFill>
              </w:rPr>
              <w:t>0.1</w:t>
            </w:r>
            <w:r>
              <w:rPr>
                <w:rFonts w:hint="default" w:ascii="Times New Roman" w:hAnsi="Times New Roman" w:cs="Times New Roman"/>
                <w:color w:val="000000" w:themeColor="text1"/>
                <w:sz w:val="24"/>
                <w:highlight w:val="none"/>
                <w:lang w:val="en-US" w:eastAsia="zh-CN"/>
                <w14:textFill>
                  <w14:solidFill>
                    <w14:schemeClr w14:val="tx1"/>
                  </w14:solidFill>
                </w14:textFill>
              </w:rPr>
              <w:t>t/a。</w:t>
            </w:r>
          </w:p>
          <w:p w14:paraId="429ED510">
            <w:pPr>
              <w:pStyle w:val="94"/>
              <w:keepNext w:val="0"/>
              <w:keepLines w:val="0"/>
              <w:numPr>
                <w:ilvl w:val="0"/>
                <w:numId w:val="0"/>
              </w:numPr>
              <w:suppressLineNumbers w:val="0"/>
              <w:spacing w:before="0" w:beforeAutospacing="0" w:after="0" w:afterAutospacing="0" w:line="500" w:lineRule="exact"/>
              <w:ind w:left="0" w:right="0" w:firstLine="480" w:firstLineChars="20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highlight w:val="none"/>
                <w:lang w:val="en-US" w:eastAsia="zh-CN"/>
                <w14:textFill>
                  <w14:solidFill>
                    <w14:schemeClr w14:val="tx1"/>
                  </w14:solidFill>
                </w14:textFill>
              </w:rPr>
              <w:t>工业粉尘=0.32</w:t>
            </w:r>
            <w:r>
              <w:rPr>
                <w:rFonts w:hint="default" w:ascii="Times New Roman" w:hAnsi="Times New Roman" w:cs="Times New Roman"/>
                <w:color w:val="000000" w:themeColor="text1"/>
                <w:sz w:val="24"/>
                <w:highlight w:val="none"/>
                <w:lang w:val="en-US" w:eastAsia="zh-CN"/>
                <w14:textFill>
                  <w14:solidFill>
                    <w14:schemeClr w14:val="tx1"/>
                  </w14:solidFill>
                </w14:textFill>
              </w:rPr>
              <w:t>t/a</w:t>
            </w:r>
            <w:r>
              <w:rPr>
                <w:rFonts w:hint="eastAsia" w:ascii="Times New Roman" w:hAnsi="Times New Roman" w:cs="Times New Roman"/>
                <w:color w:val="000000" w:themeColor="text1"/>
                <w:sz w:val="24"/>
                <w:highlight w:val="none"/>
                <w:lang w:val="en-US" w:eastAsia="zh-CN"/>
                <w14:textFill>
                  <w14:solidFill>
                    <w14:schemeClr w14:val="tx1"/>
                  </w14:solidFill>
                </w14:textFill>
              </w:rPr>
              <w:t>+0.10</w:t>
            </w:r>
            <w:r>
              <w:rPr>
                <w:rFonts w:hint="default" w:ascii="Times New Roman" w:hAnsi="Times New Roman" w:cs="Times New Roman"/>
                <w:color w:val="000000" w:themeColor="text1"/>
                <w:sz w:val="24"/>
                <w:highlight w:val="none"/>
                <w:lang w:val="en-US" w:eastAsia="zh-CN"/>
                <w14:textFill>
                  <w14:solidFill>
                    <w14:schemeClr w14:val="tx1"/>
                  </w14:solidFill>
                </w14:textFill>
              </w:rPr>
              <w:t>t/a</w:t>
            </w:r>
            <w:r>
              <w:rPr>
                <w:rFonts w:hint="eastAsia" w:ascii="Times New Roman" w:hAnsi="Times New Roman" w:cs="Times New Roman"/>
                <w:color w:val="000000" w:themeColor="text1"/>
                <w:sz w:val="24"/>
                <w:highlight w:val="none"/>
                <w:lang w:val="en-US" w:eastAsia="zh-CN"/>
                <w14:textFill>
                  <w14:solidFill>
                    <w14:schemeClr w14:val="tx1"/>
                  </w14:solidFill>
                </w14:textFill>
              </w:rPr>
              <w:t>+0.1</w:t>
            </w:r>
            <w:r>
              <w:rPr>
                <w:rFonts w:hint="default" w:ascii="Times New Roman" w:hAnsi="Times New Roman" w:cs="Times New Roman"/>
                <w:color w:val="000000" w:themeColor="text1"/>
                <w:sz w:val="24"/>
                <w:highlight w:val="none"/>
                <w:lang w:val="en-US" w:eastAsia="zh-CN"/>
                <w14:textFill>
                  <w14:solidFill>
                    <w14:schemeClr w14:val="tx1"/>
                  </w14:solidFill>
                </w14:textFill>
              </w:rPr>
              <w:t>t/a</w:t>
            </w:r>
            <w:r>
              <w:rPr>
                <w:rFonts w:hint="eastAsia" w:ascii="Times New Roman" w:hAnsi="Times New Roman" w:cs="Times New Roman"/>
                <w:color w:val="000000" w:themeColor="text1"/>
                <w:sz w:val="24"/>
                <w:highlight w:val="none"/>
                <w:lang w:val="en-US" w:eastAsia="zh-CN"/>
                <w14:textFill>
                  <w14:solidFill>
                    <w14:schemeClr w14:val="tx1"/>
                  </w14:solidFill>
                </w14:textFill>
              </w:rPr>
              <w:t>=0.52</w:t>
            </w:r>
            <w:r>
              <w:rPr>
                <w:rFonts w:hint="default" w:ascii="Times New Roman" w:hAnsi="Times New Roman" w:cs="Times New Roman"/>
                <w:color w:val="000000" w:themeColor="text1"/>
                <w:sz w:val="24"/>
                <w:highlight w:val="none"/>
                <w:lang w:val="en-US" w:eastAsia="zh-CN"/>
                <w14:textFill>
                  <w14:solidFill>
                    <w14:schemeClr w14:val="tx1"/>
                  </w14:solidFill>
                </w14:textFill>
              </w:rPr>
              <w:t>t/a</w:t>
            </w:r>
          </w:p>
          <w:p w14:paraId="232D2966">
            <w:pPr>
              <w:pStyle w:val="94"/>
              <w:keepNext w:val="0"/>
              <w:keepLines w:val="0"/>
              <w:suppressLineNumbers w:val="0"/>
              <w:spacing w:before="0" w:beforeAutospacing="0" w:after="0" w:afterAutospacing="0" w:line="500" w:lineRule="exact"/>
              <w:ind w:left="0" w:right="0" w:firstLine="480"/>
              <w:jc w:val="center"/>
              <w:rPr>
                <w:rFonts w:hint="eastAsia"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b/>
                <w:bCs/>
                <w:color w:val="000000" w:themeColor="text1"/>
                <w:kern w:val="0"/>
                <w:sz w:val="24"/>
                <w:szCs w:val="20"/>
                <w:highlight w:val="none"/>
                <w:lang w:val="en-US" w:eastAsia="zh-CN" w:bidi="ar-SA"/>
                <w14:textFill>
                  <w14:solidFill>
                    <w14:schemeClr w14:val="tx1"/>
                  </w14:solidFill>
                </w14:textFill>
              </w:rPr>
              <w:t>表2-</w:t>
            </w:r>
            <w:r>
              <w:rPr>
                <w:rFonts w:hint="eastAsia" w:cs="Times New Roman"/>
                <w:b/>
                <w:bCs/>
                <w:color w:val="000000" w:themeColor="text1"/>
                <w:kern w:val="0"/>
                <w:sz w:val="24"/>
                <w:szCs w:val="20"/>
                <w:highlight w:val="none"/>
                <w:lang w:val="en-US" w:eastAsia="zh-CN" w:bidi="ar-SA"/>
                <w14:textFill>
                  <w14:solidFill>
                    <w14:schemeClr w14:val="tx1"/>
                  </w14:solidFill>
                </w14:textFill>
              </w:rPr>
              <w:t>11</w:t>
            </w:r>
            <w:r>
              <w:rPr>
                <w:rFonts w:hint="eastAsia" w:ascii="Times New Roman" w:hAnsi="Times New Roman" w:eastAsia="宋体" w:cs="Times New Roman"/>
                <w:b/>
                <w:bCs/>
                <w:color w:val="000000" w:themeColor="text1"/>
                <w:kern w:val="0"/>
                <w:sz w:val="24"/>
                <w:szCs w:val="20"/>
                <w:highlight w:val="none"/>
                <w:lang w:val="en-US" w:eastAsia="zh-CN" w:bidi="ar-SA"/>
                <w14:textFill>
                  <w14:solidFill>
                    <w14:schemeClr w14:val="tx1"/>
                  </w14:solidFill>
                </w14:textFill>
              </w:rPr>
              <w:t>项目污染物排放总量一览表</w:t>
            </w:r>
          </w:p>
          <w:tbl>
            <w:tblPr>
              <w:tblStyle w:val="35"/>
              <w:tblW w:w="4770" w:type="pct"/>
              <w:tblInd w:w="-4"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2580"/>
              <w:gridCol w:w="3451"/>
            </w:tblGrid>
            <w:tr w14:paraId="5FAC4A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723" w:type="pct"/>
                  <w:gridSpan w:val="2"/>
                  <w:shd w:val="clear" w:color="auto" w:fill="auto"/>
                  <w:vAlign w:val="center"/>
                </w:tcPr>
                <w:p w14:paraId="591EC02A">
                  <w:pPr>
                    <w:pStyle w:val="96"/>
                    <w:keepNext w:val="0"/>
                    <w:keepLines w:val="0"/>
                    <w:suppressLineNumbers w:val="0"/>
                    <w:spacing w:before="0" w:beforeAutospacing="0" w:after="0" w:afterAutospacing="0"/>
                    <w:ind w:left="0" w:right="0"/>
                    <w:rPr>
                      <w:rFonts w:hint="default"/>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污染物名称</w:t>
                  </w:r>
                </w:p>
              </w:tc>
              <w:tc>
                <w:tcPr>
                  <w:tcW w:w="2276" w:type="pct"/>
                  <w:shd w:val="clear" w:color="auto" w:fill="auto"/>
                  <w:vAlign w:val="center"/>
                </w:tcPr>
                <w:p w14:paraId="026FBC63">
                  <w:pPr>
                    <w:pStyle w:val="96"/>
                    <w:keepNext w:val="0"/>
                    <w:keepLines w:val="0"/>
                    <w:suppressLineNumbers w:val="0"/>
                    <w:spacing w:before="0" w:beforeAutospacing="0" w:after="0" w:afterAutospacing="0"/>
                    <w:ind w:left="0" w:right="0"/>
                    <w:rPr>
                      <w:rFonts w:hint="default"/>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预测排放量（t/a）</w:t>
                  </w:r>
                </w:p>
              </w:tc>
            </w:tr>
            <w:tr w14:paraId="14D1B2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21" w:type="pct"/>
                  <w:vMerge w:val="restart"/>
                  <w:shd w:val="clear" w:color="auto" w:fill="auto"/>
                  <w:vAlign w:val="center"/>
                </w:tcPr>
                <w:p w14:paraId="252DA963">
                  <w:pPr>
                    <w:pStyle w:val="96"/>
                    <w:keepNext w:val="0"/>
                    <w:keepLines w:val="0"/>
                    <w:suppressLineNumbers w:val="0"/>
                    <w:spacing w:before="0" w:beforeAutospacing="0" w:after="0" w:afterAutospacing="0"/>
                    <w:ind w:left="0" w:right="0"/>
                    <w:rPr>
                      <w:rFonts w:hint="default"/>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废气</w:t>
                  </w:r>
                </w:p>
              </w:tc>
              <w:tc>
                <w:tcPr>
                  <w:tcW w:w="1701" w:type="pct"/>
                  <w:shd w:val="clear" w:color="auto" w:fill="auto"/>
                  <w:vAlign w:val="center"/>
                </w:tcPr>
                <w:p w14:paraId="07A91C3C">
                  <w:pPr>
                    <w:pStyle w:val="96"/>
                    <w:keepNext w:val="0"/>
                    <w:keepLines w:val="0"/>
                    <w:suppressLineNumbers w:val="0"/>
                    <w:spacing w:before="0" w:beforeAutospacing="0" w:after="0" w:afterAutospacing="0"/>
                    <w:ind w:left="0" w:right="0"/>
                    <w:rPr>
                      <w:rFonts w:hint="default"/>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颗粒物</w:t>
                  </w:r>
                </w:p>
              </w:tc>
              <w:tc>
                <w:tcPr>
                  <w:tcW w:w="2276" w:type="pct"/>
                  <w:shd w:val="clear" w:color="auto" w:fill="auto"/>
                  <w:vAlign w:val="center"/>
                </w:tcPr>
                <w:p w14:paraId="57E4B94F">
                  <w:pPr>
                    <w:pStyle w:val="96"/>
                    <w:keepNext w:val="0"/>
                    <w:keepLines w:val="0"/>
                    <w:suppressLineNumbers w:val="0"/>
                    <w:spacing w:before="0" w:beforeAutospacing="0" w:after="0" w:afterAutospacing="0"/>
                    <w:ind w:left="0" w:right="0"/>
                    <w:rPr>
                      <w:rFonts w:hint="default" w:eastAsia="宋体"/>
                      <w:color w:val="000000" w:themeColor="text1"/>
                      <w:sz w:val="21"/>
                      <w:szCs w:val="21"/>
                      <w:highlight w:val="none"/>
                      <w:lang w:val="en-US" w:eastAsia="zh-CN"/>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0.609</w:t>
                  </w:r>
                </w:p>
              </w:tc>
            </w:tr>
            <w:tr w14:paraId="13AB01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1" w:type="pct"/>
                  <w:vMerge w:val="continue"/>
                  <w:shd w:val="clear" w:color="auto" w:fill="auto"/>
                  <w:vAlign w:val="center"/>
                </w:tcPr>
                <w:p w14:paraId="22BC4BBA">
                  <w:pPr>
                    <w:pStyle w:val="96"/>
                    <w:keepNext w:val="0"/>
                    <w:keepLines w:val="0"/>
                    <w:suppressLineNumbers w:val="0"/>
                    <w:spacing w:before="0" w:beforeAutospacing="0" w:after="0" w:afterAutospacing="0"/>
                    <w:ind w:left="0" w:right="0"/>
                    <w:rPr>
                      <w:rFonts w:hint="default"/>
                      <w:color w:val="000000" w:themeColor="text1"/>
                      <w:sz w:val="21"/>
                      <w:szCs w:val="21"/>
                      <w:highlight w:val="none"/>
                      <w14:textFill>
                        <w14:solidFill>
                          <w14:schemeClr w14:val="tx1"/>
                        </w14:solidFill>
                      </w14:textFill>
                    </w:rPr>
                  </w:pPr>
                </w:p>
              </w:tc>
              <w:tc>
                <w:tcPr>
                  <w:tcW w:w="1701" w:type="pct"/>
                  <w:shd w:val="clear" w:color="auto" w:fill="auto"/>
                  <w:vAlign w:val="center"/>
                </w:tcPr>
                <w:p w14:paraId="53BA9A59">
                  <w:pPr>
                    <w:pStyle w:val="96"/>
                    <w:keepNext w:val="0"/>
                    <w:keepLines w:val="0"/>
                    <w:suppressLineNumbers w:val="0"/>
                    <w:spacing w:before="0" w:beforeAutospacing="0" w:after="0" w:afterAutospacing="0"/>
                    <w:ind w:left="0" w:right="0"/>
                    <w:rPr>
                      <w:rFonts w:hint="default"/>
                      <w:color w:val="000000" w:themeColor="text1"/>
                      <w:sz w:val="21"/>
                      <w:szCs w:val="21"/>
                      <w:highlight w:val="none"/>
                      <w14:textFill>
                        <w14:solidFill>
                          <w14:schemeClr w14:val="tx1"/>
                        </w14:solidFill>
                      </w14:textFill>
                    </w:rPr>
                  </w:pPr>
                  <w:r>
                    <w:rPr>
                      <w:rFonts w:hint="default"/>
                      <w:color w:val="000000" w:themeColor="text1"/>
                      <w:sz w:val="21"/>
                      <w:szCs w:val="21"/>
                      <w:highlight w:val="none"/>
                      <w:lang w:val="zh-CN"/>
                      <w14:textFill>
                        <w14:solidFill>
                          <w14:schemeClr w14:val="tx1"/>
                        </w14:solidFill>
                      </w14:textFill>
                    </w:rPr>
                    <w:t>SO</w:t>
                  </w:r>
                  <w:r>
                    <w:rPr>
                      <w:rFonts w:hint="default"/>
                      <w:color w:val="000000" w:themeColor="text1"/>
                      <w:sz w:val="21"/>
                      <w:szCs w:val="21"/>
                      <w:highlight w:val="none"/>
                      <w:vertAlign w:val="subscript"/>
                      <w:lang w:val="zh-CN"/>
                      <w14:textFill>
                        <w14:solidFill>
                          <w14:schemeClr w14:val="tx1"/>
                        </w14:solidFill>
                      </w14:textFill>
                    </w:rPr>
                    <w:t>2</w:t>
                  </w:r>
                </w:p>
              </w:tc>
              <w:tc>
                <w:tcPr>
                  <w:tcW w:w="2276" w:type="pct"/>
                  <w:shd w:val="clear" w:color="auto" w:fill="auto"/>
                  <w:vAlign w:val="center"/>
                </w:tcPr>
                <w:p w14:paraId="2BAAB322">
                  <w:pPr>
                    <w:pStyle w:val="96"/>
                    <w:keepNext w:val="0"/>
                    <w:keepLines w:val="0"/>
                    <w:suppressLineNumbers w:val="0"/>
                    <w:spacing w:before="0" w:beforeAutospacing="0" w:after="0" w:afterAutospacing="0"/>
                    <w:ind w:left="0" w:right="0"/>
                    <w:rPr>
                      <w:rFonts w:hint="default" w:eastAsia="宋体"/>
                      <w:color w:val="000000" w:themeColor="text1"/>
                      <w:sz w:val="21"/>
                      <w:szCs w:val="21"/>
                      <w:highlight w:val="none"/>
                      <w:lang w:val="en-US" w:eastAsia="zh-CN"/>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1.908</w:t>
                  </w:r>
                </w:p>
              </w:tc>
            </w:tr>
            <w:tr w14:paraId="7059FB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21" w:type="pct"/>
                  <w:vMerge w:val="continue"/>
                  <w:shd w:val="clear" w:color="auto" w:fill="auto"/>
                  <w:vAlign w:val="center"/>
                </w:tcPr>
                <w:p w14:paraId="7D40AA46">
                  <w:pPr>
                    <w:pStyle w:val="96"/>
                    <w:keepNext w:val="0"/>
                    <w:keepLines w:val="0"/>
                    <w:suppressLineNumbers w:val="0"/>
                    <w:spacing w:before="0" w:beforeAutospacing="0" w:after="0" w:afterAutospacing="0"/>
                    <w:ind w:left="0" w:right="0"/>
                    <w:rPr>
                      <w:rFonts w:hint="default"/>
                      <w:color w:val="000000" w:themeColor="text1"/>
                      <w:sz w:val="21"/>
                      <w:szCs w:val="21"/>
                      <w:highlight w:val="none"/>
                      <w14:textFill>
                        <w14:solidFill>
                          <w14:schemeClr w14:val="tx1"/>
                        </w14:solidFill>
                      </w14:textFill>
                    </w:rPr>
                  </w:pPr>
                </w:p>
              </w:tc>
              <w:tc>
                <w:tcPr>
                  <w:tcW w:w="1701" w:type="pct"/>
                  <w:shd w:val="clear" w:color="auto" w:fill="auto"/>
                  <w:vAlign w:val="center"/>
                </w:tcPr>
                <w:p w14:paraId="49D058FF">
                  <w:pPr>
                    <w:pStyle w:val="96"/>
                    <w:keepNext w:val="0"/>
                    <w:keepLines w:val="0"/>
                    <w:suppressLineNumbers w:val="0"/>
                    <w:spacing w:before="0" w:beforeAutospacing="0" w:after="0" w:afterAutospacing="0"/>
                    <w:ind w:left="0" w:right="0"/>
                    <w:rPr>
                      <w:rFonts w:hint="default"/>
                      <w:color w:val="000000" w:themeColor="text1"/>
                      <w:sz w:val="21"/>
                      <w:szCs w:val="21"/>
                      <w:highlight w:val="none"/>
                      <w14:textFill>
                        <w14:solidFill>
                          <w14:schemeClr w14:val="tx1"/>
                        </w14:solidFill>
                      </w14:textFill>
                    </w:rPr>
                  </w:pPr>
                  <w:r>
                    <w:rPr>
                      <w:rFonts w:hint="default"/>
                      <w:color w:val="000000" w:themeColor="text1"/>
                      <w:sz w:val="21"/>
                      <w:szCs w:val="21"/>
                      <w:highlight w:val="none"/>
                      <w:lang w:val="zh-CN"/>
                      <w14:textFill>
                        <w14:solidFill>
                          <w14:schemeClr w14:val="tx1"/>
                        </w14:solidFill>
                      </w14:textFill>
                    </w:rPr>
                    <w:t>NO</w:t>
                  </w:r>
                  <w:r>
                    <w:rPr>
                      <w:rFonts w:hint="default"/>
                      <w:color w:val="000000" w:themeColor="text1"/>
                      <w:sz w:val="21"/>
                      <w:szCs w:val="21"/>
                      <w:highlight w:val="none"/>
                      <w:vertAlign w:val="subscript"/>
                      <w:lang w:val="zh-CN"/>
                      <w14:textFill>
                        <w14:solidFill>
                          <w14:schemeClr w14:val="tx1"/>
                        </w14:solidFill>
                      </w14:textFill>
                    </w:rPr>
                    <w:t>X</w:t>
                  </w:r>
                </w:p>
              </w:tc>
              <w:tc>
                <w:tcPr>
                  <w:tcW w:w="2276" w:type="pct"/>
                  <w:shd w:val="clear" w:color="auto" w:fill="auto"/>
                  <w:vAlign w:val="center"/>
                </w:tcPr>
                <w:p w14:paraId="661D83FE">
                  <w:pPr>
                    <w:pStyle w:val="96"/>
                    <w:keepNext w:val="0"/>
                    <w:keepLines w:val="0"/>
                    <w:suppressLineNumbers w:val="0"/>
                    <w:spacing w:before="0" w:beforeAutospacing="0" w:after="0" w:afterAutospacing="0"/>
                    <w:ind w:left="0" w:right="0"/>
                    <w:jc w:val="center"/>
                    <w:rPr>
                      <w:rFonts w:hint="default" w:eastAsia="宋体"/>
                      <w:color w:val="000000" w:themeColor="text1"/>
                      <w:sz w:val="21"/>
                      <w:szCs w:val="21"/>
                      <w:highlight w:val="none"/>
                      <w:lang w:val="en-US" w:eastAsia="zh-CN"/>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1.859</w:t>
                  </w:r>
                </w:p>
              </w:tc>
            </w:tr>
            <w:tr w14:paraId="408A04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21" w:type="pct"/>
                  <w:vMerge w:val="continue"/>
                  <w:shd w:val="clear" w:color="auto" w:fill="auto"/>
                  <w:vAlign w:val="center"/>
                </w:tcPr>
                <w:p w14:paraId="19FFB00E">
                  <w:pPr>
                    <w:pStyle w:val="96"/>
                    <w:keepNext w:val="0"/>
                    <w:keepLines w:val="0"/>
                    <w:suppressLineNumbers w:val="0"/>
                    <w:spacing w:before="0" w:beforeAutospacing="0" w:after="0" w:afterAutospacing="0"/>
                    <w:ind w:left="0" w:right="0"/>
                    <w:rPr>
                      <w:rFonts w:hint="default"/>
                      <w:color w:val="000000" w:themeColor="text1"/>
                      <w:sz w:val="21"/>
                      <w:szCs w:val="21"/>
                      <w:highlight w:val="none"/>
                      <w14:textFill>
                        <w14:solidFill>
                          <w14:schemeClr w14:val="tx1"/>
                        </w14:solidFill>
                      </w14:textFill>
                    </w:rPr>
                  </w:pPr>
                </w:p>
              </w:tc>
              <w:tc>
                <w:tcPr>
                  <w:tcW w:w="1701" w:type="pct"/>
                  <w:shd w:val="clear" w:color="auto" w:fill="auto"/>
                  <w:vAlign w:val="center"/>
                </w:tcPr>
                <w:p w14:paraId="0800651C">
                  <w:pPr>
                    <w:pStyle w:val="96"/>
                    <w:keepNext w:val="0"/>
                    <w:keepLines w:val="0"/>
                    <w:suppressLineNumbers w:val="0"/>
                    <w:spacing w:before="0" w:beforeAutospacing="0" w:after="0" w:afterAutospacing="0"/>
                    <w:ind w:left="0" w:right="0"/>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工业粉尘</w:t>
                  </w:r>
                </w:p>
              </w:tc>
              <w:tc>
                <w:tcPr>
                  <w:tcW w:w="2276" w:type="pct"/>
                  <w:shd w:val="clear" w:color="auto" w:fill="auto"/>
                  <w:vAlign w:val="center"/>
                </w:tcPr>
                <w:p w14:paraId="1C6CB923">
                  <w:pPr>
                    <w:pStyle w:val="96"/>
                    <w:keepNext w:val="0"/>
                    <w:keepLines w:val="0"/>
                    <w:suppressLineNumbers w:val="0"/>
                    <w:spacing w:before="0" w:beforeAutospacing="0" w:after="0" w:afterAutospacing="0"/>
                    <w:ind w:left="0" w:right="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eastAsia="宋体"/>
                      <w:color w:val="000000" w:themeColor="text1"/>
                      <w:sz w:val="21"/>
                      <w:szCs w:val="21"/>
                      <w:highlight w:val="none"/>
                      <w:lang w:val="en-US" w:eastAsia="zh-CN"/>
                      <w14:textFill>
                        <w14:solidFill>
                          <w14:schemeClr w14:val="tx1"/>
                        </w14:solidFill>
                      </w14:textFill>
                    </w:rPr>
                    <w:t>0.52</w:t>
                  </w:r>
                </w:p>
              </w:tc>
            </w:tr>
          </w:tbl>
          <w:p w14:paraId="7726A3D7">
            <w:pPr>
              <w:pStyle w:val="94"/>
              <w:keepNext w:val="0"/>
              <w:keepLines w:val="0"/>
              <w:numPr>
                <w:ilvl w:val="0"/>
                <w:numId w:val="0"/>
              </w:numPr>
              <w:suppressLineNumbers w:val="0"/>
              <w:spacing w:before="0" w:beforeAutospacing="0" w:after="0" w:afterAutospacing="0" w:line="500" w:lineRule="exact"/>
              <w:ind w:left="0" w:right="0"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综上，</w:t>
            </w:r>
            <w:r>
              <w:rPr>
                <w:rFonts w:hint="default" w:ascii="Times New Roman" w:hAnsi="Times New Roman" w:eastAsia="宋体" w:cs="Times New Roman"/>
                <w:color w:val="000000" w:themeColor="text1"/>
                <w:sz w:val="24"/>
                <w:highlight w:val="none"/>
                <w14:textFill>
                  <w14:solidFill>
                    <w14:schemeClr w14:val="tx1"/>
                  </w14:solidFill>
                </w14:textFill>
              </w:rPr>
              <w:t>现有工程已建设完成，现有工程废水、废气、厂界噪声均能达标排放，废气、污水、噪声、</w:t>
            </w:r>
            <w:r>
              <w:rPr>
                <w:rFonts w:hint="default" w:ascii="Times New Roman" w:hAnsi="Times New Roman" w:eastAsia="宋体" w:cs="Times New Roman"/>
                <w:snapToGrid w:val="0"/>
                <w:color w:val="000000" w:themeColor="text1"/>
                <w:sz w:val="24"/>
                <w:highlight w:val="none"/>
                <w:lang w:val="en-US" w:eastAsia="zh-CN"/>
                <w14:textFill>
                  <w14:solidFill>
                    <w14:schemeClr w14:val="tx1"/>
                  </w14:solidFill>
                </w14:textFill>
              </w:rPr>
              <w:t>固废均能得到有效治理。</w:t>
            </w:r>
          </w:p>
          <w:p w14:paraId="4C700356">
            <w:pPr>
              <w:pStyle w:val="32"/>
              <w:keepNext w:val="0"/>
              <w:keepLines w:val="0"/>
              <w:suppressLineNumbers w:val="0"/>
              <w:spacing w:before="0" w:beforeAutospacing="0" w:afterAutospacing="0"/>
              <w:ind w:left="0" w:right="0"/>
              <w:rPr>
                <w:rFonts w:hint="default"/>
                <w:color w:val="000000" w:themeColor="text1"/>
                <w:highlight w:val="none"/>
                <w14:textFill>
                  <w14:solidFill>
                    <w14:schemeClr w14:val="tx1"/>
                  </w14:solidFill>
                </w14:textFill>
              </w:rPr>
            </w:pPr>
          </w:p>
        </w:tc>
      </w:tr>
    </w:tbl>
    <w:p w14:paraId="1D3E4EDE">
      <w:pPr>
        <w:pStyle w:val="29"/>
        <w:jc w:val="center"/>
        <w:rPr>
          <w:rFonts w:hint="default" w:ascii="Times New Roman" w:hAnsi="Times New Roman" w:eastAsia="宋体" w:cs="Times New Roman"/>
          <w:snapToGrid w:val="0"/>
          <w:color w:val="000000" w:themeColor="text1"/>
          <w:sz w:val="36"/>
          <w:szCs w:val="36"/>
          <w:highlight w:val="none"/>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0B115C33">
      <w:pPr>
        <w:pStyle w:val="29"/>
        <w:adjustRightInd w:val="0"/>
        <w:snapToGrid w:val="0"/>
        <w:spacing w:before="0" w:beforeAutospacing="0" w:after="0" w:afterAutospacing="0" w:line="14" w:lineRule="auto"/>
        <w:jc w:val="center"/>
        <w:outlineLvl w:val="9"/>
        <w:rPr>
          <w:rFonts w:hint="default" w:ascii="Times New Roman" w:hAnsi="Times New Roman" w:eastAsia="宋体" w:cs="Times New Roman"/>
          <w:snapToGrid w:val="0"/>
          <w:color w:val="000000" w:themeColor="text1"/>
          <w:sz w:val="30"/>
          <w:szCs w:val="30"/>
          <w:highlight w:val="none"/>
          <w14:textFill>
            <w14:solidFill>
              <w14:schemeClr w14:val="tx1"/>
            </w14:solidFill>
          </w14:textFill>
        </w:rPr>
      </w:pPr>
    </w:p>
    <w:p w14:paraId="1AE19C7C">
      <w:pPr>
        <w:pStyle w:val="29"/>
        <w:jc w:val="center"/>
        <w:outlineLvl w:val="0"/>
        <w:rPr>
          <w:rFonts w:hint="default" w:ascii="Times New Roman" w:hAnsi="Times New Roman" w:eastAsia="宋体" w:cs="Times New Roman"/>
          <w:snapToGrid w:val="0"/>
          <w:color w:val="000000" w:themeColor="text1"/>
          <w:sz w:val="30"/>
          <w:szCs w:val="30"/>
          <w:highlight w:val="none"/>
          <w14:textFill>
            <w14:solidFill>
              <w14:schemeClr w14:val="tx1"/>
            </w14:solidFill>
          </w14:textFill>
        </w:rPr>
      </w:pPr>
      <w:bookmarkStart w:id="7" w:name="_Toc17295"/>
      <w:bookmarkStart w:id="8" w:name="_Toc15952"/>
      <w:r>
        <w:rPr>
          <w:rFonts w:hint="default" w:ascii="Times New Roman" w:hAnsi="Times New Roman" w:eastAsia="宋体" w:cs="Times New Roman"/>
          <w:snapToGrid w:val="0"/>
          <w:color w:val="000000" w:themeColor="text1"/>
          <w:sz w:val="30"/>
          <w:szCs w:val="30"/>
          <w:highlight w:val="none"/>
          <w14:textFill>
            <w14:solidFill>
              <w14:schemeClr w14:val="tx1"/>
            </w14:solidFill>
          </w14:textFill>
        </w:rPr>
        <w:t>三、区域环境质量现状、环境保护目标及评价标准</w:t>
      </w:r>
      <w:bookmarkEnd w:id="7"/>
      <w:bookmarkEnd w:id="8"/>
    </w:p>
    <w:tbl>
      <w:tblPr>
        <w:tblStyle w:val="35"/>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14:paraId="5981C8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66" w:hRule="atLeast"/>
          <w:jc w:val="center"/>
        </w:trPr>
        <w:tc>
          <w:tcPr>
            <w:tcW w:w="800" w:type="dxa"/>
            <w:vAlign w:val="center"/>
          </w:tcPr>
          <w:p w14:paraId="618889D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区域</w:t>
            </w:r>
          </w:p>
          <w:p w14:paraId="2E90B0B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环境</w:t>
            </w:r>
          </w:p>
          <w:p w14:paraId="1FFF215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质量</w:t>
            </w:r>
          </w:p>
          <w:p w14:paraId="1E9DB1A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现状</w:t>
            </w:r>
          </w:p>
        </w:tc>
        <w:tc>
          <w:tcPr>
            <w:tcW w:w="8190" w:type="dxa"/>
            <w:vAlign w:val="center"/>
          </w:tcPr>
          <w:p w14:paraId="721A28C1">
            <w:pPr>
              <w:keepNext w:val="0"/>
              <w:keepLines w:val="0"/>
              <w:suppressLineNumbers w:val="0"/>
              <w:adjustRightInd w:val="0"/>
              <w:snapToGrid w:val="0"/>
              <w:spacing w:before="0" w:beforeAutospacing="0" w:after="0" w:afterAutospacing="0" w:line="360" w:lineRule="auto"/>
              <w:ind w:left="0" w:right="0" w:firstLine="482" w:firstLineChars="200"/>
              <w:jc w:val="both"/>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1、环境空气</w:t>
            </w:r>
          </w:p>
          <w:p w14:paraId="371A4884">
            <w:pPr>
              <w:keepNext w:val="0"/>
              <w:keepLines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（1）基本污染物</w:t>
            </w:r>
          </w:p>
          <w:p w14:paraId="3B5F70D3">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snapToGrid w:val="0"/>
                <w:color w:val="000000" w:themeColor="text1"/>
                <w:kern w:val="0"/>
                <w:sz w:val="24"/>
                <w:highlight w:val="none"/>
                <w:lang w:val="en-GB"/>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根据《2025 年黑龙江省生态环境质量状况》，鸡西市空气质量级别达二级标准，达标天数为350天（95.9%）。PM</w:t>
            </w:r>
            <w:r>
              <w:rPr>
                <w:rFonts w:hint="default" w:ascii="Times New Roman" w:hAnsi="Times New Roman" w:eastAsia="宋体" w:cs="Times New Roman"/>
                <w:color w:val="000000" w:themeColor="text1"/>
                <w:sz w:val="24"/>
                <w:highlight w:val="none"/>
                <w:vertAlign w:val="subscript"/>
                <w14:textFill>
                  <w14:solidFill>
                    <w14:schemeClr w14:val="tx1"/>
                  </w14:solidFill>
                </w14:textFill>
              </w:rPr>
              <w:t>2.5</w:t>
            </w:r>
            <w:r>
              <w:rPr>
                <w:rFonts w:hint="default" w:ascii="Times New Roman" w:hAnsi="Times New Roman" w:eastAsia="宋体" w:cs="Times New Roman"/>
                <w:color w:val="000000" w:themeColor="text1"/>
                <w:sz w:val="24"/>
                <w:highlight w:val="none"/>
                <w14:textFill>
                  <w14:solidFill>
                    <w14:schemeClr w14:val="tx1"/>
                  </w14:solidFill>
                </w14:textFill>
              </w:rPr>
              <w:t>、PM</w:t>
            </w:r>
            <w:r>
              <w:rPr>
                <w:rFonts w:hint="default" w:ascii="Times New Roman" w:hAnsi="Times New Roman" w:eastAsia="宋体" w:cs="Times New Roman"/>
                <w:color w:val="000000" w:themeColor="text1"/>
                <w:sz w:val="24"/>
                <w:highlight w:val="none"/>
                <w:vertAlign w:val="subscript"/>
                <w14:textFill>
                  <w14:solidFill>
                    <w14:schemeClr w14:val="tx1"/>
                  </w14:solidFill>
                </w14:textFill>
              </w:rPr>
              <w:t>10</w:t>
            </w:r>
            <w:r>
              <w:rPr>
                <w:rFonts w:hint="default" w:ascii="Times New Roman" w:hAnsi="Times New Roman" w:eastAsia="宋体" w:cs="Times New Roman"/>
                <w:color w:val="000000" w:themeColor="text1"/>
                <w:sz w:val="24"/>
                <w:highlight w:val="none"/>
                <w14:textFill>
                  <w14:solidFill>
                    <w14:schemeClr w14:val="tx1"/>
                  </w14:solidFill>
                </w14:textFill>
              </w:rPr>
              <w:t>、SO</w:t>
            </w:r>
            <w:r>
              <w:rPr>
                <w:rFonts w:hint="default" w:ascii="Times New Roman" w:hAnsi="Times New Roman" w:eastAsia="宋体" w:cs="Times New Roman"/>
                <w:color w:val="000000" w:themeColor="text1"/>
                <w:sz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4"/>
                <w:highlight w:val="none"/>
                <w14:textFill>
                  <w14:solidFill>
                    <w14:schemeClr w14:val="tx1"/>
                  </w14:solidFill>
                </w14:textFill>
              </w:rPr>
              <w:t>、NO</w:t>
            </w:r>
            <w:r>
              <w:rPr>
                <w:rFonts w:hint="default" w:ascii="Times New Roman" w:hAnsi="Times New Roman" w:eastAsia="宋体" w:cs="Times New Roman"/>
                <w:color w:val="000000" w:themeColor="text1"/>
                <w:sz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4"/>
                <w:highlight w:val="none"/>
                <w14:textFill>
                  <w14:solidFill>
                    <w14:schemeClr w14:val="tx1"/>
                  </w14:solidFill>
                </w14:textFill>
              </w:rPr>
              <w:t>、CO-95per 和 O</w:t>
            </w:r>
            <w:r>
              <w:rPr>
                <w:rFonts w:hint="default" w:ascii="Times New Roman" w:hAnsi="Times New Roman" w:eastAsia="宋体" w:cs="Times New Roman"/>
                <w:color w:val="000000" w:themeColor="text1"/>
                <w:sz w:val="24"/>
                <w:highlight w:val="none"/>
                <w:vertAlign w:val="subscript"/>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-8h-90per年均浓度分别为26μg/m</w:t>
            </w:r>
            <w:r>
              <w:rPr>
                <w:rFonts w:hint="default" w:ascii="Times New Roman" w:hAnsi="Times New Roman" w:eastAsia="宋体" w:cs="Times New Roman"/>
                <w:color w:val="000000" w:themeColor="text1"/>
                <w:sz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、43μg/m</w:t>
            </w:r>
            <w:r>
              <w:rPr>
                <w:rFonts w:hint="default" w:ascii="Times New Roman" w:hAnsi="Times New Roman" w:eastAsia="宋体" w:cs="Times New Roman"/>
                <w:color w:val="000000" w:themeColor="text1"/>
                <w:sz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、8μg/m</w:t>
            </w:r>
            <w:r>
              <w:rPr>
                <w:rFonts w:hint="default" w:ascii="Times New Roman" w:hAnsi="Times New Roman" w:eastAsia="宋体" w:cs="Times New Roman"/>
                <w:color w:val="000000" w:themeColor="text1"/>
                <w:sz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、17μg/m</w:t>
            </w:r>
            <w:r>
              <w:rPr>
                <w:rFonts w:hint="default" w:ascii="Times New Roman" w:hAnsi="Times New Roman" w:eastAsia="宋体" w:cs="Times New Roman"/>
                <w:color w:val="000000" w:themeColor="text1"/>
                <w:sz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、0.9mg/m</w:t>
            </w:r>
            <w:r>
              <w:rPr>
                <w:rFonts w:hint="default" w:ascii="Times New Roman" w:hAnsi="Times New Roman" w:eastAsia="宋体" w:cs="Times New Roman"/>
                <w:color w:val="000000" w:themeColor="text1"/>
                <w:sz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 xml:space="preserve"> 和115μg/m</w:t>
            </w:r>
            <w:r>
              <w:rPr>
                <w:rFonts w:hint="default" w:ascii="Times New Roman" w:hAnsi="Times New Roman" w:eastAsia="宋体" w:cs="Times New Roman"/>
                <w:color w:val="000000" w:themeColor="text1"/>
                <w:sz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579BEC64">
            <w:pPr>
              <w:pStyle w:val="65"/>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表3-1区域空气质量现状评价表</w:t>
            </w:r>
          </w:p>
          <w:tbl>
            <w:tblPr>
              <w:tblStyle w:val="3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2542"/>
              <w:gridCol w:w="1111"/>
              <w:gridCol w:w="1000"/>
              <w:gridCol w:w="907"/>
              <w:gridCol w:w="1188"/>
            </w:tblGrid>
            <w:tr w14:paraId="5749C5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67" w:type="pct"/>
                  <w:tcBorders>
                    <w:tl2br w:val="nil"/>
                    <w:tr2bl w:val="nil"/>
                  </w:tcBorders>
                  <w:noWrap w:val="0"/>
                  <w:vAlign w:val="center"/>
                </w:tcPr>
                <w:p w14:paraId="7BBF2E1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污染物</w:t>
                  </w:r>
                </w:p>
              </w:tc>
              <w:tc>
                <w:tcPr>
                  <w:tcW w:w="1594" w:type="pct"/>
                  <w:tcBorders>
                    <w:tl2br w:val="nil"/>
                    <w:tr2bl w:val="nil"/>
                  </w:tcBorders>
                  <w:noWrap w:val="0"/>
                  <w:vAlign w:val="center"/>
                </w:tcPr>
                <w:p w14:paraId="3CE4358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年评价指标</w:t>
                  </w:r>
                </w:p>
              </w:tc>
              <w:tc>
                <w:tcPr>
                  <w:tcW w:w="696" w:type="pct"/>
                  <w:tcBorders>
                    <w:tl2br w:val="nil"/>
                    <w:tr2bl w:val="nil"/>
                  </w:tcBorders>
                  <w:noWrap w:val="0"/>
                  <w:vAlign w:val="center"/>
                </w:tcPr>
                <w:p w14:paraId="702A10D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现状浓度</w:t>
                  </w:r>
                </w:p>
              </w:tc>
              <w:tc>
                <w:tcPr>
                  <w:tcW w:w="627" w:type="pct"/>
                  <w:tcBorders>
                    <w:tl2br w:val="nil"/>
                    <w:tr2bl w:val="nil"/>
                  </w:tcBorders>
                  <w:noWrap w:val="0"/>
                  <w:vAlign w:val="center"/>
                </w:tcPr>
                <w:p w14:paraId="2AF3D8D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标准值</w:t>
                  </w:r>
                </w:p>
              </w:tc>
              <w:tc>
                <w:tcPr>
                  <w:tcW w:w="568" w:type="pct"/>
                  <w:tcBorders>
                    <w:tl2br w:val="nil"/>
                    <w:tr2bl w:val="nil"/>
                  </w:tcBorders>
                  <w:noWrap w:val="0"/>
                  <w:vAlign w:val="center"/>
                </w:tcPr>
                <w:p w14:paraId="4757249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占标率</w:t>
                  </w:r>
                </w:p>
              </w:tc>
              <w:tc>
                <w:tcPr>
                  <w:tcW w:w="745" w:type="pct"/>
                  <w:tcBorders>
                    <w:tl2br w:val="nil"/>
                    <w:tr2bl w:val="nil"/>
                  </w:tcBorders>
                  <w:noWrap w:val="0"/>
                  <w:vAlign w:val="center"/>
                </w:tcPr>
                <w:p w14:paraId="5E6E563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达标情况</w:t>
                  </w:r>
                </w:p>
              </w:tc>
            </w:tr>
            <w:tr w14:paraId="13567E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67" w:type="pct"/>
                  <w:tcBorders>
                    <w:tl2br w:val="nil"/>
                    <w:tr2bl w:val="nil"/>
                  </w:tcBorders>
                  <w:noWrap w:val="0"/>
                  <w:vAlign w:val="center"/>
                </w:tcPr>
                <w:p w14:paraId="62782C2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PM</w:t>
                  </w:r>
                  <w:r>
                    <w:rPr>
                      <w:rFonts w:hint="default" w:ascii="Times New Roman" w:hAnsi="Times New Roman" w:eastAsia="宋体" w:cs="Times New Roman"/>
                      <w:color w:val="000000" w:themeColor="text1"/>
                      <w:kern w:val="0"/>
                      <w:sz w:val="21"/>
                      <w:szCs w:val="21"/>
                      <w:highlight w:val="none"/>
                      <w:vertAlign w:val="subscript"/>
                      <w14:textFill>
                        <w14:solidFill>
                          <w14:schemeClr w14:val="tx1"/>
                        </w14:solidFill>
                      </w14:textFill>
                    </w:rPr>
                    <w:t>2.5</w:t>
                  </w:r>
                </w:p>
              </w:tc>
              <w:tc>
                <w:tcPr>
                  <w:tcW w:w="1594" w:type="pct"/>
                  <w:tcBorders>
                    <w:tl2br w:val="nil"/>
                    <w:tr2bl w:val="nil"/>
                  </w:tcBorders>
                  <w:noWrap w:val="0"/>
                  <w:vAlign w:val="center"/>
                </w:tcPr>
                <w:p w14:paraId="783F59A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年平均质量浓度</w:t>
                  </w:r>
                </w:p>
              </w:tc>
              <w:tc>
                <w:tcPr>
                  <w:tcW w:w="696" w:type="pct"/>
                  <w:tcBorders>
                    <w:tl2br w:val="nil"/>
                    <w:tr2bl w:val="nil"/>
                  </w:tcBorders>
                  <w:noWrap w:val="0"/>
                  <w:vAlign w:val="center"/>
                </w:tcPr>
                <w:p w14:paraId="65829C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26</w:t>
                  </w:r>
                </w:p>
              </w:tc>
              <w:tc>
                <w:tcPr>
                  <w:tcW w:w="1000" w:type="dxa"/>
                  <w:tcBorders>
                    <w:tl2br w:val="nil"/>
                    <w:tr2bl w:val="nil"/>
                  </w:tcBorders>
                  <w:noWrap w:val="0"/>
                  <w:vAlign w:val="center"/>
                </w:tcPr>
                <w:p w14:paraId="4EB5A3F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sz w:val="21"/>
                      <w:szCs w:val="21"/>
                      <w:highlight w:val="none"/>
                      <w:lang w:val="en-US" w:eastAsia="zh-CN"/>
                    </w:rPr>
                    <w:t>30</w:t>
                  </w:r>
                </w:p>
              </w:tc>
              <w:tc>
                <w:tcPr>
                  <w:tcW w:w="907" w:type="dxa"/>
                  <w:tcBorders>
                    <w:tl2br w:val="nil"/>
                    <w:tr2bl w:val="nil"/>
                  </w:tcBorders>
                  <w:noWrap w:val="0"/>
                  <w:vAlign w:val="center"/>
                </w:tcPr>
                <w:p w14:paraId="2AB887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86.7</w:t>
                  </w:r>
                </w:p>
              </w:tc>
              <w:tc>
                <w:tcPr>
                  <w:tcW w:w="745" w:type="pct"/>
                  <w:tcBorders>
                    <w:tl2br w:val="nil"/>
                    <w:tr2bl w:val="nil"/>
                  </w:tcBorders>
                  <w:noWrap w:val="0"/>
                  <w:vAlign w:val="center"/>
                </w:tcPr>
                <w:p w14:paraId="1CBE401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达标</w:t>
                  </w:r>
                </w:p>
              </w:tc>
            </w:tr>
            <w:tr w14:paraId="7EC191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67" w:type="pct"/>
                  <w:tcBorders>
                    <w:tl2br w:val="nil"/>
                    <w:tr2bl w:val="nil"/>
                  </w:tcBorders>
                  <w:noWrap w:val="0"/>
                  <w:vAlign w:val="center"/>
                </w:tcPr>
                <w:p w14:paraId="48E6C5E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PM</w:t>
                  </w:r>
                  <w:r>
                    <w:rPr>
                      <w:rFonts w:hint="default" w:ascii="Times New Roman" w:hAnsi="Times New Roman" w:eastAsia="宋体" w:cs="Times New Roman"/>
                      <w:color w:val="000000" w:themeColor="text1"/>
                      <w:kern w:val="0"/>
                      <w:sz w:val="21"/>
                      <w:szCs w:val="21"/>
                      <w:highlight w:val="none"/>
                      <w:vertAlign w:val="subscript"/>
                      <w14:textFill>
                        <w14:solidFill>
                          <w14:schemeClr w14:val="tx1"/>
                        </w14:solidFill>
                      </w14:textFill>
                    </w:rPr>
                    <w:t>10</w:t>
                  </w:r>
                </w:p>
              </w:tc>
              <w:tc>
                <w:tcPr>
                  <w:tcW w:w="1594" w:type="pct"/>
                  <w:tcBorders>
                    <w:tl2br w:val="nil"/>
                    <w:tr2bl w:val="nil"/>
                  </w:tcBorders>
                  <w:noWrap w:val="0"/>
                  <w:vAlign w:val="center"/>
                </w:tcPr>
                <w:p w14:paraId="12107D4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年平均质量浓度</w:t>
                  </w:r>
                </w:p>
              </w:tc>
              <w:tc>
                <w:tcPr>
                  <w:tcW w:w="696" w:type="pct"/>
                  <w:tcBorders>
                    <w:tl2br w:val="nil"/>
                    <w:tr2bl w:val="nil"/>
                  </w:tcBorders>
                  <w:noWrap w:val="0"/>
                  <w:vAlign w:val="center"/>
                </w:tcPr>
                <w:p w14:paraId="692D27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eastAsia" w:cs="Times New Roman"/>
                      <w:color w:val="000000" w:themeColor="text1"/>
                      <w:sz w:val="21"/>
                      <w:szCs w:val="21"/>
                      <w:highlight w:val="none"/>
                      <w:lang w:val="en-US" w:eastAsia="zh-CN"/>
                      <w14:textFill>
                        <w14:solidFill>
                          <w14:schemeClr w14:val="tx1"/>
                        </w14:solidFill>
                      </w14:textFill>
                    </w:rPr>
                    <w:t>3</w:t>
                  </w:r>
                </w:p>
              </w:tc>
              <w:tc>
                <w:tcPr>
                  <w:tcW w:w="1000" w:type="dxa"/>
                  <w:tcBorders>
                    <w:tl2br w:val="nil"/>
                    <w:tr2bl w:val="nil"/>
                  </w:tcBorders>
                  <w:noWrap w:val="0"/>
                  <w:vAlign w:val="center"/>
                </w:tcPr>
                <w:p w14:paraId="781693C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sz w:val="21"/>
                      <w:szCs w:val="21"/>
                      <w:highlight w:val="none"/>
                      <w:lang w:val="en-US" w:eastAsia="zh-CN"/>
                    </w:rPr>
                    <w:t>60</w:t>
                  </w:r>
                </w:p>
              </w:tc>
              <w:tc>
                <w:tcPr>
                  <w:tcW w:w="907" w:type="dxa"/>
                  <w:tcBorders>
                    <w:tl2br w:val="nil"/>
                    <w:tr2bl w:val="nil"/>
                  </w:tcBorders>
                  <w:noWrap w:val="0"/>
                  <w:vAlign w:val="center"/>
                </w:tcPr>
                <w:p w14:paraId="588B7A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71.7</w:t>
                  </w:r>
                </w:p>
              </w:tc>
              <w:tc>
                <w:tcPr>
                  <w:tcW w:w="745" w:type="pct"/>
                  <w:tcBorders>
                    <w:tl2br w:val="nil"/>
                    <w:tr2bl w:val="nil"/>
                  </w:tcBorders>
                  <w:noWrap w:val="0"/>
                  <w:vAlign w:val="center"/>
                </w:tcPr>
                <w:p w14:paraId="090320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kern w:val="0"/>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达标</w:t>
                  </w:r>
                </w:p>
              </w:tc>
            </w:tr>
            <w:tr w14:paraId="20FD08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67" w:type="pct"/>
                  <w:tcBorders>
                    <w:tl2br w:val="nil"/>
                    <w:tr2bl w:val="nil"/>
                  </w:tcBorders>
                  <w:noWrap w:val="0"/>
                  <w:vAlign w:val="center"/>
                </w:tcPr>
                <w:p w14:paraId="2D0ECB0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NO</w:t>
                  </w:r>
                  <w:r>
                    <w:rPr>
                      <w:rFonts w:hint="default" w:ascii="Times New Roman" w:hAnsi="Times New Roman" w:eastAsia="宋体" w:cs="Times New Roman"/>
                      <w:color w:val="000000" w:themeColor="text1"/>
                      <w:kern w:val="0"/>
                      <w:sz w:val="21"/>
                      <w:szCs w:val="21"/>
                      <w:highlight w:val="none"/>
                      <w:vertAlign w:val="subscript"/>
                      <w14:textFill>
                        <w14:solidFill>
                          <w14:schemeClr w14:val="tx1"/>
                        </w14:solidFill>
                      </w14:textFill>
                    </w:rPr>
                    <w:t>2</w:t>
                  </w:r>
                </w:p>
              </w:tc>
              <w:tc>
                <w:tcPr>
                  <w:tcW w:w="1594" w:type="pct"/>
                  <w:tcBorders>
                    <w:tl2br w:val="nil"/>
                    <w:tr2bl w:val="nil"/>
                  </w:tcBorders>
                  <w:noWrap w:val="0"/>
                  <w:vAlign w:val="center"/>
                </w:tcPr>
                <w:p w14:paraId="186A54A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年平均质量浓度</w:t>
                  </w:r>
                </w:p>
              </w:tc>
              <w:tc>
                <w:tcPr>
                  <w:tcW w:w="696" w:type="pct"/>
                  <w:tcBorders>
                    <w:tl2br w:val="nil"/>
                    <w:tr2bl w:val="nil"/>
                  </w:tcBorders>
                  <w:noWrap w:val="0"/>
                  <w:vAlign w:val="center"/>
                </w:tcPr>
                <w:p w14:paraId="24BCAE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17</w:t>
                  </w:r>
                </w:p>
              </w:tc>
              <w:tc>
                <w:tcPr>
                  <w:tcW w:w="1000" w:type="dxa"/>
                  <w:tcBorders>
                    <w:tl2br w:val="nil"/>
                    <w:tr2bl w:val="nil"/>
                  </w:tcBorders>
                  <w:noWrap w:val="0"/>
                  <w:vAlign w:val="center"/>
                </w:tcPr>
                <w:p w14:paraId="3E290C1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sz w:val="21"/>
                      <w:szCs w:val="21"/>
                      <w:highlight w:val="none"/>
                      <w:lang w:val="en-US" w:eastAsia="zh-CN"/>
                    </w:rPr>
                    <w:t>40</w:t>
                  </w:r>
                </w:p>
              </w:tc>
              <w:tc>
                <w:tcPr>
                  <w:tcW w:w="907" w:type="dxa"/>
                  <w:tcBorders>
                    <w:tl2br w:val="nil"/>
                    <w:tr2bl w:val="nil"/>
                  </w:tcBorders>
                  <w:noWrap w:val="0"/>
                  <w:vAlign w:val="center"/>
                </w:tcPr>
                <w:p w14:paraId="7DA6A8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42.5</w:t>
                  </w:r>
                </w:p>
              </w:tc>
              <w:tc>
                <w:tcPr>
                  <w:tcW w:w="745" w:type="pct"/>
                  <w:tcBorders>
                    <w:tl2br w:val="nil"/>
                    <w:tr2bl w:val="nil"/>
                  </w:tcBorders>
                  <w:noWrap w:val="0"/>
                  <w:vAlign w:val="center"/>
                </w:tcPr>
                <w:p w14:paraId="530E51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达标</w:t>
                  </w:r>
                </w:p>
              </w:tc>
            </w:tr>
            <w:tr w14:paraId="1E02AA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67" w:type="pct"/>
                  <w:tcBorders>
                    <w:tl2br w:val="nil"/>
                    <w:tr2bl w:val="nil"/>
                  </w:tcBorders>
                  <w:noWrap w:val="0"/>
                  <w:vAlign w:val="center"/>
                </w:tcPr>
                <w:p w14:paraId="2DC0BE2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SO</w:t>
                  </w:r>
                  <w:r>
                    <w:rPr>
                      <w:rFonts w:hint="default" w:ascii="Times New Roman" w:hAnsi="Times New Roman" w:eastAsia="宋体" w:cs="Times New Roman"/>
                      <w:color w:val="000000" w:themeColor="text1"/>
                      <w:kern w:val="0"/>
                      <w:sz w:val="21"/>
                      <w:szCs w:val="21"/>
                      <w:highlight w:val="none"/>
                      <w:vertAlign w:val="subscript"/>
                      <w14:textFill>
                        <w14:solidFill>
                          <w14:schemeClr w14:val="tx1"/>
                        </w14:solidFill>
                      </w14:textFill>
                    </w:rPr>
                    <w:t>2</w:t>
                  </w:r>
                </w:p>
              </w:tc>
              <w:tc>
                <w:tcPr>
                  <w:tcW w:w="1594" w:type="pct"/>
                  <w:tcBorders>
                    <w:tl2br w:val="nil"/>
                    <w:tr2bl w:val="nil"/>
                  </w:tcBorders>
                  <w:noWrap w:val="0"/>
                  <w:vAlign w:val="center"/>
                </w:tcPr>
                <w:p w14:paraId="506F8D8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年平均质量浓度</w:t>
                  </w:r>
                </w:p>
              </w:tc>
              <w:tc>
                <w:tcPr>
                  <w:tcW w:w="696" w:type="pct"/>
                  <w:tcBorders>
                    <w:tl2br w:val="nil"/>
                    <w:tr2bl w:val="nil"/>
                  </w:tcBorders>
                  <w:noWrap w:val="0"/>
                  <w:vAlign w:val="center"/>
                </w:tcPr>
                <w:p w14:paraId="047CA8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8</w:t>
                  </w:r>
                </w:p>
              </w:tc>
              <w:tc>
                <w:tcPr>
                  <w:tcW w:w="1000" w:type="dxa"/>
                  <w:tcBorders>
                    <w:tl2br w:val="nil"/>
                    <w:tr2bl w:val="nil"/>
                  </w:tcBorders>
                  <w:noWrap w:val="0"/>
                  <w:vAlign w:val="center"/>
                </w:tcPr>
                <w:p w14:paraId="330C112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sz w:val="21"/>
                      <w:szCs w:val="21"/>
                      <w:highlight w:val="none"/>
                      <w:lang w:val="en-US" w:eastAsia="zh-CN"/>
                    </w:rPr>
                    <w:t>60</w:t>
                  </w:r>
                </w:p>
              </w:tc>
              <w:tc>
                <w:tcPr>
                  <w:tcW w:w="907" w:type="dxa"/>
                  <w:tcBorders>
                    <w:tl2br w:val="nil"/>
                    <w:tr2bl w:val="nil"/>
                  </w:tcBorders>
                  <w:noWrap w:val="0"/>
                  <w:vAlign w:val="center"/>
                </w:tcPr>
                <w:p w14:paraId="2E208C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13.3</w:t>
                  </w:r>
                </w:p>
              </w:tc>
              <w:tc>
                <w:tcPr>
                  <w:tcW w:w="745" w:type="pct"/>
                  <w:tcBorders>
                    <w:tl2br w:val="nil"/>
                    <w:tr2bl w:val="nil"/>
                  </w:tcBorders>
                  <w:noWrap w:val="0"/>
                  <w:vAlign w:val="center"/>
                </w:tcPr>
                <w:p w14:paraId="61352C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达标</w:t>
                  </w:r>
                </w:p>
              </w:tc>
            </w:tr>
            <w:tr w14:paraId="68B2DF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7" w:type="pct"/>
                  <w:tcBorders>
                    <w:tl2br w:val="nil"/>
                    <w:tr2bl w:val="nil"/>
                  </w:tcBorders>
                  <w:noWrap w:val="0"/>
                  <w:vAlign w:val="center"/>
                </w:tcPr>
                <w:p w14:paraId="32FD65E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CO</w:t>
                  </w:r>
                </w:p>
              </w:tc>
              <w:tc>
                <w:tcPr>
                  <w:tcW w:w="1594" w:type="pct"/>
                  <w:tcBorders>
                    <w:tl2br w:val="nil"/>
                    <w:tr2bl w:val="nil"/>
                  </w:tcBorders>
                  <w:noWrap w:val="0"/>
                  <w:vAlign w:val="center"/>
                </w:tcPr>
                <w:p w14:paraId="0F7CEF5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百分位数</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24h</w:t>
                  </w: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平均浓度</w:t>
                  </w:r>
                </w:p>
              </w:tc>
              <w:tc>
                <w:tcPr>
                  <w:tcW w:w="696" w:type="pct"/>
                  <w:tcBorders>
                    <w:tl2br w:val="nil"/>
                    <w:tr2bl w:val="nil"/>
                  </w:tcBorders>
                  <w:noWrap w:val="0"/>
                  <w:vAlign w:val="center"/>
                </w:tcPr>
                <w:p w14:paraId="25CC9D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900</w:t>
                  </w:r>
                </w:p>
              </w:tc>
              <w:tc>
                <w:tcPr>
                  <w:tcW w:w="1000" w:type="dxa"/>
                  <w:tcBorders>
                    <w:tl2br w:val="nil"/>
                    <w:tr2bl w:val="nil"/>
                  </w:tcBorders>
                  <w:noWrap w:val="0"/>
                  <w:vAlign w:val="center"/>
                </w:tcPr>
                <w:p w14:paraId="498E448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sz w:val="21"/>
                      <w:szCs w:val="21"/>
                      <w:highlight w:val="none"/>
                      <w:lang w:val="en-US" w:eastAsia="zh-CN"/>
                    </w:rPr>
                    <w:t>4000</w:t>
                  </w:r>
                </w:p>
              </w:tc>
              <w:tc>
                <w:tcPr>
                  <w:tcW w:w="907" w:type="dxa"/>
                  <w:tcBorders>
                    <w:tl2br w:val="nil"/>
                    <w:tr2bl w:val="nil"/>
                  </w:tcBorders>
                  <w:noWrap w:val="0"/>
                  <w:vAlign w:val="center"/>
                </w:tcPr>
                <w:p w14:paraId="4DB73A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2</w:t>
                  </w:r>
                  <w:r>
                    <w:rPr>
                      <w:rFonts w:hint="eastAsia" w:cs="Times New Roman"/>
                      <w:color w:val="000000" w:themeColor="text1"/>
                      <w:kern w:val="0"/>
                      <w:sz w:val="21"/>
                      <w:szCs w:val="21"/>
                      <w:highlight w:val="none"/>
                      <w:lang w:val="en-US" w:eastAsia="zh-CN" w:bidi="ar-SA"/>
                      <w14:textFill>
                        <w14:solidFill>
                          <w14:schemeClr w14:val="tx1"/>
                        </w14:solidFill>
                      </w14:textFill>
                    </w:rPr>
                    <w:t>2.5</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w:t>
                  </w:r>
                </w:p>
              </w:tc>
              <w:tc>
                <w:tcPr>
                  <w:tcW w:w="745" w:type="pct"/>
                  <w:tcBorders>
                    <w:tl2br w:val="nil"/>
                    <w:tr2bl w:val="nil"/>
                  </w:tcBorders>
                  <w:noWrap w:val="0"/>
                  <w:vAlign w:val="center"/>
                </w:tcPr>
                <w:p w14:paraId="34E1C7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达标</w:t>
                  </w:r>
                </w:p>
              </w:tc>
            </w:tr>
            <w:tr w14:paraId="0176B4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67" w:type="pct"/>
                  <w:tcBorders>
                    <w:tl2br w:val="nil"/>
                    <w:tr2bl w:val="nil"/>
                  </w:tcBorders>
                  <w:noWrap w:val="0"/>
                  <w:vAlign w:val="center"/>
                </w:tcPr>
                <w:p w14:paraId="392B21B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臭氧</w:t>
                  </w:r>
                </w:p>
              </w:tc>
              <w:tc>
                <w:tcPr>
                  <w:tcW w:w="1594" w:type="pct"/>
                  <w:tcBorders>
                    <w:tl2br w:val="nil"/>
                    <w:tr2bl w:val="nil"/>
                  </w:tcBorders>
                  <w:noWrap w:val="0"/>
                  <w:vAlign w:val="center"/>
                </w:tcPr>
                <w:p w14:paraId="651A30F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百分位数</w:t>
                  </w: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8h平均浓度</w:t>
                  </w:r>
                </w:p>
              </w:tc>
              <w:tc>
                <w:tcPr>
                  <w:tcW w:w="696" w:type="pct"/>
                  <w:tcBorders>
                    <w:tl2br w:val="nil"/>
                    <w:tr2bl w:val="nil"/>
                  </w:tcBorders>
                  <w:noWrap w:val="0"/>
                  <w:vAlign w:val="center"/>
                </w:tcPr>
                <w:p w14:paraId="66D9E9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115</w:t>
                  </w:r>
                </w:p>
              </w:tc>
              <w:tc>
                <w:tcPr>
                  <w:tcW w:w="1000" w:type="dxa"/>
                  <w:tcBorders>
                    <w:tl2br w:val="nil"/>
                    <w:tr2bl w:val="nil"/>
                  </w:tcBorders>
                  <w:noWrap w:val="0"/>
                  <w:vAlign w:val="center"/>
                </w:tcPr>
                <w:p w14:paraId="641695F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sz w:val="21"/>
                      <w:szCs w:val="21"/>
                      <w:highlight w:val="none"/>
                    </w:rPr>
                    <w:t>160</w:t>
                  </w:r>
                </w:p>
              </w:tc>
              <w:tc>
                <w:tcPr>
                  <w:tcW w:w="907" w:type="dxa"/>
                  <w:tcBorders>
                    <w:tl2br w:val="nil"/>
                    <w:tr2bl w:val="nil"/>
                  </w:tcBorders>
                  <w:noWrap w:val="0"/>
                  <w:vAlign w:val="center"/>
                </w:tcPr>
                <w:p w14:paraId="4D2751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71.9</w:t>
                  </w:r>
                </w:p>
              </w:tc>
              <w:tc>
                <w:tcPr>
                  <w:tcW w:w="745" w:type="pct"/>
                  <w:tcBorders>
                    <w:tl2br w:val="nil"/>
                    <w:tr2bl w:val="nil"/>
                  </w:tcBorders>
                  <w:noWrap w:val="0"/>
                  <w:vAlign w:val="center"/>
                </w:tcPr>
                <w:p w14:paraId="7A2595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达标</w:t>
                  </w:r>
                </w:p>
              </w:tc>
            </w:tr>
          </w:tbl>
          <w:p w14:paraId="6056136E">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themeColor="text1"/>
                <w:sz w:val="24"/>
                <w:highlight w:val="none"/>
                <w:lang w:val="zh-CN"/>
                <w14:textFill>
                  <w14:solidFill>
                    <w14:schemeClr w14:val="tx1"/>
                  </w14:solidFill>
                </w14:textFill>
              </w:rPr>
            </w:pPr>
            <w:r>
              <w:rPr>
                <w:rFonts w:hint="default" w:ascii="Times New Roman" w:hAnsi="Times New Roman" w:eastAsia="宋体" w:cs="Times New Roman"/>
                <w:color w:val="000000" w:themeColor="text1"/>
                <w:sz w:val="24"/>
                <w:highlight w:val="none"/>
                <w:lang w:val="zh-CN"/>
                <w14:textFill>
                  <w14:solidFill>
                    <w14:schemeClr w14:val="tx1"/>
                  </w14:solidFill>
                </w14:textFill>
              </w:rPr>
              <w:t>由</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上表</w:t>
            </w:r>
            <w:r>
              <w:rPr>
                <w:rFonts w:hint="default" w:ascii="Times New Roman" w:hAnsi="Times New Roman" w:eastAsia="宋体" w:cs="Times New Roman"/>
                <w:color w:val="000000" w:themeColor="text1"/>
                <w:sz w:val="24"/>
                <w:highlight w:val="none"/>
                <w:lang w:val="zh-CN"/>
                <w14:textFill>
                  <w14:solidFill>
                    <w14:schemeClr w14:val="tx1"/>
                  </w14:solidFill>
                </w14:textFill>
              </w:rPr>
              <w:t>可知，各污染物平均浓度均优于《环境空气质量标准》（GB3095-2026）中的过渡阶段浓度限值的二级标准限值，本项目所在区域属于空气质量达标区。</w:t>
            </w:r>
          </w:p>
          <w:p w14:paraId="463AE0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highlight w:val="none"/>
                <w:lang w:val="zh-CN"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zh-CN"/>
                <w14:textFill>
                  <w14:solidFill>
                    <w14:schemeClr w14:val="tx1"/>
                  </w14:solidFill>
                </w14:textFill>
              </w:rPr>
              <w:t>本次评价委托黑龙江盛睿检测评价有限公司进行特征污染物（TSP）的补充监测（报告编号：SRHJ09260509011），监测时间为202</w:t>
            </w:r>
            <w:r>
              <w:rPr>
                <w:rFonts w:hint="eastAsia" w:cs="Times New Roman"/>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highlight w:val="none"/>
                <w:lang w:val="zh-CN"/>
                <w14:textFill>
                  <w14:solidFill>
                    <w14:schemeClr w14:val="tx1"/>
                  </w14:solidFill>
                </w14:textFill>
              </w:rPr>
              <w:t>年0</w:t>
            </w:r>
            <w:r>
              <w:rPr>
                <w:rFonts w:hint="eastAsia"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lang w:val="zh-CN"/>
                <w14:textFill>
                  <w14:solidFill>
                    <w14:schemeClr w14:val="tx1"/>
                  </w14:solidFill>
                </w14:textFill>
              </w:rPr>
              <w:t>月20日－0</w:t>
            </w:r>
            <w:r>
              <w:rPr>
                <w:rFonts w:hint="eastAsia"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lang w:val="zh-CN"/>
                <w14:textFill>
                  <w14:solidFill>
                    <w14:schemeClr w14:val="tx1"/>
                  </w14:solidFill>
                </w14:textFill>
              </w:rPr>
              <w:t>月22日，连续监测3天。</w:t>
            </w:r>
            <w:r>
              <w:rPr>
                <w:rFonts w:hint="default" w:ascii="Times New Roman" w:hAnsi="Times New Roman" w:eastAsia="宋体" w:cs="Times New Roman"/>
                <w:color w:val="000000" w:themeColor="text1"/>
                <w:sz w:val="24"/>
                <w:highlight w:val="none"/>
                <w:lang w:val="zh-CN" w:eastAsia="zh-CN"/>
                <w14:textFill>
                  <w14:solidFill>
                    <w14:schemeClr w14:val="tx1"/>
                  </w14:solidFill>
                </w14:textFill>
              </w:rPr>
              <w:t>检测结果</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如</w:t>
            </w:r>
            <w:r>
              <w:rPr>
                <w:rFonts w:hint="default" w:ascii="Times New Roman" w:hAnsi="Times New Roman" w:eastAsia="宋体" w:cs="Times New Roman"/>
                <w:color w:val="000000" w:themeColor="text1"/>
                <w:sz w:val="24"/>
                <w:highlight w:val="none"/>
                <w:lang w:val="zh-CN" w:eastAsia="zh-CN"/>
                <w14:textFill>
                  <w14:solidFill>
                    <w14:schemeClr w14:val="tx1"/>
                  </w14:solidFill>
                </w14:textFill>
              </w:rPr>
              <w:t>下：</w:t>
            </w:r>
          </w:p>
          <w:p w14:paraId="562B2D47">
            <w:pPr>
              <w:pStyle w:val="65"/>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表3-</w:t>
            </w: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bCs/>
                <w:color w:val="000000" w:themeColor="text1"/>
                <w:sz w:val="21"/>
                <w:szCs w:val="21"/>
                <w:highlight w:val="none"/>
                <w14:textFill>
                  <w14:solidFill>
                    <w14:schemeClr w14:val="tx1"/>
                  </w14:solidFill>
                </w14:textFill>
              </w:rPr>
              <w:t xml:space="preserve">  </w:t>
            </w:r>
            <w:r>
              <w:rPr>
                <w:rFonts w:hint="default" w:ascii="Times New Roman" w:hAnsi="Times New Roman" w:eastAsia="宋体" w:cs="Times New Roman"/>
                <w:b/>
                <w:bCs/>
                <w:color w:val="000000" w:themeColor="text1"/>
                <w:szCs w:val="21"/>
                <w:highlight w:val="none"/>
                <w14:textFill>
                  <w14:solidFill>
                    <w14:schemeClr w14:val="tx1"/>
                  </w14:solidFill>
                </w14:textFill>
              </w:rPr>
              <w:t>项目环境空气现状监测布点一览表</w:t>
            </w:r>
          </w:p>
          <w:tbl>
            <w:tblPr>
              <w:tblStyle w:val="35"/>
              <w:tblW w:w="793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598"/>
              <w:gridCol w:w="1616"/>
              <w:gridCol w:w="671"/>
              <w:gridCol w:w="1148"/>
              <w:gridCol w:w="1002"/>
              <w:gridCol w:w="1059"/>
            </w:tblGrid>
            <w:tr w14:paraId="2AA02A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restart"/>
                  <w:noWrap w:val="0"/>
                  <w:vAlign w:val="center"/>
                </w:tcPr>
                <w:p w14:paraId="578817A9">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监测点名称</w:t>
                  </w:r>
                </w:p>
              </w:tc>
              <w:tc>
                <w:tcPr>
                  <w:tcW w:w="3214" w:type="dxa"/>
                  <w:gridSpan w:val="2"/>
                  <w:noWrap w:val="0"/>
                  <w:vAlign w:val="center"/>
                </w:tcPr>
                <w:p w14:paraId="7DC75A8A">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监测点位坐标</w:t>
                  </w:r>
                </w:p>
              </w:tc>
              <w:tc>
                <w:tcPr>
                  <w:tcW w:w="671" w:type="dxa"/>
                  <w:vMerge w:val="restart"/>
                  <w:noWrap w:val="0"/>
                  <w:vAlign w:val="center"/>
                </w:tcPr>
                <w:p w14:paraId="26FA1293">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监测</w:t>
                  </w:r>
                </w:p>
                <w:p w14:paraId="2A6BE727">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因子</w:t>
                  </w:r>
                </w:p>
              </w:tc>
              <w:tc>
                <w:tcPr>
                  <w:tcW w:w="1148" w:type="dxa"/>
                  <w:vMerge w:val="restart"/>
                  <w:noWrap w:val="0"/>
                  <w:vAlign w:val="center"/>
                </w:tcPr>
                <w:p w14:paraId="15F0A9D0">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监测时段</w:t>
                  </w:r>
                </w:p>
              </w:tc>
              <w:tc>
                <w:tcPr>
                  <w:tcW w:w="1002" w:type="dxa"/>
                  <w:vMerge w:val="restart"/>
                  <w:noWrap w:val="0"/>
                  <w:vAlign w:val="center"/>
                </w:tcPr>
                <w:p w14:paraId="5277939F">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相对厂址方位</w:t>
                  </w:r>
                </w:p>
              </w:tc>
              <w:tc>
                <w:tcPr>
                  <w:tcW w:w="1059" w:type="dxa"/>
                  <w:vMerge w:val="restart"/>
                  <w:noWrap w:val="0"/>
                  <w:vAlign w:val="center"/>
                </w:tcPr>
                <w:p w14:paraId="0A2B8A11">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相对厂界距离/m</w:t>
                  </w:r>
                </w:p>
              </w:tc>
            </w:tr>
            <w:tr w14:paraId="6DE96E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noWrap w:val="0"/>
                  <w:vAlign w:val="center"/>
                </w:tcPr>
                <w:p w14:paraId="252B6DB9">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c>
                <w:tcPr>
                  <w:tcW w:w="1598" w:type="dxa"/>
                  <w:noWrap w:val="0"/>
                  <w:vAlign w:val="center"/>
                </w:tcPr>
                <w:p w14:paraId="07BCB2E7">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东经</w:t>
                  </w:r>
                </w:p>
              </w:tc>
              <w:tc>
                <w:tcPr>
                  <w:tcW w:w="1616" w:type="dxa"/>
                  <w:noWrap w:val="0"/>
                  <w:vAlign w:val="center"/>
                </w:tcPr>
                <w:p w14:paraId="19355478">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北纬</w:t>
                  </w:r>
                </w:p>
              </w:tc>
              <w:tc>
                <w:tcPr>
                  <w:tcW w:w="671" w:type="dxa"/>
                  <w:vMerge w:val="continue"/>
                  <w:noWrap w:val="0"/>
                  <w:vAlign w:val="center"/>
                </w:tcPr>
                <w:p w14:paraId="74C74E93">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c>
                <w:tcPr>
                  <w:tcW w:w="1148" w:type="dxa"/>
                  <w:vMerge w:val="continue"/>
                  <w:noWrap w:val="0"/>
                  <w:vAlign w:val="center"/>
                </w:tcPr>
                <w:p w14:paraId="6617AB53">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c>
                <w:tcPr>
                  <w:tcW w:w="1002" w:type="dxa"/>
                  <w:vMerge w:val="continue"/>
                  <w:noWrap w:val="0"/>
                  <w:vAlign w:val="center"/>
                </w:tcPr>
                <w:p w14:paraId="5578E741">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c>
                <w:tcPr>
                  <w:tcW w:w="1059" w:type="dxa"/>
                  <w:vMerge w:val="continue"/>
                  <w:noWrap w:val="0"/>
                  <w:vAlign w:val="center"/>
                </w:tcPr>
                <w:p w14:paraId="50BF2B48">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r>
            <w:tr w14:paraId="0DC782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843" w:type="dxa"/>
                  <w:noWrap w:val="0"/>
                  <w:vAlign w:val="center"/>
                </w:tcPr>
                <w:p w14:paraId="1CD4DB94">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厂址下风向</w:t>
                  </w:r>
                </w:p>
              </w:tc>
              <w:tc>
                <w:tcPr>
                  <w:tcW w:w="1598" w:type="dxa"/>
                  <w:noWrap w:val="0"/>
                  <w:vAlign w:val="center"/>
                </w:tcPr>
                <w:p w14:paraId="3906F20F">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133.12682984</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w:t>
                  </w:r>
                </w:p>
              </w:tc>
              <w:tc>
                <w:tcPr>
                  <w:tcW w:w="1616" w:type="dxa"/>
                  <w:noWrap w:val="0"/>
                  <w:vAlign w:val="center"/>
                </w:tcPr>
                <w:p w14:paraId="7B29B7ED">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45.841278418</w:t>
                  </w:r>
                </w:p>
              </w:tc>
              <w:tc>
                <w:tcPr>
                  <w:tcW w:w="671" w:type="dxa"/>
                  <w:noWrap w:val="0"/>
                  <w:vAlign w:val="center"/>
                </w:tcPr>
                <w:p w14:paraId="3BB9208F">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TSP</w:t>
                  </w:r>
                </w:p>
              </w:tc>
              <w:tc>
                <w:tcPr>
                  <w:tcW w:w="1148" w:type="dxa"/>
                  <w:noWrap w:val="0"/>
                  <w:vAlign w:val="center"/>
                </w:tcPr>
                <w:p w14:paraId="5E90B252">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24小时平均</w:t>
                  </w:r>
                </w:p>
              </w:tc>
              <w:tc>
                <w:tcPr>
                  <w:tcW w:w="1002" w:type="dxa"/>
                  <w:noWrap w:val="0"/>
                  <w:vAlign w:val="center"/>
                </w:tcPr>
                <w:p w14:paraId="36D729FF">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NE</w:t>
                  </w:r>
                </w:p>
              </w:tc>
              <w:tc>
                <w:tcPr>
                  <w:tcW w:w="1059" w:type="dxa"/>
                  <w:noWrap w:val="0"/>
                  <w:vAlign w:val="center"/>
                </w:tcPr>
                <w:p w14:paraId="6B00A9DD">
                  <w:pPr>
                    <w:pStyle w:val="1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40</w:t>
                  </w:r>
                </w:p>
              </w:tc>
            </w:tr>
          </w:tbl>
          <w:p w14:paraId="410950BE">
            <w:pPr>
              <w:keepNext w:val="0"/>
              <w:keepLines w:val="0"/>
              <w:suppressLineNumbers w:val="0"/>
              <w:spacing w:before="0" w:beforeAutospacing="0" w:after="0" w:afterAutospacing="0"/>
              <w:ind w:left="0" w:right="0"/>
              <w:rPr>
                <w:rFonts w:hint="default"/>
                <w:highlight w:val="none"/>
              </w:rPr>
            </w:pPr>
          </w:p>
          <w:p w14:paraId="7986507B">
            <w:pPr>
              <w:pStyle w:val="65"/>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p>
          <w:p w14:paraId="3EDB8027">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b/>
                <w:color w:val="000000"/>
                <w:kern w:val="2"/>
                <w:sz w:val="21"/>
                <w:szCs w:val="21"/>
                <w:highlight w:val="none"/>
                <w:lang w:val="en-US" w:eastAsia="zh-CN" w:bidi="ar-SA"/>
              </w:rPr>
            </w:pPr>
            <w:r>
              <w:rPr>
                <w:rFonts w:hint="default"/>
                <w:highlight w:val="none"/>
              </w:rPr>
              <w:drawing>
                <wp:inline distT="0" distB="0" distL="114300" distR="114300">
                  <wp:extent cx="5057775" cy="2781300"/>
                  <wp:effectExtent l="0" t="0" r="9525" b="0"/>
                  <wp:docPr id="72"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48"/>
                          <pic:cNvPicPr>
                            <a:picLocks noChangeAspect="1"/>
                          </pic:cNvPicPr>
                        </pic:nvPicPr>
                        <pic:blipFill>
                          <a:blip r:embed="rId22"/>
                          <a:stretch>
                            <a:fillRect/>
                          </a:stretch>
                        </pic:blipFill>
                        <pic:spPr>
                          <a:xfrm>
                            <a:off x="0" y="0"/>
                            <a:ext cx="5057775" cy="2781300"/>
                          </a:xfrm>
                          <a:prstGeom prst="rect">
                            <a:avLst/>
                          </a:prstGeom>
                          <a:noFill/>
                          <a:ln>
                            <a:noFill/>
                          </a:ln>
                        </pic:spPr>
                      </pic:pic>
                    </a:graphicData>
                  </a:graphic>
                </wp:inline>
              </w:drawing>
            </w:r>
          </w:p>
          <w:p w14:paraId="6E91C46C">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b/>
                <w:color w:val="000000"/>
                <w:kern w:val="2"/>
                <w:sz w:val="21"/>
                <w:szCs w:val="21"/>
                <w:highlight w:val="none"/>
                <w:lang w:val="en-US" w:eastAsia="zh-CN" w:bidi="ar-SA"/>
              </w:rPr>
            </w:pPr>
            <w:r>
              <w:rPr>
                <w:rFonts w:hint="eastAsia" w:ascii="Times New Roman" w:hAnsi="Times New Roman" w:eastAsia="宋体" w:cs="Times New Roman"/>
                <w:b/>
                <w:color w:val="000000"/>
                <w:kern w:val="2"/>
                <w:sz w:val="21"/>
                <w:szCs w:val="21"/>
                <w:highlight w:val="none"/>
                <w:lang w:val="en-US" w:eastAsia="zh-CN" w:bidi="ar-SA"/>
              </w:rPr>
              <w:t>图3-1  大气环境监测布点</w:t>
            </w:r>
          </w:p>
          <w:p w14:paraId="06F35F7F">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环境空气质量现状监测结果见</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下表</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3B87939D">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bCs/>
                <w:color w:val="000000" w:themeColor="text1"/>
                <w:szCs w:val="21"/>
                <w:highlight w:val="none"/>
                <w14:textFill>
                  <w14:solidFill>
                    <w14:schemeClr w14:val="tx1"/>
                  </w14:solidFill>
                </w14:textFill>
              </w:rPr>
            </w:pPr>
            <w:r>
              <w:rPr>
                <w:rFonts w:hint="default" w:ascii="Times New Roman" w:hAnsi="Times New Roman" w:eastAsia="宋体" w:cs="Times New Roman"/>
                <w:b/>
                <w:bCs/>
                <w:color w:val="000000" w:themeColor="text1"/>
                <w:szCs w:val="21"/>
                <w:highlight w:val="none"/>
                <w14:textFill>
                  <w14:solidFill>
                    <w14:schemeClr w14:val="tx1"/>
                  </w14:solidFill>
                </w14:textFill>
              </w:rPr>
              <w:t>表3-3其他污染物环境质量现状监测结果表</w:t>
            </w:r>
          </w:p>
          <w:tbl>
            <w:tblPr>
              <w:tblStyle w:val="35"/>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994"/>
              <w:gridCol w:w="1102"/>
              <w:gridCol w:w="1349"/>
              <w:gridCol w:w="1139"/>
              <w:gridCol w:w="1139"/>
              <w:gridCol w:w="1141"/>
            </w:tblGrid>
            <w:tr w14:paraId="6D04272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0" w:type="dxa"/>
                  <w:tcBorders>
                    <w:tl2br w:val="nil"/>
                    <w:tr2bl w:val="nil"/>
                  </w:tcBorders>
                  <w:noWrap w:val="0"/>
                  <w:vAlign w:val="center"/>
                </w:tcPr>
                <w:p w14:paraId="55B24AF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名称</w:t>
                  </w:r>
                </w:p>
              </w:tc>
              <w:tc>
                <w:tcPr>
                  <w:tcW w:w="994" w:type="dxa"/>
                  <w:tcBorders>
                    <w:tl2br w:val="nil"/>
                    <w:tr2bl w:val="nil"/>
                  </w:tcBorders>
                  <w:noWrap w:val="0"/>
                  <w:vAlign w:val="center"/>
                </w:tcPr>
                <w:p w14:paraId="39A2130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污染物</w:t>
                  </w:r>
                </w:p>
              </w:tc>
              <w:tc>
                <w:tcPr>
                  <w:tcW w:w="1102" w:type="dxa"/>
                  <w:tcBorders>
                    <w:tl2br w:val="nil"/>
                    <w:tr2bl w:val="nil"/>
                  </w:tcBorders>
                  <w:noWrap w:val="0"/>
                  <w:vAlign w:val="center"/>
                </w:tcPr>
                <w:p w14:paraId="2148FCB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评价标准（</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g/m</w:t>
                  </w:r>
                  <w:r>
                    <w:rPr>
                      <w:rFonts w:hint="default" w:ascii="Times New Roman" w:hAnsi="Times New Roman" w:eastAsia="宋体" w:cs="Times New Roman"/>
                      <w:color w:val="000000" w:themeColor="text1"/>
                      <w:kern w:val="0"/>
                      <w:sz w:val="21"/>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w:t>
                  </w:r>
                </w:p>
              </w:tc>
              <w:tc>
                <w:tcPr>
                  <w:tcW w:w="1349" w:type="dxa"/>
                  <w:tcBorders>
                    <w:tl2br w:val="nil"/>
                    <w:tr2bl w:val="nil"/>
                  </w:tcBorders>
                  <w:noWrap w:val="0"/>
                  <w:vAlign w:val="center"/>
                </w:tcPr>
                <w:p w14:paraId="5B240B4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浓度范围（</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g/m</w:t>
                  </w:r>
                  <w:r>
                    <w:rPr>
                      <w:rFonts w:hint="default" w:ascii="Times New Roman" w:hAnsi="Times New Roman" w:eastAsia="宋体" w:cs="Times New Roman"/>
                      <w:color w:val="000000" w:themeColor="text1"/>
                      <w:kern w:val="0"/>
                      <w:sz w:val="21"/>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w:t>
                  </w:r>
                </w:p>
              </w:tc>
              <w:tc>
                <w:tcPr>
                  <w:tcW w:w="1139" w:type="dxa"/>
                  <w:tcBorders>
                    <w:tl2br w:val="nil"/>
                    <w:tr2bl w:val="nil"/>
                  </w:tcBorders>
                  <w:noWrap w:val="0"/>
                  <w:vAlign w:val="center"/>
                </w:tcPr>
                <w:p w14:paraId="788D79F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最大占标率%</w:t>
                  </w:r>
                </w:p>
              </w:tc>
              <w:tc>
                <w:tcPr>
                  <w:tcW w:w="1139" w:type="dxa"/>
                  <w:tcBorders>
                    <w:tl2br w:val="nil"/>
                    <w:tr2bl w:val="nil"/>
                  </w:tcBorders>
                  <w:noWrap w:val="0"/>
                  <w:vAlign w:val="center"/>
                </w:tcPr>
                <w:p w14:paraId="7485848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超标率%</w:t>
                  </w:r>
                </w:p>
              </w:tc>
              <w:tc>
                <w:tcPr>
                  <w:tcW w:w="1141" w:type="dxa"/>
                  <w:tcBorders>
                    <w:tl2br w:val="nil"/>
                    <w:tr2bl w:val="nil"/>
                  </w:tcBorders>
                  <w:noWrap w:val="0"/>
                  <w:vAlign w:val="center"/>
                </w:tcPr>
                <w:p w14:paraId="03D18C6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达标情况</w:t>
                  </w:r>
                </w:p>
              </w:tc>
            </w:tr>
            <w:tr w14:paraId="500B1F3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0" w:type="dxa"/>
                  <w:tcBorders>
                    <w:tl2br w:val="nil"/>
                    <w:tr2bl w:val="nil"/>
                  </w:tcBorders>
                  <w:noWrap w:val="0"/>
                  <w:vAlign w:val="center"/>
                </w:tcPr>
                <w:p w14:paraId="18E3BE8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下风向</w:t>
                  </w:r>
                </w:p>
              </w:tc>
              <w:tc>
                <w:tcPr>
                  <w:tcW w:w="994" w:type="dxa"/>
                  <w:tcBorders>
                    <w:tl2br w:val="nil"/>
                    <w:tr2bl w:val="nil"/>
                  </w:tcBorders>
                  <w:noWrap w:val="0"/>
                  <w:vAlign w:val="center"/>
                </w:tcPr>
                <w:p w14:paraId="748BA41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TSP</w:t>
                  </w:r>
                </w:p>
              </w:tc>
              <w:tc>
                <w:tcPr>
                  <w:tcW w:w="1102" w:type="dxa"/>
                  <w:tcBorders>
                    <w:tl2br w:val="nil"/>
                    <w:tr2bl w:val="nil"/>
                  </w:tcBorders>
                  <w:noWrap w:val="0"/>
                  <w:vAlign w:val="center"/>
                </w:tcPr>
                <w:p w14:paraId="48525B0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300</w:t>
                  </w:r>
                </w:p>
              </w:tc>
              <w:tc>
                <w:tcPr>
                  <w:tcW w:w="1349" w:type="dxa"/>
                  <w:tcBorders>
                    <w:tl2br w:val="nil"/>
                    <w:tr2bl w:val="nil"/>
                  </w:tcBorders>
                  <w:noWrap w:val="0"/>
                  <w:vAlign w:val="center"/>
                </w:tcPr>
                <w:p w14:paraId="2E4B548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0.105-0.111</w:t>
                  </w:r>
                </w:p>
              </w:tc>
              <w:tc>
                <w:tcPr>
                  <w:tcW w:w="1139" w:type="dxa"/>
                  <w:tcBorders>
                    <w:tl2br w:val="nil"/>
                    <w:tr2bl w:val="nil"/>
                  </w:tcBorders>
                  <w:noWrap w:val="0"/>
                  <w:vAlign w:val="center"/>
                </w:tcPr>
                <w:p w14:paraId="61B584A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37</w:t>
                  </w:r>
                </w:p>
              </w:tc>
              <w:tc>
                <w:tcPr>
                  <w:tcW w:w="1139" w:type="dxa"/>
                  <w:tcBorders>
                    <w:tl2br w:val="nil"/>
                    <w:tr2bl w:val="nil"/>
                  </w:tcBorders>
                  <w:noWrap w:val="0"/>
                  <w:vAlign w:val="center"/>
                </w:tcPr>
                <w:p w14:paraId="7C171C5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0</w:t>
                  </w:r>
                </w:p>
              </w:tc>
              <w:tc>
                <w:tcPr>
                  <w:tcW w:w="1141" w:type="dxa"/>
                  <w:tcBorders>
                    <w:tl2br w:val="nil"/>
                    <w:tr2bl w:val="nil"/>
                  </w:tcBorders>
                  <w:noWrap w:val="0"/>
                  <w:vAlign w:val="center"/>
                </w:tcPr>
                <w:p w14:paraId="06A4444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达标</w:t>
                  </w:r>
                </w:p>
              </w:tc>
            </w:tr>
          </w:tbl>
          <w:p w14:paraId="6AE35097">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sz w:val="24"/>
                <w:szCs w:val="24"/>
                <w:highlight w:val="none"/>
                <w:lang w:val="en-US" w:eastAsia="zh-CN"/>
              </w:rPr>
            </w:pPr>
            <w:r>
              <w:rPr>
                <w:rFonts w:hint="default" w:ascii="Times New Roman" w:hAnsi="Times New Roman" w:eastAsia="宋体" w:cs="Times New Roman"/>
                <w:color w:val="000000" w:themeColor="text1"/>
                <w:sz w:val="24"/>
                <w:highlight w:val="none"/>
                <w14:textFill>
                  <w14:solidFill>
                    <w14:schemeClr w14:val="tx1"/>
                  </w14:solidFill>
                </w14:textFill>
              </w:rPr>
              <w:t>由上表可知，本项目</w:t>
            </w:r>
            <w:r>
              <w:rPr>
                <w:rFonts w:hint="default" w:ascii="Times New Roman" w:hAnsi="Times New Roman" w:cs="Times New Roman"/>
                <w:sz w:val="24"/>
                <w:szCs w:val="24"/>
                <w:highlight w:val="none"/>
              </w:rPr>
              <w:t>所在区域TSP浓度满足</w:t>
            </w:r>
            <w:r>
              <w:rPr>
                <w:rFonts w:hint="default" w:ascii="Times New Roman" w:hAnsi="Times New Roman" w:cs="Times New Roman"/>
                <w:sz w:val="24"/>
                <w:szCs w:val="24"/>
                <w:highlight w:val="none"/>
                <w:lang w:val="en-US" w:eastAsia="zh-CN"/>
              </w:rPr>
              <w:t>满足《环境空气质量标准》（GB3095-2026）中的二级标准限值。</w:t>
            </w:r>
          </w:p>
          <w:p w14:paraId="710D1E3D">
            <w:pPr>
              <w:keepNext w:val="0"/>
              <w:keepLines w:val="0"/>
              <w:suppressLineNumbers w:val="0"/>
              <w:adjustRightInd w:val="0"/>
              <w:snapToGrid w:val="0"/>
              <w:spacing w:before="0" w:beforeAutospacing="0" w:after="0" w:afterAutospacing="0" w:line="360" w:lineRule="auto"/>
              <w:ind w:left="0" w:right="0" w:firstLine="482" w:firstLineChars="200"/>
              <w:jc w:val="both"/>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2、地表水环境</w:t>
            </w:r>
          </w:p>
          <w:p w14:paraId="053B02E9">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Cs/>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highlight w:val="none"/>
                <w:lang w:val="en-US" w:eastAsia="zh-CN"/>
                <w14:textFill>
                  <w14:solidFill>
                    <w14:schemeClr w14:val="tx1"/>
                  </w14:solidFill>
                </w14:textFill>
              </w:rPr>
              <w:t>根据《2025年黑龙江省生态环境质量状况》可知，鸡西市参与国家考核计算的断面共8个，Ⅰ~Ⅲ类水质比例为75.0%，无劣V类水质断面。与上年同期相比，Ⅰ~Ⅲ类水质比例保持不变，均无劣V类水质断面。兴凯湖和小兴凯湖水质状况均为轻度污染。</w:t>
            </w:r>
          </w:p>
          <w:p w14:paraId="5BE9997A">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Cs/>
                <w:color w:val="000000" w:themeColor="text1"/>
                <w:kern w:val="0"/>
                <w:sz w:val="24"/>
                <w:highlight w:val="none"/>
                <w:lang w:val="en-US"/>
                <w14:textFill>
                  <w14:solidFill>
                    <w14:schemeClr w14:val="tx1"/>
                  </w14:solidFill>
                </w14:textFill>
              </w:rPr>
            </w:pPr>
            <w:r>
              <w:rPr>
                <w:rFonts w:hint="default" w:ascii="Times New Roman" w:hAnsi="Times New Roman" w:eastAsia="宋体" w:cs="Times New Roman"/>
                <w:bCs/>
                <w:color w:val="000000" w:themeColor="text1"/>
                <w:kern w:val="0"/>
                <w:sz w:val="24"/>
                <w:highlight w:val="none"/>
                <w:lang w:val="en-US" w:eastAsia="zh-CN"/>
                <w14:textFill>
                  <w14:solidFill>
                    <w14:schemeClr w14:val="tx1"/>
                  </w14:solidFill>
                </w14:textFill>
              </w:rPr>
              <w:t>本项目所在区域地表水为穆棱河，根据《水利部国家发展和改革委员会环境保护部关于印发全国重要江河湖泊水功能区划（2011-2030年）的通知》穆棱河水体功能类别为III类水体，执行《地表水环境质量标准》（GB3838-2002）中III类标准。</w:t>
            </w:r>
          </w:p>
          <w:p w14:paraId="5AD8529A">
            <w:pPr>
              <w:keepNext w:val="0"/>
              <w:keepLines w:val="0"/>
              <w:suppressLineNumbers w:val="0"/>
              <w:adjustRightInd w:val="0"/>
              <w:snapToGrid w:val="0"/>
              <w:spacing w:before="0" w:beforeAutospacing="0" w:after="0" w:afterAutospacing="0" w:line="360" w:lineRule="auto"/>
              <w:ind w:left="0" w:right="0" w:firstLine="482" w:firstLineChars="200"/>
              <w:jc w:val="both"/>
              <w:rPr>
                <w:rFonts w:hint="default" w:ascii="Times New Roman" w:hAnsi="Times New Roman" w:eastAsia="宋体" w:cs="Times New Roman"/>
                <w:b/>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3、声环境</w:t>
            </w:r>
          </w:p>
          <w:p w14:paraId="585A8DB0">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Cs/>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highlight w:val="none"/>
                <w:lang w:val="en-US" w:eastAsia="zh-CN"/>
                <w14:textFill>
                  <w14:solidFill>
                    <w14:schemeClr w14:val="tx1"/>
                  </w14:solidFill>
                </w14:textFill>
              </w:rPr>
              <w:t>根据《2025 年黑龙江省生态环境质量状况》数据可知，鸡西市区域昼间声环境质量为二级，等效声级为53.2dB（A）；道路交通昼间声环境质量为一级，等效声级为64.7dB（A）；功能区昼间达标率87.7%，功能区夜间达标率97.6%。</w:t>
            </w:r>
          </w:p>
          <w:p w14:paraId="656BEB73">
            <w:pPr>
              <w:keepNext w:val="0"/>
              <w:keepLines w:val="0"/>
              <w:suppressLineNumbers w:val="0"/>
              <w:adjustRightInd w:val="0"/>
              <w:snapToGrid w:val="0"/>
              <w:spacing w:before="0" w:beforeAutospacing="0" w:after="0" w:afterAutospacing="0" w:line="360" w:lineRule="auto"/>
              <w:ind w:left="0" w:right="0" w:firstLine="482" w:firstLineChars="200"/>
              <w:jc w:val="both"/>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t>4、生态环境</w:t>
            </w:r>
          </w:p>
          <w:p w14:paraId="30EEEAA8">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Cs/>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highlight w:val="none"/>
                <w:lang w:val="en-US" w:eastAsia="zh-CN"/>
                <w14:textFill>
                  <w14:solidFill>
                    <w14:schemeClr w14:val="tx1"/>
                  </w14:solidFill>
                </w14:textFill>
              </w:rPr>
              <w:t>本项目用地范围无生态环境保护目标，故不需进行生态现状调查。</w:t>
            </w:r>
          </w:p>
          <w:p w14:paraId="4EEEA400">
            <w:pPr>
              <w:keepNext w:val="0"/>
              <w:keepLines w:val="0"/>
              <w:suppressLineNumbers w:val="0"/>
              <w:adjustRightInd w:val="0"/>
              <w:snapToGrid w:val="0"/>
              <w:spacing w:before="0" w:beforeAutospacing="0" w:after="0" w:afterAutospacing="0" w:line="360" w:lineRule="auto"/>
              <w:ind w:left="0" w:right="0" w:firstLine="482" w:firstLineChars="200"/>
              <w:jc w:val="both"/>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t>5、地下水、土壤环境</w:t>
            </w:r>
          </w:p>
          <w:p w14:paraId="441690A2">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4"/>
                <w:highlight w:val="none"/>
                <w:lang w:val="en-US" w:eastAsia="zh-CN"/>
                <w14:textFill>
                  <w14:solidFill>
                    <w14:schemeClr w14:val="tx1"/>
                  </w14:solidFill>
                </w14:textFill>
              </w:rPr>
              <w:t>根据《建设项目环境影响报告表编制技术指南（污染影响类）（试行）环办环评[2020]33号（1）》中要求土壤环境原则上不开展环境质量现状调查。建设项目存在土壤环境污染途径的，应结合污染源、保护目标分布情况开展现状调查以留作背景值。本项目不存在土壤环境污染途径，因此不开展土壤环境质量现状调查。</w:t>
            </w:r>
          </w:p>
        </w:tc>
      </w:tr>
      <w:tr w14:paraId="403229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00" w:type="dxa"/>
            <w:vAlign w:val="center"/>
          </w:tcPr>
          <w:p w14:paraId="26B3F24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环境</w:t>
            </w:r>
          </w:p>
          <w:p w14:paraId="0FEF4BB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保护</w:t>
            </w:r>
          </w:p>
          <w:p w14:paraId="5C34A80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目标</w:t>
            </w:r>
          </w:p>
        </w:tc>
        <w:tc>
          <w:tcPr>
            <w:tcW w:w="8190" w:type="dxa"/>
            <w:vAlign w:val="center"/>
          </w:tcPr>
          <w:p w14:paraId="4193E4DB">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 xml:space="preserve">1、大气环境保护目标 </w:t>
            </w:r>
          </w:p>
          <w:p w14:paraId="5F834122">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lang w:bidi="ar"/>
                <w14:textFill>
                  <w14:solidFill>
                    <w14:schemeClr w14:val="tx1"/>
                  </w14:solidFill>
                </w14:textFill>
              </w:rPr>
              <w:t>本项目大气环境保护目标见下表</w:t>
            </w:r>
            <w:r>
              <w:rPr>
                <w:rFonts w:hint="default" w:ascii="Times New Roman" w:hAnsi="Times New Roman" w:eastAsia="宋体" w:cs="Times New Roman"/>
                <w:color w:val="000000" w:themeColor="text1"/>
                <w:highlight w:val="none"/>
                <w14:textFill>
                  <w14:solidFill>
                    <w14:schemeClr w14:val="tx1"/>
                  </w14:solidFill>
                </w14:textFill>
              </w:rPr>
              <w:t>。</w:t>
            </w:r>
          </w:p>
          <w:p w14:paraId="3C913C1A">
            <w:pPr>
              <w:keepNext w:val="0"/>
              <w:keepLines w:val="0"/>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表3-</w:t>
            </w:r>
            <w:r>
              <w:rPr>
                <w:rFonts w:hint="eastAsia" w:cs="Times New Roman"/>
                <w:b/>
                <w:bCs/>
                <w:color w:val="000000" w:themeColor="text1"/>
                <w:highlight w:val="none"/>
                <w:lang w:val="en-US" w:eastAsia="zh-CN"/>
                <w14:textFill>
                  <w14:solidFill>
                    <w14:schemeClr w14:val="tx1"/>
                  </w14:solidFill>
                </w14:textFill>
              </w:rPr>
              <w:t>4</w:t>
            </w:r>
            <w:r>
              <w:rPr>
                <w:rFonts w:hint="default" w:ascii="Times New Roman" w:hAnsi="Times New Roman" w:eastAsia="宋体" w:cs="Times New Roman"/>
                <w:b/>
                <w:bCs/>
                <w:color w:val="000000" w:themeColor="text1"/>
                <w:highlight w:val="none"/>
                <w14:textFill>
                  <w14:solidFill>
                    <w14:schemeClr w14:val="tx1"/>
                  </w14:solidFill>
                </w14:textFill>
              </w:rPr>
              <w:t>大气环境保护目标</w:t>
            </w:r>
          </w:p>
          <w:tbl>
            <w:tblPr>
              <w:tblStyle w:val="35"/>
              <w:tblW w:w="503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50"/>
              <w:gridCol w:w="933"/>
              <w:gridCol w:w="1580"/>
              <w:gridCol w:w="1376"/>
              <w:gridCol w:w="729"/>
              <w:gridCol w:w="729"/>
              <w:gridCol w:w="832"/>
              <w:gridCol w:w="1203"/>
            </w:tblGrid>
            <w:tr w14:paraId="501D6D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404" w:type="pct"/>
                  <w:vMerge w:val="restart"/>
                  <w:noWrap w:val="0"/>
                  <w:vAlign w:val="center"/>
                </w:tcPr>
                <w:p w14:paraId="0F6F20AF">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eastAsia="宋体" w:cs="Times New Roman"/>
                      <w:sz w:val="21"/>
                      <w:szCs w:val="21"/>
                      <w:highlight w:val="none"/>
                      <w:lang w:eastAsia="zh-CN"/>
                    </w:rPr>
                  </w:pPr>
                  <w:r>
                    <w:rPr>
                      <w:rFonts w:hint="default" w:ascii="Times New Roman" w:hAnsi="Times New Roman" w:cs="Times New Roman"/>
                      <w:sz w:val="21"/>
                      <w:szCs w:val="21"/>
                      <w:highlight w:val="none"/>
                      <w:lang w:eastAsia="zh-CN"/>
                    </w:rPr>
                    <w:t>环境要素</w:t>
                  </w:r>
                </w:p>
              </w:tc>
              <w:tc>
                <w:tcPr>
                  <w:tcW w:w="580" w:type="pct"/>
                  <w:vMerge w:val="restart"/>
                  <w:noWrap w:val="0"/>
                  <w:vAlign w:val="center"/>
                </w:tcPr>
                <w:p w14:paraId="452A01D3">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cs="Times New Roman"/>
                      <w:sz w:val="21"/>
                      <w:szCs w:val="21"/>
                      <w:highlight w:val="none"/>
                      <w:lang w:eastAsia="zh-CN"/>
                    </w:rPr>
                  </w:pPr>
                  <w:r>
                    <w:rPr>
                      <w:rFonts w:hint="default" w:ascii="Times New Roman" w:hAnsi="Times New Roman" w:eastAsia="宋体" w:cs="Times New Roman"/>
                      <w:color w:val="000000"/>
                      <w:sz w:val="21"/>
                      <w:szCs w:val="21"/>
                      <w:highlight w:val="none"/>
                    </w:rPr>
                    <w:t>环境保护目标名称</w:t>
                  </w:r>
                </w:p>
              </w:tc>
              <w:tc>
                <w:tcPr>
                  <w:tcW w:w="1840" w:type="pct"/>
                  <w:gridSpan w:val="2"/>
                  <w:noWrap w:val="0"/>
                  <w:vAlign w:val="center"/>
                </w:tcPr>
                <w:p w14:paraId="12F10CF4">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坐标（</w:t>
                  </w:r>
                  <w:r>
                    <w:rPr>
                      <w:rFonts w:hint="default" w:ascii="Times New Roman" w:hAnsi="Times New Roman" w:cs="Times New Roman"/>
                      <w:sz w:val="21"/>
                      <w:szCs w:val="21"/>
                      <w:highlight w:val="none"/>
                      <w:vertAlign w:val="superscript"/>
                    </w:rPr>
                    <w:t>○</w:t>
                  </w:r>
                  <w:r>
                    <w:rPr>
                      <w:rFonts w:hint="default" w:ascii="Times New Roman" w:hAnsi="Times New Roman" w:cs="Times New Roman"/>
                      <w:sz w:val="21"/>
                      <w:szCs w:val="21"/>
                      <w:highlight w:val="none"/>
                    </w:rPr>
                    <w:t>）</w:t>
                  </w:r>
                </w:p>
              </w:tc>
              <w:tc>
                <w:tcPr>
                  <w:tcW w:w="453" w:type="pct"/>
                  <w:vMerge w:val="restart"/>
                  <w:noWrap w:val="0"/>
                  <w:vAlign w:val="center"/>
                </w:tcPr>
                <w:p w14:paraId="74B4C8F0">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color w:val="000000"/>
                      <w:sz w:val="21"/>
                      <w:szCs w:val="21"/>
                      <w:highlight w:val="none"/>
                    </w:rPr>
                    <w:t>相对厂址方位</w:t>
                  </w:r>
                </w:p>
              </w:tc>
              <w:tc>
                <w:tcPr>
                  <w:tcW w:w="453" w:type="pct"/>
                  <w:vMerge w:val="restart"/>
                  <w:noWrap w:val="0"/>
                  <w:vAlign w:val="center"/>
                </w:tcPr>
                <w:p w14:paraId="428E14F8">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保护</w:t>
                  </w:r>
                </w:p>
                <w:p w14:paraId="68B96874">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对象</w:t>
                  </w:r>
                </w:p>
              </w:tc>
              <w:tc>
                <w:tcPr>
                  <w:tcW w:w="517" w:type="pct"/>
                  <w:vMerge w:val="restart"/>
                  <w:noWrap w:val="0"/>
                  <w:vAlign w:val="center"/>
                </w:tcPr>
                <w:p w14:paraId="641EF60A">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厂界距离/m</w:t>
                  </w:r>
                </w:p>
              </w:tc>
              <w:tc>
                <w:tcPr>
                  <w:tcW w:w="748" w:type="pct"/>
                  <w:vMerge w:val="restart"/>
                  <w:noWrap w:val="0"/>
                  <w:vAlign w:val="center"/>
                </w:tcPr>
                <w:p w14:paraId="0445575C">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环境功能区/</w:t>
                  </w:r>
                </w:p>
                <w:p w14:paraId="1F62F1BA">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质量标准</w:t>
                  </w:r>
                </w:p>
              </w:tc>
            </w:tr>
            <w:tr w14:paraId="6F0E6C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04" w:type="pct"/>
                  <w:vMerge w:val="continue"/>
                  <w:noWrap w:val="0"/>
                  <w:vAlign w:val="center"/>
                </w:tcPr>
                <w:p w14:paraId="3826D306">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sz w:val="21"/>
                      <w:szCs w:val="21"/>
                      <w:highlight w:val="none"/>
                    </w:rPr>
                  </w:pPr>
                </w:p>
              </w:tc>
              <w:tc>
                <w:tcPr>
                  <w:tcW w:w="580" w:type="pct"/>
                  <w:vMerge w:val="continue"/>
                  <w:noWrap w:val="0"/>
                  <w:vAlign w:val="center"/>
                </w:tcPr>
                <w:p w14:paraId="69D33C3D">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sz w:val="21"/>
                      <w:szCs w:val="21"/>
                      <w:highlight w:val="none"/>
                    </w:rPr>
                  </w:pPr>
                </w:p>
              </w:tc>
              <w:tc>
                <w:tcPr>
                  <w:tcW w:w="983" w:type="pct"/>
                  <w:noWrap w:val="0"/>
                  <w:vAlign w:val="center"/>
                </w:tcPr>
                <w:p w14:paraId="15FB9E9E">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经度</w:t>
                  </w:r>
                </w:p>
              </w:tc>
              <w:tc>
                <w:tcPr>
                  <w:tcW w:w="856" w:type="pct"/>
                  <w:noWrap w:val="0"/>
                  <w:vAlign w:val="center"/>
                </w:tcPr>
                <w:p w14:paraId="1C661752">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纬度</w:t>
                  </w:r>
                </w:p>
              </w:tc>
              <w:tc>
                <w:tcPr>
                  <w:tcW w:w="453" w:type="pct"/>
                  <w:vMerge w:val="continue"/>
                  <w:noWrap w:val="0"/>
                  <w:vAlign w:val="center"/>
                </w:tcPr>
                <w:p w14:paraId="3DE284C0">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sz w:val="21"/>
                      <w:szCs w:val="21"/>
                      <w:highlight w:val="none"/>
                    </w:rPr>
                  </w:pPr>
                </w:p>
              </w:tc>
              <w:tc>
                <w:tcPr>
                  <w:tcW w:w="453" w:type="pct"/>
                  <w:vMerge w:val="continue"/>
                  <w:noWrap w:val="0"/>
                  <w:vAlign w:val="center"/>
                </w:tcPr>
                <w:p w14:paraId="789A775C">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sz w:val="21"/>
                      <w:szCs w:val="21"/>
                      <w:highlight w:val="none"/>
                    </w:rPr>
                  </w:pPr>
                </w:p>
              </w:tc>
              <w:tc>
                <w:tcPr>
                  <w:tcW w:w="517" w:type="pct"/>
                  <w:vMerge w:val="continue"/>
                  <w:noWrap w:val="0"/>
                  <w:vAlign w:val="center"/>
                </w:tcPr>
                <w:p w14:paraId="1D219EBE">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sz w:val="21"/>
                      <w:szCs w:val="21"/>
                      <w:highlight w:val="none"/>
                    </w:rPr>
                  </w:pPr>
                </w:p>
              </w:tc>
              <w:tc>
                <w:tcPr>
                  <w:tcW w:w="748" w:type="pct"/>
                  <w:vMerge w:val="continue"/>
                  <w:noWrap w:val="0"/>
                  <w:vAlign w:val="center"/>
                </w:tcPr>
                <w:p w14:paraId="7DF88211">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sz w:val="21"/>
                      <w:szCs w:val="21"/>
                      <w:highlight w:val="none"/>
                    </w:rPr>
                  </w:pPr>
                </w:p>
              </w:tc>
            </w:tr>
            <w:tr w14:paraId="422527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30" w:hRule="atLeast"/>
                <w:jc w:val="center"/>
              </w:trPr>
              <w:tc>
                <w:tcPr>
                  <w:tcW w:w="404" w:type="pct"/>
                  <w:vMerge w:val="continue"/>
                  <w:noWrap w:val="0"/>
                  <w:vAlign w:val="center"/>
                </w:tcPr>
                <w:p w14:paraId="65F8267F">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cs="Times New Roman"/>
                      <w:sz w:val="21"/>
                      <w:szCs w:val="21"/>
                      <w:highlight w:val="none"/>
                    </w:rPr>
                  </w:pPr>
                </w:p>
              </w:tc>
              <w:tc>
                <w:tcPr>
                  <w:tcW w:w="580" w:type="pct"/>
                  <w:noWrap w:val="0"/>
                  <w:vAlign w:val="center"/>
                </w:tcPr>
                <w:p w14:paraId="6E3DE7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sz w:val="21"/>
                      <w:szCs w:val="21"/>
                      <w:highlight w:val="none"/>
                      <w:lang w:eastAsia="zh-CN"/>
                    </w:rPr>
                  </w:pPr>
                  <w:r>
                    <w:rPr>
                      <w:rFonts w:hint="eastAsia" w:cs="Times New Roman"/>
                      <w:bCs/>
                      <w:kern w:val="2"/>
                      <w:sz w:val="21"/>
                      <w:szCs w:val="21"/>
                      <w:highlight w:val="none"/>
                      <w:lang w:val="en-US" w:eastAsia="zh-CN" w:bidi="ar-SA"/>
                    </w:rPr>
                    <w:t>清河四队居民</w:t>
                  </w:r>
                </w:p>
              </w:tc>
              <w:tc>
                <w:tcPr>
                  <w:tcW w:w="983" w:type="pct"/>
                  <w:noWrap w:val="0"/>
                  <w:vAlign w:val="center"/>
                </w:tcPr>
                <w:p w14:paraId="5C0493C4">
                  <w:pPr>
                    <w:keepNext w:val="0"/>
                    <w:keepLines w:val="0"/>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cs="Times New Roman"/>
                      <w:sz w:val="21"/>
                      <w:szCs w:val="21"/>
                      <w:highlight w:val="none"/>
                    </w:rPr>
                  </w:pPr>
                  <w:r>
                    <w:rPr>
                      <w:rFonts w:hint="eastAsia" w:ascii="Times New Roman" w:hAnsi="Times New Roman" w:eastAsia="宋体" w:cs="Times New Roman"/>
                      <w:kern w:val="2"/>
                      <w:sz w:val="21"/>
                      <w:szCs w:val="21"/>
                      <w:highlight w:val="none"/>
                      <w:lang w:val="en-US" w:eastAsia="zh-CN" w:bidi="ar-SA"/>
                    </w:rPr>
                    <w:t>133.13707791</w:t>
                  </w:r>
                </w:p>
              </w:tc>
              <w:tc>
                <w:tcPr>
                  <w:tcW w:w="856" w:type="pct"/>
                  <w:noWrap w:val="0"/>
                  <w:vAlign w:val="center"/>
                </w:tcPr>
                <w:p w14:paraId="1464DD34">
                  <w:pPr>
                    <w:keepNext w:val="0"/>
                    <w:keepLines w:val="0"/>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cs="Times New Roman"/>
                      <w:sz w:val="21"/>
                      <w:szCs w:val="21"/>
                      <w:highlight w:val="none"/>
                    </w:rPr>
                  </w:pPr>
                  <w:r>
                    <w:rPr>
                      <w:rFonts w:hint="eastAsia" w:ascii="Times New Roman" w:hAnsi="Times New Roman" w:eastAsia="宋体" w:cs="Times New Roman"/>
                      <w:kern w:val="2"/>
                      <w:sz w:val="21"/>
                      <w:szCs w:val="21"/>
                      <w:highlight w:val="none"/>
                      <w:lang w:val="en-US" w:eastAsia="zh-CN" w:bidi="ar-SA"/>
                    </w:rPr>
                    <w:t>45.84280438</w:t>
                  </w:r>
                </w:p>
              </w:tc>
              <w:tc>
                <w:tcPr>
                  <w:tcW w:w="453" w:type="pct"/>
                  <w:noWrap w:val="0"/>
                  <w:vAlign w:val="center"/>
                </w:tcPr>
                <w:p w14:paraId="6CAA63DC">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S</w:t>
                  </w:r>
                  <w:r>
                    <w:rPr>
                      <w:rFonts w:hint="eastAsia" w:cs="Times New Roman"/>
                      <w:sz w:val="21"/>
                      <w:szCs w:val="21"/>
                      <w:highlight w:val="none"/>
                      <w:lang w:val="en-US" w:eastAsia="zh-CN"/>
                    </w:rPr>
                    <w:t>E</w:t>
                  </w:r>
                </w:p>
              </w:tc>
              <w:tc>
                <w:tcPr>
                  <w:tcW w:w="453" w:type="pct"/>
                  <w:noWrap w:val="0"/>
                  <w:vAlign w:val="center"/>
                </w:tcPr>
                <w:p w14:paraId="6D9F6DAF">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农村地区人群较集中区域</w:t>
                  </w:r>
                </w:p>
              </w:tc>
              <w:tc>
                <w:tcPr>
                  <w:tcW w:w="517" w:type="pct"/>
                  <w:noWrap w:val="0"/>
                  <w:vAlign w:val="center"/>
                </w:tcPr>
                <w:p w14:paraId="52FA1E8D">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200</w:t>
                  </w:r>
                </w:p>
              </w:tc>
              <w:tc>
                <w:tcPr>
                  <w:tcW w:w="748" w:type="pct"/>
                  <w:noWrap w:val="0"/>
                  <w:vAlign w:val="center"/>
                </w:tcPr>
                <w:p w14:paraId="76F1712A">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《环境空气质量标准》（</w:t>
                  </w:r>
                  <w:r>
                    <w:rPr>
                      <w:rFonts w:hint="default" w:ascii="Times New Roman" w:hAnsi="Times New Roman" w:cs="Times New Roman"/>
                      <w:sz w:val="21"/>
                      <w:szCs w:val="21"/>
                      <w:highlight w:val="none"/>
                      <w:lang w:eastAsia="zh-CN"/>
                    </w:rPr>
                    <w:t>GB3095-2026</w:t>
                  </w:r>
                  <w:r>
                    <w:rPr>
                      <w:rFonts w:hint="default" w:ascii="Times New Roman" w:hAnsi="Times New Roman" w:cs="Times New Roman"/>
                      <w:sz w:val="21"/>
                      <w:szCs w:val="21"/>
                      <w:highlight w:val="none"/>
                    </w:rPr>
                    <w:t>）二类区</w:t>
                  </w:r>
                </w:p>
              </w:tc>
            </w:tr>
          </w:tbl>
          <w:p w14:paraId="341B61C9">
            <w:pPr>
              <w:keepNext w:val="0"/>
              <w:keepLines w:val="0"/>
              <w:widowControl/>
              <w:suppressLineNumbers w:val="0"/>
              <w:spacing w:before="0" w:beforeAutospacing="0" w:after="0" w:afterAutospacing="0" w:line="360" w:lineRule="auto"/>
              <w:ind w:left="0" w:right="0" w:firstLine="482" w:firstLineChars="200"/>
              <w:jc w:val="left"/>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24"/>
                <w:highlight w:val="none"/>
                <w:lang w:val="en-US" w:eastAsia="zh-CN"/>
                <w14:textFill>
                  <w14:solidFill>
                    <w14:schemeClr w14:val="tx1"/>
                  </w14:solidFill>
                </w14:textFill>
              </w:rPr>
              <w:t xml:space="preserve">2、声环境保护目标 </w:t>
            </w:r>
          </w:p>
          <w:p w14:paraId="451A5F89">
            <w:pPr>
              <w:keepNext w:val="0"/>
              <w:keepLines w:val="0"/>
              <w:widowControl/>
              <w:suppressLineNumbers w:val="0"/>
              <w:spacing w:before="0" w:beforeAutospacing="0" w:after="0" w:afterAutospacing="0" w:line="360" w:lineRule="auto"/>
              <w:ind w:left="0" w:right="0" w:firstLine="480" w:firstLineChars="200"/>
              <w:rPr>
                <w:rFonts w:hint="default"/>
                <w:highlight w:val="none"/>
                <w:lang w:val="en-US" w:eastAsia="zh-CN"/>
              </w:rPr>
            </w:pPr>
            <w:r>
              <w:rPr>
                <w:rFonts w:hint="eastAsia" w:ascii="Times New Roman" w:hAnsi="Times New Roman" w:eastAsia="宋体" w:cs="Times New Roman"/>
                <w:bCs/>
                <w:color w:val="000000" w:themeColor="text1"/>
                <w:kern w:val="0"/>
                <w:sz w:val="24"/>
                <w:highlight w:val="none"/>
                <w:lang w:val="en-US" w:eastAsia="zh-CN"/>
                <w14:textFill>
                  <w14:solidFill>
                    <w14:schemeClr w14:val="tx1"/>
                  </w14:solidFill>
                </w14:textFill>
              </w:rPr>
              <w:t>根据《建设项目环境影响评价报告表编制技术指南》（污染影响类）及现状调查结果，本项目厂界外50m范围内无声环境保护目标</w:t>
            </w:r>
          </w:p>
          <w:p w14:paraId="149F3F3C">
            <w:pPr>
              <w:keepNext w:val="0"/>
              <w:keepLines w:val="0"/>
              <w:widowControl/>
              <w:suppressLineNumbers w:val="0"/>
              <w:spacing w:before="0" w:beforeAutospacing="0" w:after="0" w:afterAutospacing="0" w:line="360" w:lineRule="auto"/>
              <w:ind w:left="0" w:right="0" w:firstLine="482" w:firstLineChars="200"/>
              <w:jc w:val="left"/>
              <w:rPr>
                <w:rFonts w:hint="default" w:ascii="Times New Roman" w:hAnsi="Times New Roman" w:eastAsia="宋体" w:cs="Times New Roman"/>
                <w:b/>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3、地下水</w:t>
            </w:r>
            <w:r>
              <w:rPr>
                <w:rFonts w:hint="eastAsia" w:cs="Times New Roman"/>
                <w:b/>
                <w:color w:val="000000" w:themeColor="text1"/>
                <w:sz w:val="24"/>
                <w:highlight w:val="none"/>
                <w:lang w:eastAsia="zh-CN"/>
                <w14:textFill>
                  <w14:solidFill>
                    <w14:schemeClr w14:val="tx1"/>
                  </w14:solidFill>
                </w14:textFill>
              </w:rPr>
              <w:t>、土壤</w:t>
            </w:r>
            <w:r>
              <w:rPr>
                <w:rFonts w:hint="default" w:ascii="Times New Roman" w:hAnsi="Times New Roman" w:eastAsia="宋体" w:cs="Times New Roman"/>
                <w:b/>
                <w:color w:val="000000" w:themeColor="text1"/>
                <w:sz w:val="24"/>
                <w:highlight w:val="none"/>
                <w14:textFill>
                  <w14:solidFill>
                    <w14:schemeClr w14:val="tx1"/>
                  </w14:solidFill>
                </w14:textFill>
              </w:rPr>
              <w:t xml:space="preserve">环境保护目标 </w:t>
            </w:r>
          </w:p>
          <w:p w14:paraId="33B97772">
            <w:pPr>
              <w:pStyle w:val="66"/>
              <w:keepNext w:val="0"/>
              <w:keepLines w:val="0"/>
              <w:suppressLineNumbers w:val="0"/>
              <w:spacing w:before="0" w:beforeLines="0" w:beforeAutospacing="0" w:after="0" w:afterLines="0" w:afterAutospacing="0" w:line="360" w:lineRule="auto"/>
              <w:ind w:left="0" w:right="0" w:firstLine="482"/>
              <w:contextualSpacing/>
              <w:jc w:val="both"/>
              <w:rPr>
                <w:rFonts w:hint="default" w:ascii="Times New Roman" w:hAnsi="Times New Roman" w:eastAsia="宋体" w:cs="Times New Roman"/>
                <w:smallCaps w:val="0"/>
                <w:color w:val="auto"/>
                <w:kern w:val="0"/>
                <w:sz w:val="24"/>
                <w:szCs w:val="21"/>
                <w:highlight w:val="none"/>
                <w:lang w:val="en-US" w:eastAsia="zh-CN" w:bidi="ar-SA"/>
              </w:rPr>
            </w:pPr>
            <w:r>
              <w:rPr>
                <w:rFonts w:hint="default" w:ascii="Times New Roman" w:hAnsi="Times New Roman" w:eastAsia="宋体" w:cs="Times New Roman"/>
                <w:smallCaps w:val="0"/>
                <w:color w:val="auto"/>
                <w:kern w:val="0"/>
                <w:sz w:val="24"/>
                <w:szCs w:val="21"/>
                <w:highlight w:val="none"/>
                <w:lang w:val="en-US" w:eastAsia="zh-CN" w:bidi="ar-SA"/>
              </w:rPr>
              <w:t>根据《建设项目环境影响报告表编制技术指南 （污染影响类）（试行）》，明确厂界外500米范围内的地下水集中式饮用水水源和热水、矿泉水、温泉等特殊地下水资源。本项目厂界外500米范围内的地下水环境保护目标为清河四队集中式饮用水水源。</w:t>
            </w:r>
          </w:p>
          <w:p w14:paraId="3BFFD26E">
            <w:pPr>
              <w:pStyle w:val="66"/>
              <w:keepNext w:val="0"/>
              <w:keepLines w:val="0"/>
              <w:suppressLineNumbers w:val="0"/>
              <w:spacing w:before="0" w:beforeLines="0" w:beforeAutospacing="0" w:after="0" w:afterLines="0" w:afterAutospacing="0" w:line="360" w:lineRule="auto"/>
              <w:ind w:left="0" w:right="0" w:firstLine="482"/>
              <w:contextualSpacing/>
              <w:rPr>
                <w:rFonts w:hint="eastAsia" w:cs="Times New Roman"/>
                <w:smallCaps w:val="0"/>
                <w:color w:val="auto"/>
                <w:kern w:val="0"/>
                <w:sz w:val="24"/>
                <w:szCs w:val="21"/>
                <w:highlight w:val="none"/>
                <w:lang w:val="en-US" w:eastAsia="zh-CN" w:bidi="ar-SA"/>
              </w:rPr>
            </w:pPr>
            <w:r>
              <w:rPr>
                <w:rFonts w:hint="eastAsia" w:cs="Times New Roman"/>
                <w:smallCaps w:val="0"/>
                <w:color w:val="auto"/>
                <w:kern w:val="0"/>
                <w:sz w:val="24"/>
                <w:szCs w:val="21"/>
                <w:highlight w:val="none"/>
                <w:lang w:val="en-US" w:eastAsia="zh-CN" w:bidi="ar-SA"/>
              </w:rPr>
              <w:t>根据现场调查及地方集中式饮用水水源地划定资料，该水源地已依法划定饮用水水源保护区，并明确了一级保护区范围为水源井外围30米的区域。其中，在一级保护区范围内不得使用工业废水或生活污水灌溉和使用长效或剧毒农药，不得修建渗水厕所、污废水渗水坑、堆放废渣和垃圾或铺设污水管(渠)等污染源，并不得从事破坏深层土层的活动。饮水工程的沉淀池、蓄水池泵站外围50米范围内，不得设立生活区和修建畜禽饲养场、渗水厕所、渗水坑、粪坑，不得得堆放垃圾、粪便，不得修建污水渠道。</w:t>
            </w:r>
          </w:p>
          <w:p w14:paraId="6A2A5510">
            <w:pPr>
              <w:pStyle w:val="66"/>
              <w:keepNext w:val="0"/>
              <w:keepLines w:val="0"/>
              <w:suppressLineNumbers w:val="0"/>
              <w:spacing w:before="0" w:beforeLines="0" w:beforeAutospacing="0" w:after="0" w:afterLines="0" w:afterAutospacing="0" w:line="360" w:lineRule="auto"/>
              <w:ind w:left="0" w:right="0" w:firstLine="482"/>
              <w:contextualSpacing/>
              <w:rPr>
                <w:rFonts w:hint="default" w:ascii="Times New Roman" w:hAnsi="Times New Roman" w:eastAsia="宋体" w:cs="Times New Roman"/>
                <w:smallCaps w:val="0"/>
                <w:color w:val="auto"/>
                <w:kern w:val="0"/>
                <w:sz w:val="24"/>
                <w:szCs w:val="21"/>
                <w:highlight w:val="none"/>
                <w:lang w:val="en-US" w:eastAsia="zh-CN" w:bidi="ar-SA"/>
              </w:rPr>
            </w:pPr>
            <w:r>
              <w:rPr>
                <w:rFonts w:hint="eastAsia" w:cs="Times New Roman"/>
                <w:smallCaps w:val="0"/>
                <w:color w:val="auto"/>
                <w:kern w:val="0"/>
                <w:sz w:val="24"/>
                <w:szCs w:val="21"/>
                <w:highlight w:val="none"/>
                <w:lang w:val="en-US" w:eastAsia="zh-CN" w:bidi="ar-SA"/>
              </w:rPr>
              <w:t>清河四队集中式饮用水水源井位于新本项目东南侧，与本项目直线距离约为320m，为清河四队提供饮用水。本项目距离水源井320m，不在一级保护区范围以内，不属于一级保护区内禁止建设的项目，不违反水源保护区管控要求。</w:t>
            </w:r>
            <w:r>
              <w:rPr>
                <w:rFonts w:hint="default" w:ascii="宋体" w:hAnsi="宋体" w:eastAsia="宋体" w:cs="宋体"/>
                <w:sz w:val="24"/>
                <w:szCs w:val="24"/>
                <w:highlight w:val="none"/>
              </w:rPr>
              <w:t>项目生产过程中无生产废水外排，</w:t>
            </w:r>
            <w:r>
              <w:rPr>
                <w:rFonts w:hint="default" w:ascii="Times New Roman" w:hAnsi="Times New Roman" w:eastAsia="宋体" w:cs="Times New Roman"/>
                <w:color w:val="000000" w:themeColor="text1"/>
                <w:szCs w:val="21"/>
                <w:highlight w:val="none"/>
                <w14:textFill>
                  <w14:solidFill>
                    <w14:schemeClr w14:val="tx1"/>
                  </w14:solidFill>
                </w14:textFill>
              </w:rPr>
              <w:t>生活污水排入防渗旱厕</w:t>
            </w:r>
            <w:r>
              <w:rPr>
                <w:rFonts w:hint="eastAsia" w:cs="Times New Roman"/>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1"/>
                <w:highlight w:val="none"/>
                <w14:textFill>
                  <w14:solidFill>
                    <w14:schemeClr w14:val="tx1"/>
                  </w14:solidFill>
                </w14:textFill>
              </w:rPr>
              <w:t>定期清掏</w:t>
            </w:r>
            <w:r>
              <w:rPr>
                <w:rFonts w:hint="eastAsia" w:cs="Times New Roman"/>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1"/>
                <w:highlight w:val="none"/>
                <w14:textFill>
                  <w14:solidFill>
                    <w14:schemeClr w14:val="tx1"/>
                  </w14:solidFill>
                </w14:textFill>
              </w:rPr>
              <w:t>外运堆肥</w:t>
            </w:r>
            <w:r>
              <w:rPr>
                <w:rFonts w:hint="eastAsia" w:cs="Times New Roman"/>
                <w:smallCaps w:val="0"/>
                <w:color w:val="auto"/>
                <w:kern w:val="0"/>
                <w:sz w:val="24"/>
                <w:szCs w:val="21"/>
                <w:highlight w:val="none"/>
                <w:lang w:val="en-US" w:eastAsia="zh-CN" w:bidi="ar-SA"/>
              </w:rPr>
              <w:t>。</w:t>
            </w:r>
            <w:r>
              <w:rPr>
                <w:rFonts w:hint="default" w:ascii="宋体" w:hAnsi="宋体" w:eastAsia="宋体" w:cs="宋体"/>
                <w:sz w:val="24"/>
                <w:szCs w:val="24"/>
                <w:highlight w:val="none"/>
              </w:rPr>
              <w:t>项目建设总体符合集中式饮用水水源保护区管控要求。</w:t>
            </w:r>
          </w:p>
          <w:p w14:paraId="028BFEE2">
            <w:pPr>
              <w:keepNext w:val="0"/>
              <w:keepLines w:val="0"/>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表3-</w:t>
            </w:r>
            <w:r>
              <w:rPr>
                <w:rFonts w:hint="eastAsia" w:ascii="Times New Roman" w:hAnsi="Times New Roman" w:eastAsia="宋体" w:cs="Times New Roman"/>
                <w:b/>
                <w:bCs/>
                <w:color w:val="000000" w:themeColor="text1"/>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 xml:space="preserve">  地下水环境保护目标</w:t>
            </w:r>
          </w:p>
          <w:tbl>
            <w:tblPr>
              <w:tblStyle w:val="35"/>
              <w:tblW w:w="4962"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315"/>
              <w:gridCol w:w="1556"/>
              <w:gridCol w:w="1821"/>
              <w:gridCol w:w="3191"/>
            </w:tblGrid>
            <w:tr w14:paraId="45B42D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834" w:type="pct"/>
                  <w:tcBorders>
                    <w:left w:val="nil"/>
                  </w:tcBorders>
                  <w:shd w:val="clear" w:color="auto" w:fill="auto"/>
                  <w:noWrap w:val="0"/>
                  <w:vAlign w:val="center"/>
                </w:tcPr>
                <w:p w14:paraId="2F278825">
                  <w:pPr>
                    <w:keepNext w:val="0"/>
                    <w:keepLines w:val="0"/>
                    <w:suppressLineNumbers w:val="0"/>
                    <w:spacing w:before="0" w:beforeAutospacing="0" w:after="0" w:afterAutospacing="0" w:line="312" w:lineRule="auto"/>
                    <w:ind w:left="0" w:right="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环境要素</w:t>
                  </w:r>
                </w:p>
              </w:tc>
              <w:tc>
                <w:tcPr>
                  <w:tcW w:w="987" w:type="pct"/>
                  <w:shd w:val="clear" w:color="auto" w:fill="auto"/>
                  <w:noWrap w:val="0"/>
                  <w:vAlign w:val="center"/>
                </w:tcPr>
                <w:p w14:paraId="32A3F460">
                  <w:pPr>
                    <w:keepNext w:val="0"/>
                    <w:keepLines w:val="0"/>
                    <w:suppressLineNumbers w:val="0"/>
                    <w:spacing w:before="0" w:beforeAutospacing="0" w:after="0" w:afterAutospacing="0" w:line="312" w:lineRule="auto"/>
                    <w:ind w:left="0" w:right="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名称</w:t>
                  </w:r>
                </w:p>
              </w:tc>
              <w:tc>
                <w:tcPr>
                  <w:tcW w:w="1155" w:type="pct"/>
                  <w:shd w:val="clear" w:color="auto" w:fill="auto"/>
                  <w:noWrap w:val="0"/>
                  <w:vAlign w:val="center"/>
                </w:tcPr>
                <w:p w14:paraId="03405AAA">
                  <w:pPr>
                    <w:keepNext w:val="0"/>
                    <w:keepLines w:val="0"/>
                    <w:suppressLineNumbers w:val="0"/>
                    <w:spacing w:before="0" w:beforeAutospacing="0" w:after="0" w:afterAutospacing="0" w:line="312" w:lineRule="auto"/>
                    <w:ind w:left="0" w:right="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保护对象</w:t>
                  </w:r>
                </w:p>
              </w:tc>
              <w:tc>
                <w:tcPr>
                  <w:tcW w:w="2023" w:type="pct"/>
                  <w:tcBorders>
                    <w:right w:val="nil"/>
                  </w:tcBorders>
                  <w:noWrap w:val="0"/>
                  <w:vAlign w:val="center"/>
                </w:tcPr>
                <w:p w14:paraId="72A1B89F">
                  <w:pPr>
                    <w:keepNext w:val="0"/>
                    <w:keepLines w:val="0"/>
                    <w:suppressLineNumbers w:val="0"/>
                    <w:spacing w:before="0" w:beforeAutospacing="0" w:after="0" w:afterAutospacing="0" w:line="312" w:lineRule="auto"/>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环境功能区</w:t>
                  </w:r>
                </w:p>
              </w:tc>
            </w:tr>
            <w:tr w14:paraId="27854C4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834" w:type="pct"/>
                  <w:tcBorders>
                    <w:left w:val="nil"/>
                  </w:tcBorders>
                  <w:noWrap w:val="0"/>
                  <w:vAlign w:val="center"/>
                </w:tcPr>
                <w:p w14:paraId="0C78689C">
                  <w:pPr>
                    <w:keepNext w:val="0"/>
                    <w:keepLines w:val="0"/>
                    <w:suppressLineNumbers w:val="0"/>
                    <w:spacing w:before="0" w:beforeAutospacing="0" w:after="0" w:afterAutospacing="0" w:line="312" w:lineRule="auto"/>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地下水环境</w:t>
                  </w:r>
                </w:p>
              </w:tc>
              <w:tc>
                <w:tcPr>
                  <w:tcW w:w="987" w:type="pct"/>
                  <w:noWrap w:val="0"/>
                  <w:vAlign w:val="center"/>
                </w:tcPr>
                <w:p w14:paraId="2FC13938">
                  <w:pPr>
                    <w:keepNext w:val="0"/>
                    <w:keepLines w:val="0"/>
                    <w:suppressLineNumbers w:val="0"/>
                    <w:spacing w:before="0" w:beforeAutospacing="0" w:after="0" w:afterAutospacing="0" w:line="312" w:lineRule="auto"/>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清河四队集中式饮用水水源</w:t>
                  </w:r>
                </w:p>
              </w:tc>
              <w:tc>
                <w:tcPr>
                  <w:tcW w:w="1155" w:type="pct"/>
                  <w:noWrap w:val="0"/>
                  <w:vAlign w:val="center"/>
                </w:tcPr>
                <w:p w14:paraId="6FF5E1F8">
                  <w:pPr>
                    <w:keepNext w:val="0"/>
                    <w:keepLines w:val="0"/>
                    <w:suppressLineNumbers w:val="0"/>
                    <w:spacing w:before="0" w:beforeAutospacing="0" w:after="0" w:afterAutospacing="0" w:line="312" w:lineRule="auto"/>
                    <w:ind w:left="0" w:right="0"/>
                    <w:jc w:val="center"/>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地下水环境质量</w:t>
                  </w:r>
                  <w:r>
                    <w:rPr>
                      <w:rFonts w:hint="eastAsia" w:cs="Times New Roman"/>
                      <w:color w:val="auto"/>
                      <w:highlight w:val="none"/>
                      <w:lang w:eastAsia="zh-CN"/>
                    </w:rPr>
                    <w:t>（</w:t>
                  </w:r>
                  <w:r>
                    <w:rPr>
                      <w:rFonts w:hint="eastAsia" w:cs="Times New Roman"/>
                      <w:color w:val="auto"/>
                      <w:highlight w:val="none"/>
                      <w:lang w:val="en-US" w:eastAsia="zh-CN"/>
                    </w:rPr>
                    <w:t>承压水</w:t>
                  </w:r>
                  <w:r>
                    <w:rPr>
                      <w:rFonts w:hint="eastAsia" w:cs="Times New Roman"/>
                      <w:color w:val="auto"/>
                      <w:highlight w:val="none"/>
                      <w:lang w:eastAsia="zh-CN"/>
                    </w:rPr>
                    <w:t>）</w:t>
                  </w:r>
                </w:p>
              </w:tc>
              <w:tc>
                <w:tcPr>
                  <w:tcW w:w="2023" w:type="pct"/>
                  <w:tcBorders>
                    <w:right w:val="nil"/>
                  </w:tcBorders>
                  <w:noWrap w:val="0"/>
                  <w:vAlign w:val="center"/>
                </w:tcPr>
                <w:p w14:paraId="6E72C538">
                  <w:pPr>
                    <w:keepNext w:val="0"/>
                    <w:keepLines w:val="0"/>
                    <w:suppressLineNumbers w:val="0"/>
                    <w:spacing w:before="0" w:beforeAutospacing="0" w:after="0" w:afterAutospacing="0" w:line="312" w:lineRule="auto"/>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《地下水质量标准》（GB/T14848-2017）Ⅲ类标准</w:t>
                  </w:r>
                </w:p>
              </w:tc>
            </w:tr>
          </w:tbl>
          <w:p w14:paraId="58E07868">
            <w:pPr>
              <w:keepNext w:val="0"/>
              <w:keepLines w:val="0"/>
              <w:widowControl/>
              <w:suppressLineNumbers w:val="0"/>
              <w:spacing w:before="0" w:beforeAutospacing="0" w:after="0" w:afterAutospacing="0" w:line="360" w:lineRule="auto"/>
              <w:ind w:left="0" w:right="0" w:firstLine="482" w:firstLineChars="200"/>
              <w:jc w:val="left"/>
              <w:rPr>
                <w:rFonts w:hint="default" w:ascii="Times New Roman" w:hAnsi="Times New Roman" w:eastAsia="宋体" w:cs="Times New Roman"/>
                <w:b/>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 xml:space="preserve">4、生态环境保护目标 </w:t>
            </w:r>
          </w:p>
          <w:p w14:paraId="5EE1E5FA">
            <w:pPr>
              <w:keepNext w:val="0"/>
              <w:keepLines w:val="0"/>
              <w:suppressLineNumbers w:val="0"/>
              <w:adjustRightInd w:val="0"/>
              <w:snapToGrid w:val="0"/>
              <w:spacing w:before="0" w:beforeAutospacing="0" w:after="0" w:afterAutospacing="0" w:line="500" w:lineRule="exact"/>
              <w:ind w:left="0" w:right="0" w:firstLine="480" w:firstLineChars="200"/>
              <w:textAlignment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本项目占地范围内无特殊生态敏感区及重要生态敏感区等生态环境保护目标，项目占地范围内无国家级、省、市级自然保护区、风景名胜区、文物保护对象</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w:t>
            </w:r>
          </w:p>
        </w:tc>
      </w:tr>
      <w:tr w14:paraId="073304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44" w:hRule="atLeast"/>
          <w:jc w:val="center"/>
        </w:trPr>
        <w:tc>
          <w:tcPr>
            <w:tcW w:w="800" w:type="dxa"/>
            <w:tcMar>
              <w:left w:w="28" w:type="dxa"/>
              <w:right w:w="28" w:type="dxa"/>
            </w:tcMar>
            <w:vAlign w:val="center"/>
          </w:tcPr>
          <w:p w14:paraId="751CBFB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污染</w:t>
            </w:r>
          </w:p>
          <w:p w14:paraId="6D6680E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物排</w:t>
            </w:r>
          </w:p>
          <w:p w14:paraId="25ECFA3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放控</w:t>
            </w:r>
          </w:p>
          <w:p w14:paraId="7BECDBD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制标</w:t>
            </w:r>
          </w:p>
          <w:p w14:paraId="72387C4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准</w:t>
            </w:r>
          </w:p>
        </w:tc>
        <w:tc>
          <w:tcPr>
            <w:tcW w:w="8190" w:type="dxa"/>
            <w:vAlign w:val="center"/>
          </w:tcPr>
          <w:p w14:paraId="2042C6AA">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1、废气</w:t>
            </w:r>
          </w:p>
          <w:p w14:paraId="077A692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kern w:val="0"/>
                <w:sz w:val="24"/>
                <w:highlight w:val="none"/>
                <w:lang w:bidi="ar"/>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施工期扬尘执行《大气污染物综合排放标准》（GB16297-1996）表2无组织排放限值标准。</w:t>
            </w:r>
          </w:p>
          <w:p w14:paraId="0EBF5BD4">
            <w:pPr>
              <w:pStyle w:val="19"/>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snapToGrid w:val="0"/>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运行期热风炉烟气中烟尘和烟气黑度执行《工业炉窑大气污染物排放标准》（GB9078-1996）表2标准，热风炉烟气中SO</w:t>
            </w:r>
            <w:r>
              <w:rPr>
                <w:rFonts w:hint="default" w:ascii="Times New Roman" w:hAnsi="Times New Roman" w:eastAsia="宋体" w:cs="Times New Roman"/>
                <w:color w:val="000000" w:themeColor="text1"/>
                <w:kern w:val="0"/>
                <w:sz w:val="16"/>
                <w:szCs w:val="16"/>
                <w:highlight w:val="none"/>
                <w:lang w:bidi="ar"/>
                <w14:textFill>
                  <w14:solidFill>
                    <w14:schemeClr w14:val="tx1"/>
                  </w14:solidFill>
                </w14:textFill>
              </w:rPr>
              <w:t>2</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执行《工业炉窑大气污染物排放标准》（GB9078-1996）表4中二级标准；生产过程中产生的粉尘执行《大气污染物综合排放标准》（GB16297-1996）表2无组织排放监控浓度限值</w:t>
            </w:r>
            <w:r>
              <w:rPr>
                <w:rFonts w:hint="default" w:ascii="Times New Roman" w:hAnsi="Times New Roman" w:eastAsia="宋体" w:cs="Times New Roman"/>
                <w:color w:val="000000" w:themeColor="text1"/>
                <w:sz w:val="24"/>
                <w:highlight w:val="none"/>
                <w14:textFill>
                  <w14:solidFill>
                    <w14:schemeClr w14:val="tx1"/>
                  </w14:solidFill>
                </w14:textFill>
              </w:rPr>
              <w:t>标准，</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炉窑厂房门窗处</w:t>
            </w:r>
            <w:r>
              <w:rPr>
                <w:rFonts w:hint="default" w:ascii="Times New Roman" w:hAnsi="Times New Roman" w:eastAsia="宋体" w:cs="Times New Roman"/>
                <w:color w:val="000000" w:themeColor="text1"/>
                <w:sz w:val="24"/>
                <w:highlight w:val="none"/>
                <w14:textFill>
                  <w14:solidFill>
                    <w14:schemeClr w14:val="tx1"/>
                  </w14:solidFill>
                </w14:textFill>
              </w:rPr>
              <w:t>颗粒物执行《工业炉窑大气污染物排放标准》（GB9078-1996）表</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中标准限值</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p>
          <w:p w14:paraId="73ED730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具体标准值见下表。</w:t>
            </w:r>
          </w:p>
          <w:p w14:paraId="6C2C56FE">
            <w:pPr>
              <w:pStyle w:val="61"/>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bookmarkStart w:id="9" w:name="_Toc29061"/>
            <w:r>
              <w:rPr>
                <w:rFonts w:hint="default" w:ascii="Times New Roman" w:hAnsi="Times New Roman" w:eastAsia="宋体" w:cs="Times New Roman"/>
                <w:b/>
                <w:bCs/>
                <w:color w:val="000000" w:themeColor="text1"/>
                <w:sz w:val="21"/>
                <w:szCs w:val="21"/>
                <w:highlight w:val="none"/>
                <w:lang w:val="en-US" w:eastAsia="zh-CN" w:bidi="ar-SA"/>
                <w14:textFill>
                  <w14:solidFill>
                    <w14:schemeClr w14:val="tx1"/>
                  </w14:solidFill>
                </w14:textFill>
              </w:rPr>
              <w:t>表3-</w:t>
            </w:r>
            <w:r>
              <w:rPr>
                <w:rFonts w:hint="eastAsia" w:eastAsia="宋体" w:cs="Times New Roman"/>
                <w:b/>
                <w:bCs/>
                <w:color w:val="000000" w:themeColor="text1"/>
                <w:sz w:val="21"/>
                <w:szCs w:val="21"/>
                <w:highlight w:val="none"/>
                <w:lang w:val="en-US" w:eastAsia="zh-CN" w:bidi="ar-SA"/>
                <w14:textFill>
                  <w14:solidFill>
                    <w14:schemeClr w14:val="tx1"/>
                  </w14:solidFill>
                </w14:textFill>
              </w:rPr>
              <w:t>6</w:t>
            </w:r>
            <w:r>
              <w:rPr>
                <w:rFonts w:hint="default" w:ascii="Times New Roman" w:hAnsi="Times New Roman" w:eastAsia="宋体" w:cs="Times New Roman"/>
                <w:b/>
                <w:bCs/>
                <w:color w:val="000000" w:themeColor="text1"/>
                <w:sz w:val="21"/>
                <w:szCs w:val="21"/>
                <w:highlight w:val="none"/>
                <w:lang w:val="en-US" w:eastAsia="zh-CN" w:bidi="ar-SA"/>
                <w14:textFill>
                  <w14:solidFill>
                    <w14:schemeClr w14:val="tx1"/>
                  </w14:solidFill>
                </w14:textFill>
              </w:rPr>
              <w:t xml:space="preserve">《大气污染物综合排放标准》（GB16297-1996）  </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单位：mg/m</w:t>
            </w:r>
            <w:r>
              <w:rPr>
                <w:rFonts w:hint="default" w:ascii="Times New Roman" w:hAnsi="Times New Roman" w:eastAsia="宋体" w:cs="Times New Roman"/>
                <w:b/>
                <w:bCs/>
                <w:color w:val="000000" w:themeColor="text1"/>
                <w:sz w:val="21"/>
                <w:szCs w:val="21"/>
                <w:highlight w:val="none"/>
                <w:vertAlign w:val="superscript"/>
                <w14:textFill>
                  <w14:solidFill>
                    <w14:schemeClr w14:val="tx1"/>
                  </w14:solidFill>
                </w14:textFill>
              </w:rPr>
              <w:t>3</w:t>
            </w:r>
            <w:bookmarkEnd w:id="9"/>
            <w:r>
              <w:rPr>
                <w:rFonts w:hint="default" w:ascii="Times New Roman" w:hAnsi="Times New Roman" w:eastAsia="宋体" w:cs="Times New Roman"/>
                <w:b/>
                <w:bCs/>
                <w:color w:val="000000" w:themeColor="text1"/>
                <w:sz w:val="21"/>
                <w:szCs w:val="21"/>
                <w:highlight w:val="none"/>
                <w14:textFill>
                  <w14:solidFill>
                    <w14:schemeClr w14:val="tx1"/>
                  </w14:solidFill>
                </w14:textFill>
              </w:rPr>
              <w:t xml:space="preserve"> </w:t>
            </w:r>
          </w:p>
          <w:tbl>
            <w:tblPr>
              <w:tblStyle w:val="35"/>
              <w:tblW w:w="7959"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2555"/>
              <w:gridCol w:w="2962"/>
              <w:gridCol w:w="2442"/>
            </w:tblGrid>
            <w:tr w14:paraId="4E39C6A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57" w:hRule="atLeast"/>
                <w:jc w:val="center"/>
              </w:trPr>
              <w:tc>
                <w:tcPr>
                  <w:tcW w:w="2555" w:type="dxa"/>
                  <w:vMerge w:val="restart"/>
                  <w:tcBorders>
                    <w:tl2br w:val="nil"/>
                    <w:tr2bl w:val="nil"/>
                  </w:tcBorders>
                  <w:vAlign w:val="center"/>
                </w:tcPr>
                <w:p w14:paraId="0FFBEDF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污染物名称</w:t>
                  </w:r>
                </w:p>
              </w:tc>
              <w:tc>
                <w:tcPr>
                  <w:tcW w:w="5404" w:type="dxa"/>
                  <w:gridSpan w:val="2"/>
                  <w:tcBorders>
                    <w:tl2br w:val="nil"/>
                    <w:tr2bl w:val="nil"/>
                  </w:tcBorders>
                  <w:vAlign w:val="center"/>
                </w:tcPr>
                <w:p w14:paraId="16740B8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无组织排放监控浓度限值</w:t>
                  </w:r>
                </w:p>
              </w:tc>
            </w:tr>
            <w:tr w14:paraId="249D1B2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36" w:hRule="atLeast"/>
                <w:jc w:val="center"/>
              </w:trPr>
              <w:tc>
                <w:tcPr>
                  <w:tcW w:w="2555" w:type="dxa"/>
                  <w:vMerge w:val="continue"/>
                  <w:tcBorders>
                    <w:tl2br w:val="nil"/>
                    <w:tr2bl w:val="nil"/>
                  </w:tcBorders>
                  <w:vAlign w:val="center"/>
                </w:tcPr>
                <w:p w14:paraId="34496826">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s="Times New Roman"/>
                      <w:b/>
                      <w:bCs/>
                      <w:color w:val="000000" w:themeColor="text1"/>
                      <w:sz w:val="21"/>
                      <w:szCs w:val="21"/>
                      <w:highlight w:val="none"/>
                      <w14:textFill>
                        <w14:solidFill>
                          <w14:schemeClr w14:val="tx1"/>
                        </w14:solidFill>
                      </w14:textFill>
                    </w:rPr>
                  </w:pPr>
                </w:p>
              </w:tc>
              <w:tc>
                <w:tcPr>
                  <w:tcW w:w="2962" w:type="dxa"/>
                  <w:tcBorders>
                    <w:tl2br w:val="nil"/>
                    <w:tr2bl w:val="nil"/>
                  </w:tcBorders>
                  <w:vAlign w:val="center"/>
                </w:tcPr>
                <w:p w14:paraId="14CC9E5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监控点</w:t>
                  </w:r>
                </w:p>
              </w:tc>
              <w:tc>
                <w:tcPr>
                  <w:tcW w:w="2442" w:type="dxa"/>
                  <w:tcBorders>
                    <w:tl2br w:val="nil"/>
                    <w:tr2bl w:val="nil"/>
                  </w:tcBorders>
                  <w:vAlign w:val="center"/>
                </w:tcPr>
                <w:p w14:paraId="6D36903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浓度mg/m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p>
              </w:tc>
            </w:tr>
            <w:tr w14:paraId="510DA7C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90" w:hRule="atLeast"/>
                <w:jc w:val="center"/>
              </w:trPr>
              <w:tc>
                <w:tcPr>
                  <w:tcW w:w="2555" w:type="dxa"/>
                  <w:tcBorders>
                    <w:tl2br w:val="nil"/>
                    <w:tr2bl w:val="nil"/>
                  </w:tcBorders>
                  <w:vAlign w:val="center"/>
                </w:tcPr>
                <w:p w14:paraId="37D1E6B4">
                  <w:pPr>
                    <w:pStyle w:val="96"/>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颗粒物</w:t>
                  </w:r>
                </w:p>
              </w:tc>
              <w:tc>
                <w:tcPr>
                  <w:tcW w:w="2962" w:type="dxa"/>
                  <w:tcBorders>
                    <w:tl2br w:val="nil"/>
                    <w:tr2bl w:val="nil"/>
                  </w:tcBorders>
                  <w:vAlign w:val="center"/>
                </w:tcPr>
                <w:p w14:paraId="27471B7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周界外浓度最高点</w:t>
                  </w:r>
                </w:p>
              </w:tc>
              <w:tc>
                <w:tcPr>
                  <w:tcW w:w="2442" w:type="dxa"/>
                  <w:tcBorders>
                    <w:tl2br w:val="nil"/>
                    <w:tr2bl w:val="nil"/>
                  </w:tcBorders>
                  <w:vAlign w:val="center"/>
                </w:tcPr>
                <w:p w14:paraId="6F9A10F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1.0</w:t>
                  </w:r>
                </w:p>
              </w:tc>
            </w:tr>
          </w:tbl>
          <w:p w14:paraId="0AF0D290">
            <w:pPr>
              <w:pStyle w:val="50"/>
              <w:keepNext w:val="0"/>
              <w:keepLines w:val="0"/>
              <w:suppressLineNumbers w:val="0"/>
              <w:spacing w:before="0" w:beforeAutospacing="0" w:after="0" w:afterAutospacing="0" w:line="360" w:lineRule="auto"/>
              <w:ind w:left="0" w:right="0"/>
              <w:rPr>
                <w:rFonts w:hint="default" w:ascii="Times New Roman" w:hAnsi="Times New Roman" w:eastAsia="宋体" w:cs="Times New Roman"/>
                <w:b/>
                <w:bCs/>
                <w:color w:val="000000" w:themeColor="text1"/>
                <w:sz w:val="21"/>
                <w:szCs w:val="21"/>
                <w:highlight w:val="none"/>
                <w14:textFill>
                  <w14:solidFill>
                    <w14:schemeClr w14:val="tx1"/>
                  </w14:solidFill>
                </w14:textFill>
              </w:rPr>
            </w:pPr>
          </w:p>
          <w:p w14:paraId="3E1903EE">
            <w:pPr>
              <w:pStyle w:val="50"/>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表3-</w:t>
            </w: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7</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《工业炉窑大气污染物排放标准》（GB9078-1996） 单位：mg/m</w:t>
            </w:r>
            <w:r>
              <w:rPr>
                <w:rFonts w:hint="default" w:ascii="Times New Roman" w:hAnsi="Times New Roman" w:eastAsia="宋体" w:cs="Times New Roman"/>
                <w:b/>
                <w:bCs/>
                <w:color w:val="000000" w:themeColor="text1"/>
                <w:sz w:val="21"/>
                <w:szCs w:val="21"/>
                <w:highlight w:val="none"/>
                <w:vertAlign w:val="superscript"/>
                <w14:textFill>
                  <w14:solidFill>
                    <w14:schemeClr w14:val="tx1"/>
                  </w14:solidFill>
                </w14:textFill>
              </w:rPr>
              <w:t>3</w:t>
            </w:r>
          </w:p>
          <w:tbl>
            <w:tblPr>
              <w:tblStyle w:val="35"/>
              <w:tblW w:w="7945"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62"/>
              <w:gridCol w:w="3493"/>
              <w:gridCol w:w="2890"/>
            </w:tblGrid>
            <w:tr w14:paraId="58EBB9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62" w:type="dxa"/>
                  <w:vAlign w:val="center"/>
                </w:tcPr>
                <w:p w14:paraId="12DDAA5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污染物</w:t>
                  </w:r>
                </w:p>
              </w:tc>
              <w:tc>
                <w:tcPr>
                  <w:tcW w:w="3493" w:type="dxa"/>
                  <w:vAlign w:val="center"/>
                </w:tcPr>
                <w:p w14:paraId="54D5C9F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浓度限值</w:t>
                  </w:r>
                </w:p>
              </w:tc>
              <w:tc>
                <w:tcPr>
                  <w:tcW w:w="2890" w:type="dxa"/>
                  <w:vAlign w:val="center"/>
                </w:tcPr>
                <w:p w14:paraId="3CA472F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备注</w:t>
                  </w:r>
                </w:p>
              </w:tc>
            </w:tr>
            <w:tr w14:paraId="679452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62" w:type="dxa"/>
                  <w:vAlign w:val="center"/>
                </w:tcPr>
                <w:p w14:paraId="45A5C7B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 xml:space="preserve">烟尘 </w:t>
                  </w:r>
                </w:p>
              </w:tc>
              <w:tc>
                <w:tcPr>
                  <w:tcW w:w="3493" w:type="dxa"/>
                  <w:vAlign w:val="center"/>
                </w:tcPr>
                <w:p w14:paraId="7C12C85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200</w:t>
                  </w:r>
                </w:p>
              </w:tc>
              <w:tc>
                <w:tcPr>
                  <w:tcW w:w="2890" w:type="dxa"/>
                  <w:vAlign w:val="center"/>
                </w:tcPr>
                <w:p w14:paraId="562E4CA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表2标准</w:t>
                  </w:r>
                </w:p>
              </w:tc>
            </w:tr>
            <w:tr w14:paraId="108648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62" w:type="dxa"/>
                  <w:vAlign w:val="center"/>
                </w:tcPr>
                <w:p w14:paraId="2456029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烟气黑度</w:t>
                  </w:r>
                </w:p>
              </w:tc>
              <w:tc>
                <w:tcPr>
                  <w:tcW w:w="3493" w:type="dxa"/>
                  <w:vAlign w:val="center"/>
                </w:tcPr>
                <w:p w14:paraId="3349199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1（林格曼级）</w:t>
                  </w:r>
                </w:p>
              </w:tc>
              <w:tc>
                <w:tcPr>
                  <w:tcW w:w="2890" w:type="dxa"/>
                  <w:vAlign w:val="center"/>
                </w:tcPr>
                <w:p w14:paraId="7738BB3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表2标准</w:t>
                  </w:r>
                </w:p>
              </w:tc>
            </w:tr>
            <w:tr w14:paraId="10FFDF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62" w:type="dxa"/>
                  <w:vAlign w:val="center"/>
                </w:tcPr>
                <w:p w14:paraId="57EE735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SO</w:t>
                  </w:r>
                  <w:r>
                    <w:rPr>
                      <w:rFonts w:hint="default" w:ascii="Times New Roman" w:hAnsi="Times New Roman" w:eastAsia="宋体" w:cs="Times New Roman"/>
                      <w:color w:val="000000" w:themeColor="text1"/>
                      <w:szCs w:val="21"/>
                      <w:highlight w:val="none"/>
                      <w:vertAlign w:val="subscript"/>
                      <w14:textFill>
                        <w14:solidFill>
                          <w14:schemeClr w14:val="tx1"/>
                        </w14:solidFill>
                      </w14:textFill>
                    </w:rPr>
                    <w:t>2</w:t>
                  </w:r>
                </w:p>
              </w:tc>
              <w:tc>
                <w:tcPr>
                  <w:tcW w:w="3493" w:type="dxa"/>
                  <w:vAlign w:val="center"/>
                </w:tcPr>
                <w:p w14:paraId="64C6D65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850</w:t>
                  </w:r>
                </w:p>
              </w:tc>
              <w:tc>
                <w:tcPr>
                  <w:tcW w:w="2890" w:type="dxa"/>
                  <w:vAlign w:val="center"/>
                </w:tcPr>
                <w:p w14:paraId="08928F8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表4标准</w:t>
                  </w:r>
                </w:p>
              </w:tc>
            </w:tr>
            <w:tr w14:paraId="564AAF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62" w:type="dxa"/>
                  <w:vAlign w:val="center"/>
                </w:tcPr>
                <w:p w14:paraId="1DD7CF0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eastAsia="zh-CN" w:bidi="ar"/>
                      <w14:textFill>
                        <w14:solidFill>
                          <w14:schemeClr w14:val="tx1"/>
                        </w14:solidFill>
                      </w14:textFill>
                    </w:rPr>
                    <w:t>NOx</w:t>
                  </w:r>
                </w:p>
              </w:tc>
              <w:tc>
                <w:tcPr>
                  <w:tcW w:w="3493" w:type="dxa"/>
                  <w:vAlign w:val="center"/>
                </w:tcPr>
                <w:p w14:paraId="430CD01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w:t>
                  </w:r>
                </w:p>
              </w:tc>
              <w:tc>
                <w:tcPr>
                  <w:tcW w:w="2890" w:type="dxa"/>
                  <w:vAlign w:val="center"/>
                </w:tcPr>
                <w:p w14:paraId="4561069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w:t>
                  </w:r>
                </w:p>
              </w:tc>
            </w:tr>
          </w:tbl>
          <w:p w14:paraId="7B8DA7EA">
            <w:pPr>
              <w:keepNext w:val="0"/>
              <w:keepLines w:val="0"/>
              <w:suppressLineNumbers w:val="0"/>
              <w:spacing w:before="0" w:beforeAutospacing="0" w:after="0" w:afterAutospacing="0"/>
              <w:ind w:left="0" w:right="0" w:firstLine="422" w:firstLineChars="200"/>
              <w:rPr>
                <w:rFonts w:hint="default" w:ascii="Times New Roman" w:hAnsi="Times New Roman" w:eastAsia="宋体" w:cs="Times New Roman"/>
                <w:b/>
                <w:color w:val="000000" w:themeColor="text1"/>
                <w:szCs w:val="21"/>
                <w:highlight w:val="none"/>
                <w14:textFill>
                  <w14:solidFill>
                    <w14:schemeClr w14:val="tx1"/>
                  </w14:solidFill>
                </w14:textFill>
              </w:rPr>
            </w:pPr>
          </w:p>
          <w:p w14:paraId="2F981A1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Cs w:val="21"/>
                <w:highlight w:val="none"/>
                <w14:textFill>
                  <w14:solidFill>
                    <w14:schemeClr w14:val="tx1"/>
                  </w14:solidFill>
                </w14:textFill>
              </w:rPr>
              <w:t>表3-</w:t>
            </w:r>
            <w:r>
              <w:rPr>
                <w:rFonts w:hint="eastAsia" w:cs="Times New Roman"/>
                <w:b/>
                <w:color w:val="000000" w:themeColor="text1"/>
                <w:szCs w:val="21"/>
                <w:highlight w:val="none"/>
                <w:lang w:val="en-US" w:eastAsia="zh-CN"/>
                <w14:textFill>
                  <w14:solidFill>
                    <w14:schemeClr w14:val="tx1"/>
                  </w14:solidFill>
                </w14:textFill>
              </w:rPr>
              <w:t>8</w:t>
            </w:r>
            <w:r>
              <w:rPr>
                <w:rFonts w:hint="default" w:ascii="Times New Roman" w:hAnsi="Times New Roman" w:eastAsia="宋体" w:cs="Times New Roman"/>
                <w:b/>
                <w:color w:val="000000" w:themeColor="text1"/>
                <w:szCs w:val="21"/>
                <w:highlight w:val="none"/>
                <w14:textFill>
                  <w14:solidFill>
                    <w14:schemeClr w14:val="tx1"/>
                  </w14:solidFill>
                </w14:textFill>
              </w:rPr>
              <w:t>《工业炉窑大气污染物排放标准》（GB9078-1996）</w:t>
            </w:r>
            <w:r>
              <w:rPr>
                <w:rFonts w:hint="default" w:ascii="Times New Roman" w:hAnsi="Times New Roman" w:eastAsia="宋体" w:cs="Times New Roman"/>
                <w:b/>
                <w:color w:val="000000" w:themeColor="text1"/>
                <w:szCs w:val="21"/>
                <w:highlight w:val="none"/>
                <w:lang w:val="en-US" w:eastAsia="zh-CN"/>
                <w14:textFill>
                  <w14:solidFill>
                    <w14:schemeClr w14:val="tx1"/>
                  </w14:solidFill>
                </w14:textFill>
              </w:rPr>
              <w:t>表3</w:t>
            </w:r>
          </w:p>
          <w:tbl>
            <w:tblPr>
              <w:tblStyle w:val="35"/>
              <w:tblW w:w="7959"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2555"/>
              <w:gridCol w:w="2962"/>
              <w:gridCol w:w="2442"/>
            </w:tblGrid>
            <w:tr w14:paraId="2ED74CB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357" w:hRule="atLeast"/>
                <w:jc w:val="center"/>
              </w:trPr>
              <w:tc>
                <w:tcPr>
                  <w:tcW w:w="2555" w:type="dxa"/>
                  <w:tcBorders>
                    <w:tl2br w:val="nil"/>
                    <w:tr2bl w:val="nil"/>
                  </w:tcBorders>
                  <w:vAlign w:val="center"/>
                </w:tcPr>
                <w:p w14:paraId="3AB5B60B">
                  <w:pPr>
                    <w:pStyle w:val="110"/>
                    <w:keepNext w:val="0"/>
                    <w:keepLines w:val="0"/>
                    <w:suppressLineNumbers w:val="0"/>
                    <w:snapToGrid w:val="0"/>
                    <w:spacing w:before="0" w:beforeAutospacing="0" w:after="0" w:afterAutospacing="0" w:line="240" w:lineRule="auto"/>
                    <w:ind w:left="0" w:leftChars="0" w:right="0"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设置方式</w:t>
                  </w:r>
                </w:p>
              </w:tc>
              <w:tc>
                <w:tcPr>
                  <w:tcW w:w="2962" w:type="dxa"/>
                  <w:tcBorders>
                    <w:tl2br w:val="nil"/>
                    <w:tr2bl w:val="nil"/>
                  </w:tcBorders>
                  <w:vAlign w:val="center"/>
                </w:tcPr>
                <w:p w14:paraId="52EBB5D1">
                  <w:pPr>
                    <w:pStyle w:val="110"/>
                    <w:keepNext w:val="0"/>
                    <w:keepLines w:val="0"/>
                    <w:suppressLineNumbers w:val="0"/>
                    <w:snapToGrid w:val="0"/>
                    <w:spacing w:before="0" w:beforeAutospacing="0" w:after="0" w:afterAutospacing="0" w:line="240" w:lineRule="auto"/>
                    <w:ind w:left="0" w:right="0" w:firstLine="315" w:firstLineChars="15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炉窑类别</w:t>
                  </w:r>
                </w:p>
              </w:tc>
              <w:tc>
                <w:tcPr>
                  <w:tcW w:w="2442" w:type="dxa"/>
                  <w:tcBorders>
                    <w:tl2br w:val="nil"/>
                    <w:tr2bl w:val="nil"/>
                  </w:tcBorders>
                  <w:vAlign w:val="center"/>
                </w:tcPr>
                <w:p w14:paraId="136AE4CE">
                  <w:pPr>
                    <w:pStyle w:val="110"/>
                    <w:keepNext w:val="0"/>
                    <w:keepLines w:val="0"/>
                    <w:suppressLineNumbers w:val="0"/>
                    <w:snapToGrid w:val="0"/>
                    <w:spacing w:before="0" w:beforeAutospacing="0" w:after="0" w:afterAutospacing="0" w:line="240" w:lineRule="auto"/>
                    <w:ind w:left="0" w:right="0" w:firstLine="315" w:firstLineChars="15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无组织排放烟（粉）尘最高允许浓度（mg/m</w:t>
                  </w:r>
                  <w:r>
                    <w:rPr>
                      <w:rFonts w:hint="default" w:ascii="Times New Roman" w:hAnsi="Times New Roman" w:eastAsia="宋体" w:cs="Times New Roman"/>
                      <w:color w:val="000000" w:themeColor="text1"/>
                      <w:kern w:val="2"/>
                      <w:sz w:val="21"/>
                      <w:szCs w:val="21"/>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p>
              </w:tc>
            </w:tr>
            <w:tr w14:paraId="45972B2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cantSplit/>
                <w:trHeight w:val="90" w:hRule="atLeast"/>
                <w:jc w:val="center"/>
              </w:trPr>
              <w:tc>
                <w:tcPr>
                  <w:tcW w:w="2555" w:type="dxa"/>
                  <w:tcBorders>
                    <w:tl2br w:val="nil"/>
                    <w:tr2bl w:val="nil"/>
                  </w:tcBorders>
                  <w:vAlign w:val="center"/>
                </w:tcPr>
                <w:p w14:paraId="386C79B7">
                  <w:pPr>
                    <w:pStyle w:val="110"/>
                    <w:keepNext w:val="0"/>
                    <w:keepLines w:val="0"/>
                    <w:suppressLineNumbers w:val="0"/>
                    <w:snapToGrid w:val="0"/>
                    <w:spacing w:before="0" w:beforeAutospacing="0" w:after="0" w:afterAutospacing="0" w:line="240" w:lineRule="auto"/>
                    <w:ind w:left="0" w:right="0" w:firstLine="315" w:firstLineChars="15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有车间厂房</w:t>
                  </w:r>
                </w:p>
              </w:tc>
              <w:tc>
                <w:tcPr>
                  <w:tcW w:w="2962" w:type="dxa"/>
                  <w:tcBorders>
                    <w:tl2br w:val="nil"/>
                    <w:tr2bl w:val="nil"/>
                  </w:tcBorders>
                  <w:vAlign w:val="center"/>
                </w:tcPr>
                <w:p w14:paraId="3E2B4CD4">
                  <w:pPr>
                    <w:pStyle w:val="110"/>
                    <w:keepNext w:val="0"/>
                    <w:keepLines w:val="0"/>
                    <w:suppressLineNumbers w:val="0"/>
                    <w:snapToGrid w:val="0"/>
                    <w:spacing w:before="0" w:beforeAutospacing="0" w:after="0" w:afterAutospacing="0" w:line="240" w:lineRule="auto"/>
                    <w:ind w:left="0" w:right="0" w:firstLine="315" w:firstLineChars="15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其他炉窑</w:t>
                  </w:r>
                </w:p>
              </w:tc>
              <w:tc>
                <w:tcPr>
                  <w:tcW w:w="2442" w:type="dxa"/>
                  <w:tcBorders>
                    <w:tl2br w:val="nil"/>
                    <w:tr2bl w:val="nil"/>
                  </w:tcBorders>
                  <w:vAlign w:val="center"/>
                </w:tcPr>
                <w:p w14:paraId="4966E1FA">
                  <w:pPr>
                    <w:pStyle w:val="110"/>
                    <w:keepNext w:val="0"/>
                    <w:keepLines w:val="0"/>
                    <w:suppressLineNumbers w:val="0"/>
                    <w:snapToGrid w:val="0"/>
                    <w:spacing w:before="0" w:beforeAutospacing="0" w:after="0" w:afterAutospacing="0" w:line="240" w:lineRule="auto"/>
                    <w:ind w:left="0" w:right="0" w:firstLine="315" w:firstLineChars="15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5</w:t>
                  </w:r>
                </w:p>
              </w:tc>
            </w:tr>
          </w:tbl>
          <w:p w14:paraId="2FE604E7">
            <w:pPr>
              <w:keepNext w:val="0"/>
              <w:keepLines w:val="0"/>
              <w:suppressLineNumbers w:val="0"/>
              <w:adjustRightInd w:val="0"/>
              <w:snapToGrid w:val="0"/>
              <w:spacing w:before="0" w:beforeAutospacing="0" w:after="0" w:afterAutospacing="0" w:line="500" w:lineRule="exact"/>
              <w:ind w:left="0" w:right="0" w:firstLine="482" w:firstLineChars="200"/>
              <w:textAlignment w:val="center"/>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2、噪声</w:t>
            </w:r>
          </w:p>
          <w:p w14:paraId="5CC5809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kern w:val="2"/>
                <w:sz w:val="24"/>
                <w:szCs w:val="24"/>
                <w:highlight w:val="none"/>
                <w:lang w:val="en-US" w:eastAsia="zh-CN" w:bidi="ar-SA"/>
              </w:rPr>
            </w:pPr>
            <w:r>
              <w:rPr>
                <w:rFonts w:hint="default" w:ascii="Times New Roman" w:hAnsi="Times New Roman" w:eastAsia="宋体" w:cs="Times New Roman"/>
                <w:bCs/>
                <w:kern w:val="2"/>
                <w:sz w:val="24"/>
                <w:szCs w:val="24"/>
                <w:highlight w:val="none"/>
                <w:lang w:val="en-US" w:eastAsia="zh-CN" w:bidi="ar-SA"/>
              </w:rPr>
              <w:t>施工期场界噪声执行《</w:t>
            </w:r>
            <w:r>
              <w:rPr>
                <w:rFonts w:hint="eastAsia" w:cs="Times New Roman"/>
                <w:bCs/>
                <w:kern w:val="2"/>
                <w:sz w:val="24"/>
                <w:szCs w:val="24"/>
                <w:highlight w:val="none"/>
                <w:lang w:val="en-US" w:eastAsia="zh-CN" w:bidi="ar-SA"/>
              </w:rPr>
              <w:t>建筑施工噪声排放标准</w:t>
            </w:r>
            <w:r>
              <w:rPr>
                <w:rFonts w:hint="default" w:ascii="Times New Roman" w:hAnsi="Times New Roman" w:eastAsia="宋体" w:cs="Times New Roman"/>
                <w:bCs/>
                <w:kern w:val="2"/>
                <w:sz w:val="24"/>
                <w:szCs w:val="24"/>
                <w:highlight w:val="none"/>
                <w:lang w:val="en-US" w:eastAsia="zh-CN" w:bidi="ar-SA"/>
              </w:rPr>
              <w:t>》</w:t>
            </w:r>
            <w:r>
              <w:rPr>
                <w:rFonts w:hint="eastAsia" w:cs="Times New Roman"/>
                <w:bCs/>
                <w:kern w:val="2"/>
                <w:sz w:val="24"/>
                <w:szCs w:val="24"/>
                <w:highlight w:val="none"/>
                <w:lang w:val="en-US" w:eastAsia="zh-CN" w:bidi="ar-SA"/>
              </w:rPr>
              <w:t>（GB12523-2025）</w:t>
            </w:r>
            <w:r>
              <w:rPr>
                <w:rFonts w:hint="default" w:ascii="Times New Roman" w:hAnsi="Times New Roman" w:eastAsia="宋体" w:cs="Times New Roman"/>
                <w:bCs/>
                <w:kern w:val="2"/>
                <w:sz w:val="24"/>
                <w:szCs w:val="24"/>
                <w:highlight w:val="none"/>
                <w:lang w:val="en-US" w:eastAsia="zh-CN" w:bidi="ar-SA"/>
              </w:rPr>
              <w:t>。运营期厂界噪声执行《工业企业厂界环境噪声排放标准》（GB12348-2008）中2类标准。标准值见表3-</w:t>
            </w:r>
            <w:r>
              <w:rPr>
                <w:rFonts w:hint="eastAsia" w:cs="Times New Roman"/>
                <w:bCs/>
                <w:kern w:val="2"/>
                <w:sz w:val="24"/>
                <w:szCs w:val="24"/>
                <w:highlight w:val="none"/>
                <w:lang w:val="en-US" w:eastAsia="zh-CN" w:bidi="ar-SA"/>
              </w:rPr>
              <w:t>9</w:t>
            </w:r>
            <w:r>
              <w:rPr>
                <w:rFonts w:hint="default" w:ascii="Times New Roman" w:hAnsi="Times New Roman" w:eastAsia="宋体" w:cs="Times New Roman"/>
                <w:bCs/>
                <w:kern w:val="2"/>
                <w:sz w:val="24"/>
                <w:szCs w:val="24"/>
                <w:highlight w:val="none"/>
                <w:lang w:val="en-US" w:eastAsia="zh-CN" w:bidi="ar-SA"/>
              </w:rPr>
              <w:t>。</w:t>
            </w:r>
          </w:p>
          <w:p w14:paraId="22A0DF22">
            <w:pPr>
              <w:keepNext w:val="0"/>
              <w:keepLines w:val="0"/>
              <w:suppressLineNumbers w:val="0"/>
              <w:adjustRightInd w:val="0"/>
              <w:snapToGrid w:val="0"/>
              <w:spacing w:before="0" w:beforeAutospacing="0" w:after="0" w:afterAutospacing="0"/>
              <w:ind w:left="0" w:right="0" w:firstLine="422" w:firstLineChars="20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kern w:val="2"/>
                <w:sz w:val="21"/>
                <w:szCs w:val="21"/>
                <w:highlight w:val="none"/>
                <w:lang w:val="en-US" w:eastAsia="zh-CN" w:bidi="ar-SA"/>
              </w:rPr>
              <w:t>表3-</w:t>
            </w:r>
            <w:r>
              <w:rPr>
                <w:rFonts w:hint="eastAsia" w:cs="Times New Roman"/>
                <w:b/>
                <w:bCs/>
                <w:kern w:val="2"/>
                <w:sz w:val="21"/>
                <w:szCs w:val="21"/>
                <w:highlight w:val="none"/>
                <w:lang w:val="en-US" w:eastAsia="zh-CN" w:bidi="ar-SA"/>
              </w:rPr>
              <w:t>9</w:t>
            </w:r>
            <w:r>
              <w:rPr>
                <w:rFonts w:hint="default" w:ascii="Times New Roman" w:hAnsi="Times New Roman" w:eastAsia="宋体" w:cs="Times New Roman"/>
                <w:b/>
                <w:bCs/>
                <w:kern w:val="2"/>
                <w:sz w:val="21"/>
                <w:szCs w:val="21"/>
                <w:highlight w:val="none"/>
                <w:lang w:val="en-US" w:eastAsia="zh-CN" w:bidi="ar-SA"/>
              </w:rPr>
              <w:t xml:space="preserve"> </w:t>
            </w:r>
            <w:r>
              <w:rPr>
                <w:rFonts w:hint="default" w:ascii="Times New Roman" w:hAnsi="Times New Roman" w:eastAsia="宋体" w:cs="Times New Roman"/>
                <w:b/>
                <w:bCs/>
                <w:color w:val="auto"/>
                <w:kern w:val="2"/>
                <w:sz w:val="21"/>
                <w:szCs w:val="21"/>
                <w:highlight w:val="none"/>
                <w:lang w:val="en-US" w:eastAsia="zh-CN" w:bidi="ar-SA"/>
              </w:rPr>
              <w:t>噪声执行标准值一览表</w:t>
            </w:r>
          </w:p>
          <w:tbl>
            <w:tblPr>
              <w:tblStyle w:val="35"/>
              <w:tblW w:w="4996"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2122"/>
              <w:gridCol w:w="1240"/>
              <w:gridCol w:w="1118"/>
              <w:gridCol w:w="1191"/>
              <w:gridCol w:w="1261"/>
            </w:tblGrid>
            <w:tr w14:paraId="49F4D4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650" w:type="pct"/>
                  <w:vMerge w:val="restart"/>
                  <w:tcBorders>
                    <w:tl2br w:val="nil"/>
                    <w:tr2bl w:val="nil"/>
                  </w:tcBorders>
                  <w:noWrap w:val="0"/>
                  <w:vAlign w:val="center"/>
                </w:tcPr>
                <w:p w14:paraId="04EEF5D6">
                  <w:pPr>
                    <w:keepNext w:val="0"/>
                    <w:keepLines w:val="0"/>
                    <w:suppressLineNumbers w:val="0"/>
                    <w:spacing w:before="0" w:beforeAutospacing="0" w:after="0" w:afterAutospacing="0" w:line="360" w:lineRule="exact"/>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时段</w:t>
                  </w:r>
                </w:p>
              </w:tc>
              <w:tc>
                <w:tcPr>
                  <w:tcW w:w="1331" w:type="pct"/>
                  <w:vMerge w:val="restart"/>
                  <w:tcBorders>
                    <w:tl2br w:val="nil"/>
                    <w:tr2bl w:val="nil"/>
                  </w:tcBorders>
                  <w:noWrap w:val="0"/>
                  <w:vAlign w:val="center"/>
                </w:tcPr>
                <w:p w14:paraId="6F385380">
                  <w:pPr>
                    <w:keepNext w:val="0"/>
                    <w:keepLines w:val="0"/>
                    <w:suppressLineNumbers w:val="0"/>
                    <w:spacing w:before="0" w:beforeAutospacing="0" w:after="0" w:afterAutospacing="0" w:line="360" w:lineRule="exact"/>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声源类型</w:t>
                  </w:r>
                </w:p>
              </w:tc>
              <w:tc>
                <w:tcPr>
                  <w:tcW w:w="3018" w:type="pct"/>
                  <w:gridSpan w:val="4"/>
                  <w:tcBorders>
                    <w:tl2br w:val="nil"/>
                    <w:tr2bl w:val="nil"/>
                  </w:tcBorders>
                  <w:noWrap w:val="0"/>
                  <w:vAlign w:val="center"/>
                </w:tcPr>
                <w:p w14:paraId="04D43183">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标准限值</w:t>
                  </w:r>
                </w:p>
              </w:tc>
            </w:tr>
            <w:tr w14:paraId="77A1A3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650" w:type="pct"/>
                  <w:vMerge w:val="continue"/>
                  <w:tcBorders>
                    <w:tl2br w:val="nil"/>
                    <w:tr2bl w:val="nil"/>
                  </w:tcBorders>
                  <w:noWrap w:val="0"/>
                  <w:vAlign w:val="center"/>
                </w:tcPr>
                <w:p w14:paraId="1DE0521F">
                  <w:pPr>
                    <w:keepNext w:val="0"/>
                    <w:keepLines w:val="0"/>
                    <w:suppressLineNumbers w:val="0"/>
                    <w:spacing w:before="0" w:beforeAutospacing="0" w:after="0" w:afterAutospacing="0" w:line="360" w:lineRule="exact"/>
                    <w:ind w:left="0" w:right="0"/>
                    <w:jc w:val="center"/>
                    <w:rPr>
                      <w:rFonts w:hint="default" w:ascii="Times New Roman" w:hAnsi="Times New Roman" w:cs="Times New Roman"/>
                      <w:color w:val="000000"/>
                      <w:sz w:val="21"/>
                      <w:szCs w:val="21"/>
                      <w:highlight w:val="none"/>
                    </w:rPr>
                  </w:pPr>
                </w:p>
              </w:tc>
              <w:tc>
                <w:tcPr>
                  <w:tcW w:w="1331" w:type="pct"/>
                  <w:vMerge w:val="continue"/>
                  <w:tcBorders>
                    <w:tl2br w:val="nil"/>
                    <w:tr2bl w:val="nil"/>
                  </w:tcBorders>
                  <w:noWrap w:val="0"/>
                  <w:vAlign w:val="center"/>
                </w:tcPr>
                <w:p w14:paraId="2EC82B2E">
                  <w:pPr>
                    <w:keepNext w:val="0"/>
                    <w:keepLines w:val="0"/>
                    <w:suppressLineNumbers w:val="0"/>
                    <w:spacing w:before="0" w:beforeAutospacing="0" w:after="0" w:afterAutospacing="0" w:line="360" w:lineRule="exact"/>
                    <w:ind w:left="0" w:right="0"/>
                    <w:jc w:val="center"/>
                    <w:rPr>
                      <w:rFonts w:hint="default" w:ascii="Times New Roman" w:hAnsi="Times New Roman" w:cs="Times New Roman"/>
                      <w:color w:val="000000"/>
                      <w:sz w:val="21"/>
                      <w:szCs w:val="21"/>
                      <w:highlight w:val="none"/>
                    </w:rPr>
                  </w:pPr>
                </w:p>
              </w:tc>
              <w:tc>
                <w:tcPr>
                  <w:tcW w:w="1479" w:type="pct"/>
                  <w:gridSpan w:val="2"/>
                  <w:tcBorders>
                    <w:tl2br w:val="nil"/>
                    <w:tr2bl w:val="nil"/>
                  </w:tcBorders>
                  <w:noWrap w:val="0"/>
                  <w:vAlign w:val="center"/>
                </w:tcPr>
                <w:p w14:paraId="78EDCB31">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昼间</w:t>
                  </w:r>
                </w:p>
              </w:tc>
              <w:tc>
                <w:tcPr>
                  <w:tcW w:w="1538" w:type="pct"/>
                  <w:gridSpan w:val="2"/>
                  <w:tcBorders>
                    <w:tl2br w:val="nil"/>
                    <w:tr2bl w:val="nil"/>
                  </w:tcBorders>
                  <w:noWrap w:val="0"/>
                  <w:vAlign w:val="center"/>
                </w:tcPr>
                <w:p w14:paraId="2AF31206">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夜间</w:t>
                  </w:r>
                </w:p>
              </w:tc>
            </w:tr>
            <w:tr w14:paraId="64C5F7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650" w:type="pct"/>
                  <w:tcBorders>
                    <w:tl2br w:val="nil"/>
                    <w:tr2bl w:val="nil"/>
                  </w:tcBorders>
                  <w:noWrap w:val="0"/>
                  <w:vAlign w:val="center"/>
                </w:tcPr>
                <w:p w14:paraId="1C570A46">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施工期</w:t>
                  </w:r>
                </w:p>
              </w:tc>
              <w:tc>
                <w:tcPr>
                  <w:tcW w:w="1331" w:type="pct"/>
                  <w:tcBorders>
                    <w:tl2br w:val="nil"/>
                    <w:tr2bl w:val="nil"/>
                  </w:tcBorders>
                  <w:noWrap w:val="0"/>
                  <w:vAlign w:val="center"/>
                </w:tcPr>
                <w:p w14:paraId="206AF64E">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lang w:val="en-US" w:eastAsia="zh-CN"/>
                    </w:rPr>
                    <w:t>场界</w:t>
                  </w:r>
                  <w:r>
                    <w:rPr>
                      <w:rFonts w:hint="default" w:ascii="Times New Roman" w:hAnsi="Times New Roman" w:cs="Times New Roman"/>
                      <w:color w:val="000000"/>
                      <w:sz w:val="21"/>
                      <w:szCs w:val="21"/>
                      <w:highlight w:val="none"/>
                    </w:rPr>
                    <w:t>噪声</w:t>
                  </w:r>
                </w:p>
              </w:tc>
              <w:tc>
                <w:tcPr>
                  <w:tcW w:w="778" w:type="pct"/>
                  <w:tcBorders>
                    <w:tl2br w:val="nil"/>
                    <w:tr2bl w:val="nil"/>
                  </w:tcBorders>
                  <w:noWrap w:val="0"/>
                  <w:vAlign w:val="center"/>
                </w:tcPr>
                <w:p w14:paraId="7818B51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cs="Times New Roman"/>
                      <w:color w:val="000000"/>
                      <w:sz w:val="21"/>
                      <w:szCs w:val="21"/>
                      <w:highlight w:val="none"/>
                      <w:lang w:val="en-US" w:eastAsia="zh-CN"/>
                    </w:rPr>
                    <w:t>/</w:t>
                  </w:r>
                </w:p>
              </w:tc>
              <w:tc>
                <w:tcPr>
                  <w:tcW w:w="701" w:type="pct"/>
                  <w:tcBorders>
                    <w:tl2br w:val="nil"/>
                    <w:tr2bl w:val="nil"/>
                  </w:tcBorders>
                  <w:noWrap w:val="0"/>
                  <w:vAlign w:val="center"/>
                </w:tcPr>
                <w:p w14:paraId="3957339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70</w:t>
                  </w:r>
                </w:p>
              </w:tc>
              <w:tc>
                <w:tcPr>
                  <w:tcW w:w="747" w:type="pct"/>
                  <w:tcBorders>
                    <w:tl2br w:val="nil"/>
                    <w:tr2bl w:val="nil"/>
                  </w:tcBorders>
                  <w:noWrap w:val="0"/>
                  <w:vAlign w:val="center"/>
                </w:tcPr>
                <w:p w14:paraId="48C6CA7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cs="Times New Roman"/>
                      <w:color w:val="000000"/>
                      <w:sz w:val="21"/>
                      <w:szCs w:val="21"/>
                      <w:highlight w:val="none"/>
                      <w:lang w:val="en-US" w:eastAsia="zh-CN"/>
                    </w:rPr>
                    <w:t>/</w:t>
                  </w:r>
                </w:p>
              </w:tc>
              <w:tc>
                <w:tcPr>
                  <w:tcW w:w="791" w:type="pct"/>
                  <w:tcBorders>
                    <w:tl2br w:val="nil"/>
                    <w:tr2bl w:val="nil"/>
                  </w:tcBorders>
                  <w:noWrap w:val="0"/>
                  <w:vAlign w:val="center"/>
                </w:tcPr>
                <w:p w14:paraId="6B0EC3A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55</w:t>
                  </w:r>
                </w:p>
              </w:tc>
            </w:tr>
            <w:tr w14:paraId="6D53F6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650" w:type="pct"/>
                  <w:tcBorders>
                    <w:tl2br w:val="nil"/>
                    <w:tr2bl w:val="nil"/>
                  </w:tcBorders>
                  <w:noWrap w:val="0"/>
                  <w:vAlign w:val="center"/>
                </w:tcPr>
                <w:p w14:paraId="34C04DD7">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运营期</w:t>
                  </w:r>
                </w:p>
              </w:tc>
              <w:tc>
                <w:tcPr>
                  <w:tcW w:w="1331" w:type="pct"/>
                  <w:tcBorders>
                    <w:tl2br w:val="nil"/>
                    <w:tr2bl w:val="nil"/>
                  </w:tcBorders>
                  <w:noWrap w:val="0"/>
                  <w:vAlign w:val="center"/>
                </w:tcPr>
                <w:p w14:paraId="334E802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cs="Times New Roman"/>
                      <w:color w:val="000000"/>
                      <w:sz w:val="21"/>
                      <w:szCs w:val="21"/>
                      <w:highlight w:val="none"/>
                    </w:rPr>
                    <w:t>厂界噪声</w:t>
                  </w:r>
                </w:p>
              </w:tc>
              <w:tc>
                <w:tcPr>
                  <w:tcW w:w="778" w:type="pct"/>
                  <w:tcBorders>
                    <w:tl2br w:val="nil"/>
                    <w:tr2bl w:val="nil"/>
                  </w:tcBorders>
                  <w:noWrap w:val="0"/>
                  <w:vAlign w:val="center"/>
                </w:tcPr>
                <w:p w14:paraId="2BEF8FED">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2类区</w:t>
                  </w:r>
                </w:p>
              </w:tc>
              <w:tc>
                <w:tcPr>
                  <w:tcW w:w="701" w:type="pct"/>
                  <w:tcBorders>
                    <w:tl2br w:val="nil"/>
                    <w:tr2bl w:val="nil"/>
                  </w:tcBorders>
                  <w:noWrap w:val="0"/>
                  <w:vAlign w:val="center"/>
                </w:tcPr>
                <w:p w14:paraId="7DEA3C6D">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60</w:t>
                  </w:r>
                </w:p>
              </w:tc>
              <w:tc>
                <w:tcPr>
                  <w:tcW w:w="747" w:type="pct"/>
                  <w:tcBorders>
                    <w:tl2br w:val="nil"/>
                    <w:tr2bl w:val="nil"/>
                  </w:tcBorders>
                  <w:noWrap w:val="0"/>
                  <w:vAlign w:val="center"/>
                </w:tcPr>
                <w:p w14:paraId="548E1096">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2类区</w:t>
                  </w:r>
                </w:p>
              </w:tc>
              <w:tc>
                <w:tcPr>
                  <w:tcW w:w="791" w:type="pct"/>
                  <w:tcBorders>
                    <w:tl2br w:val="nil"/>
                    <w:tr2bl w:val="nil"/>
                  </w:tcBorders>
                  <w:noWrap w:val="0"/>
                  <w:vAlign w:val="center"/>
                </w:tcPr>
                <w:p w14:paraId="17EE4A26">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50</w:t>
                  </w:r>
                </w:p>
              </w:tc>
            </w:tr>
          </w:tbl>
          <w:p w14:paraId="382ED42E">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3</w:t>
            </w:r>
            <w:r>
              <w:rPr>
                <w:rFonts w:hint="default" w:ascii="Times New Roman" w:hAnsi="Times New Roman" w:eastAsia="宋体" w:cs="Times New Roman"/>
                <w:b/>
                <w:bCs/>
                <w:color w:val="000000" w:themeColor="text1"/>
                <w:sz w:val="24"/>
                <w:highlight w:val="none"/>
                <w14:textFill>
                  <w14:solidFill>
                    <w14:schemeClr w14:val="tx1"/>
                  </w14:solidFill>
                </w14:textFill>
              </w:rPr>
              <w:t>、固体废物</w:t>
            </w:r>
          </w:p>
          <w:p w14:paraId="5F5D60C2">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themeColor="text1"/>
                <w:kern w:val="0"/>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《一般工业固体废物贮存和填埋污染控制标准》（GB18599-2020）、《固体废物分类与代码目录》（2024</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版</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eastAsia" w:cs="Times New Roman"/>
                <w:color w:val="000000" w:themeColor="text1"/>
                <w:sz w:val="24"/>
                <w:highlight w:val="none"/>
                <w:lang w:eastAsia="zh-CN"/>
                <w14:textFill>
                  <w14:solidFill>
                    <w14:schemeClr w14:val="tx1"/>
                  </w14:solidFill>
                </w14:textFill>
              </w:rPr>
              <w:t>、《危险废物贮存污染控制标准》（GB18597-2023）。</w:t>
            </w:r>
          </w:p>
        </w:tc>
      </w:tr>
      <w:tr w14:paraId="14A0FF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35" w:hRule="atLeast"/>
          <w:jc w:val="center"/>
        </w:trPr>
        <w:tc>
          <w:tcPr>
            <w:tcW w:w="800" w:type="dxa"/>
            <w:vAlign w:val="center"/>
          </w:tcPr>
          <w:p w14:paraId="3B2D47A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总量</w:t>
            </w:r>
          </w:p>
          <w:p w14:paraId="2E68B52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控制</w:t>
            </w:r>
          </w:p>
          <w:p w14:paraId="005914D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指标</w:t>
            </w:r>
          </w:p>
        </w:tc>
        <w:tc>
          <w:tcPr>
            <w:tcW w:w="8190" w:type="dxa"/>
            <w:vAlign w:val="center"/>
          </w:tcPr>
          <w:p w14:paraId="08995042">
            <w:pPr>
              <w:pStyle w:val="127"/>
              <w:keepNext w:val="0"/>
              <w:keepLines w:val="0"/>
              <w:suppressLineNumbers w:val="0"/>
              <w:spacing w:before="0" w:beforeAutospacing="0" w:after="0" w:afterAutospacing="0"/>
              <w:ind w:left="0" w:right="0" w:firstLine="480"/>
              <w:jc w:val="both"/>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根据《关于做好 “十四五”主要污染物总量减排工作的通知》黑环办发[2021]79号文件，本项目总量控制指标</w:t>
            </w:r>
            <w:r>
              <w:rPr>
                <w:rFonts w:hint="eastAsia" w:cs="Times New Roman"/>
                <w:sz w:val="24"/>
                <w:szCs w:val="24"/>
                <w:highlight w:val="none"/>
                <w:lang w:val="en-US" w:eastAsia="zh-CN"/>
              </w:rPr>
              <w:t>如下</w:t>
            </w:r>
            <w:r>
              <w:rPr>
                <w:rFonts w:hint="eastAsia" w:ascii="Times New Roman" w:hAnsi="Times New Roman" w:eastAsia="宋体" w:cs="Times New Roman"/>
                <w:sz w:val="24"/>
                <w:szCs w:val="24"/>
                <w:highlight w:val="none"/>
                <w:lang w:val="en-US" w:eastAsia="zh-CN"/>
              </w:rPr>
              <w:t>。</w:t>
            </w:r>
          </w:p>
          <w:p w14:paraId="5E1F8AF3">
            <w:pPr>
              <w:keepNext w:val="0"/>
              <w:keepLines w:val="0"/>
              <w:suppressLineNumbers w:val="0"/>
              <w:spacing w:before="0" w:beforeAutospacing="0" w:after="0" w:afterAutospacing="0"/>
              <w:ind w:left="0" w:right="0"/>
              <w:jc w:val="center"/>
              <w:rPr>
                <w:rFonts w:hint="eastAsia" w:eastAsia="宋体"/>
                <w:b/>
                <w:bCs/>
                <w:color w:val="000000"/>
                <w:highlight w:val="none"/>
                <w:lang w:eastAsia="zh-CN"/>
              </w:rPr>
            </w:pPr>
            <w:r>
              <w:rPr>
                <w:rFonts w:hint="default"/>
                <w:b/>
                <w:bCs/>
                <w:color w:val="000000"/>
                <w:highlight w:val="none"/>
              </w:rPr>
              <w:t>表3-</w:t>
            </w:r>
            <w:r>
              <w:rPr>
                <w:rFonts w:hint="eastAsia"/>
                <w:b/>
                <w:bCs/>
                <w:color w:val="000000"/>
                <w:highlight w:val="none"/>
                <w:lang w:val="en-US" w:eastAsia="zh-CN"/>
              </w:rPr>
              <w:t>10</w:t>
            </w:r>
            <w:r>
              <w:rPr>
                <w:rFonts w:hint="default"/>
                <w:b/>
                <w:bCs/>
                <w:color w:val="000000"/>
                <w:highlight w:val="none"/>
              </w:rPr>
              <w:t xml:space="preserve"> 总量控制表 单位：t/a</w:t>
            </w:r>
          </w:p>
          <w:tbl>
            <w:tblPr>
              <w:tblStyle w:val="35"/>
              <w:tblW w:w="461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316"/>
              <w:gridCol w:w="4041"/>
            </w:tblGrid>
            <w:tr w14:paraId="5DA84E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253" w:type="pct"/>
                  <w:noWrap w:val="0"/>
                  <w:vAlign w:val="center"/>
                </w:tcPr>
                <w:p w14:paraId="1B652D56">
                  <w:pPr>
                    <w:keepNext w:val="0"/>
                    <w:keepLines w:val="0"/>
                    <w:suppressLineNumbers w:val="0"/>
                    <w:spacing w:before="0" w:beforeAutospacing="0" w:after="0" w:afterAutospacing="0"/>
                    <w:ind w:left="0" w:right="0"/>
                    <w:jc w:val="center"/>
                    <w:rPr>
                      <w:rFonts w:hint="eastAsia" w:eastAsia="宋体"/>
                      <w:b/>
                      <w:bCs/>
                      <w:color w:val="000000"/>
                      <w:sz w:val="21"/>
                      <w:szCs w:val="21"/>
                      <w:highlight w:val="none"/>
                      <w:lang w:val="en-US" w:eastAsia="zh-CN"/>
                    </w:rPr>
                  </w:pPr>
                  <w:r>
                    <w:rPr>
                      <w:rFonts w:hint="eastAsia"/>
                      <w:b/>
                      <w:bCs/>
                      <w:color w:val="000000"/>
                      <w:sz w:val="21"/>
                      <w:szCs w:val="21"/>
                      <w:highlight w:val="none"/>
                      <w:lang w:val="en-US" w:eastAsia="zh-CN"/>
                    </w:rPr>
                    <w:t>污染物</w:t>
                  </w:r>
                </w:p>
              </w:tc>
              <w:tc>
                <w:tcPr>
                  <w:tcW w:w="2746" w:type="pct"/>
                  <w:noWrap w:val="0"/>
                  <w:vAlign w:val="center"/>
                </w:tcPr>
                <w:p w14:paraId="121F473B">
                  <w:pPr>
                    <w:keepNext w:val="0"/>
                    <w:keepLines w:val="0"/>
                    <w:suppressLineNumbers w:val="0"/>
                    <w:spacing w:before="0" w:beforeAutospacing="0" w:after="0" w:afterAutospacing="0"/>
                    <w:ind w:left="0" w:right="0"/>
                    <w:jc w:val="center"/>
                    <w:rPr>
                      <w:rFonts w:hint="default"/>
                      <w:b/>
                      <w:bCs/>
                      <w:color w:val="auto"/>
                      <w:sz w:val="21"/>
                      <w:szCs w:val="21"/>
                      <w:highlight w:val="none"/>
                    </w:rPr>
                  </w:pPr>
                  <w:r>
                    <w:rPr>
                      <w:rFonts w:hint="default"/>
                      <w:b/>
                      <w:bCs/>
                      <w:color w:val="auto"/>
                      <w:sz w:val="21"/>
                      <w:szCs w:val="21"/>
                      <w:highlight w:val="none"/>
                    </w:rPr>
                    <w:t>预测排放量</w:t>
                  </w:r>
                </w:p>
              </w:tc>
            </w:tr>
            <w:tr w14:paraId="19769C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253" w:type="pct"/>
                  <w:noWrap w:val="0"/>
                  <w:vAlign w:val="center"/>
                </w:tcPr>
                <w:p w14:paraId="18DD6E6B">
                  <w:pPr>
                    <w:pStyle w:val="55"/>
                    <w:keepNext w:val="0"/>
                    <w:keepLines w:val="0"/>
                    <w:suppressLineNumbers w:val="0"/>
                    <w:spacing w:before="0" w:beforeLines="0" w:beforeAutospacing="0" w:after="0" w:afterLines="0" w:afterAutospacing="0" w:line="240" w:lineRule="auto"/>
                    <w:ind w:left="0" w:leftChars="0" w:right="0" w:rightChars="0"/>
                    <w:rPr>
                      <w:rFonts w:hint="default"/>
                      <w:b w:val="0"/>
                      <w:bCs w:val="0"/>
                      <w:color w:val="000000"/>
                      <w:sz w:val="21"/>
                      <w:szCs w:val="21"/>
                      <w:highlight w:val="none"/>
                      <w:lang w:val="zh-CN"/>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颗粒物</w:t>
                  </w:r>
                </w:p>
              </w:tc>
              <w:tc>
                <w:tcPr>
                  <w:tcW w:w="2746" w:type="pct"/>
                  <w:noWrap w:val="0"/>
                  <w:vAlign w:val="center"/>
                </w:tcPr>
                <w:p w14:paraId="23FAFE9C">
                  <w:pPr>
                    <w:keepNext w:val="0"/>
                    <w:keepLines w:val="0"/>
                    <w:suppressLineNumbers w:val="0"/>
                    <w:spacing w:before="0" w:beforeAutospacing="0" w:after="0" w:afterAutospacing="0" w:line="0" w:lineRule="atLeast"/>
                    <w:ind w:left="0" w:right="0"/>
                    <w:jc w:val="center"/>
                    <w:rPr>
                      <w:rFonts w:hint="default"/>
                      <w:b w:val="0"/>
                      <w:bCs w:val="0"/>
                      <w:color w:val="auto"/>
                      <w:sz w:val="21"/>
                      <w:szCs w:val="21"/>
                      <w:highlight w:val="none"/>
                      <w:lang w:val="en-US" w:eastAsia="zh-CN"/>
                    </w:rPr>
                  </w:pPr>
                  <w:r>
                    <w:rPr>
                      <w:rFonts w:hint="eastAsia" w:cs="Times New Roman"/>
                      <w:color w:val="000000" w:themeColor="text1"/>
                      <w:highlight w:val="none"/>
                      <w:lang w:val="en-US" w:eastAsia="zh-CN"/>
                      <w14:textFill>
                        <w14:solidFill>
                          <w14:schemeClr w14:val="tx1"/>
                        </w14:solidFill>
                      </w14:textFill>
                    </w:rPr>
                    <w:t>0.29</w:t>
                  </w:r>
                </w:p>
              </w:tc>
            </w:tr>
            <w:tr w14:paraId="0DBB7D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253" w:type="pct"/>
                  <w:noWrap w:val="0"/>
                  <w:vAlign w:val="center"/>
                </w:tcPr>
                <w:p w14:paraId="03969CBC">
                  <w:pPr>
                    <w:pStyle w:val="55"/>
                    <w:keepNext w:val="0"/>
                    <w:keepLines w:val="0"/>
                    <w:suppressLineNumbers w:val="0"/>
                    <w:spacing w:before="0" w:beforeLines="0" w:beforeAutospacing="0" w:after="0" w:afterLines="0" w:afterAutospacing="0" w:line="240" w:lineRule="auto"/>
                    <w:ind w:left="0" w:leftChars="0" w:right="0" w:rightChars="0"/>
                    <w:rPr>
                      <w:rFonts w:hint="default"/>
                      <w:b w:val="0"/>
                      <w:bCs w:val="0"/>
                      <w:color w:val="000000" w:themeColor="text1"/>
                      <w:sz w:val="21"/>
                      <w:szCs w:val="21"/>
                      <w:highlight w:val="none"/>
                      <w:lang w:val="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SO</w:t>
                  </w:r>
                  <w:r>
                    <w:rPr>
                      <w:rFonts w:hint="default" w:ascii="Times New Roman" w:hAnsi="Times New Roman" w:eastAsia="宋体" w:cs="Times New Roman"/>
                      <w:color w:val="000000" w:themeColor="text1"/>
                      <w:sz w:val="21"/>
                      <w:szCs w:val="21"/>
                      <w:highlight w:val="none"/>
                      <w:vertAlign w:val="subscript"/>
                      <w:lang w:bidi="ar"/>
                      <w14:textFill>
                        <w14:solidFill>
                          <w14:schemeClr w14:val="tx1"/>
                        </w14:solidFill>
                      </w14:textFill>
                    </w:rPr>
                    <w:t>2</w:t>
                  </w:r>
                </w:p>
              </w:tc>
              <w:tc>
                <w:tcPr>
                  <w:tcW w:w="2746" w:type="pct"/>
                  <w:noWrap w:val="0"/>
                  <w:vAlign w:val="center"/>
                </w:tcPr>
                <w:p w14:paraId="22936A0D">
                  <w:pPr>
                    <w:keepNext w:val="0"/>
                    <w:keepLines w:val="0"/>
                    <w:suppressLineNumbers w:val="0"/>
                    <w:spacing w:before="0" w:beforeAutospacing="0" w:after="0" w:afterAutospacing="0" w:line="0" w:lineRule="atLeast"/>
                    <w:ind w:left="0" w:right="0"/>
                    <w:jc w:val="center"/>
                    <w:rPr>
                      <w:rFonts w:hint="default"/>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1.07</w:t>
                  </w:r>
                </w:p>
              </w:tc>
            </w:tr>
            <w:tr w14:paraId="4381D4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253" w:type="pct"/>
                  <w:noWrap w:val="0"/>
                  <w:vAlign w:val="center"/>
                </w:tcPr>
                <w:p w14:paraId="6E32518E">
                  <w:pPr>
                    <w:pStyle w:val="55"/>
                    <w:keepNext w:val="0"/>
                    <w:keepLines w:val="0"/>
                    <w:suppressLineNumbers w:val="0"/>
                    <w:spacing w:before="0" w:beforeLines="0" w:beforeAutospacing="0" w:after="0" w:afterLines="0" w:afterAutospacing="0" w:line="240" w:lineRule="auto"/>
                    <w:ind w:left="0" w:leftChars="0" w:right="0" w:rightChars="0"/>
                    <w:rPr>
                      <w:rFonts w:hint="default"/>
                      <w:b w:val="0"/>
                      <w:bCs w:val="0"/>
                      <w:color w:val="000000" w:themeColor="text1"/>
                      <w:sz w:val="21"/>
                      <w:szCs w:val="21"/>
                      <w:highlight w:val="none"/>
                      <w:lang w:val="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bidi="ar"/>
                      <w14:textFill>
                        <w14:solidFill>
                          <w14:schemeClr w14:val="tx1"/>
                        </w14:solidFill>
                      </w14:textFill>
                    </w:rPr>
                    <w:t>NO</w:t>
                  </w:r>
                  <w:r>
                    <w:rPr>
                      <w:rFonts w:hint="default" w:ascii="Times New Roman" w:hAnsi="Times New Roman" w:eastAsia="宋体" w:cs="Times New Roman"/>
                      <w:color w:val="000000" w:themeColor="text1"/>
                      <w:sz w:val="21"/>
                      <w:szCs w:val="21"/>
                      <w:highlight w:val="none"/>
                      <w:vertAlign w:val="subscript"/>
                      <w:lang w:bidi="ar"/>
                      <w14:textFill>
                        <w14:solidFill>
                          <w14:schemeClr w14:val="tx1"/>
                        </w14:solidFill>
                      </w14:textFill>
                    </w:rPr>
                    <w:t>X</w:t>
                  </w:r>
                </w:p>
              </w:tc>
              <w:tc>
                <w:tcPr>
                  <w:tcW w:w="2746" w:type="pct"/>
                  <w:noWrap w:val="0"/>
                  <w:vAlign w:val="center"/>
                </w:tcPr>
                <w:p w14:paraId="1F3AC82F">
                  <w:pPr>
                    <w:keepNext w:val="0"/>
                    <w:keepLines w:val="0"/>
                    <w:suppressLineNumbers w:val="0"/>
                    <w:spacing w:before="0" w:beforeAutospacing="0" w:after="0" w:afterAutospacing="0" w:line="0" w:lineRule="atLeast"/>
                    <w:ind w:left="0" w:right="0"/>
                    <w:jc w:val="center"/>
                    <w:rPr>
                      <w:rFonts w:hint="default"/>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2.56</w:t>
                  </w:r>
                </w:p>
              </w:tc>
            </w:tr>
            <w:tr w14:paraId="451C30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253" w:type="pct"/>
                  <w:noWrap w:val="0"/>
                  <w:vAlign w:val="center"/>
                </w:tcPr>
                <w:p w14:paraId="1088EB1E">
                  <w:pPr>
                    <w:keepNext w:val="0"/>
                    <w:keepLines w:val="0"/>
                    <w:widowControl w:val="0"/>
                    <w:suppressLineNumbers w:val="0"/>
                    <w:adjustRightInd w:val="0"/>
                    <w:snapToGrid w:val="0"/>
                    <w:spacing w:before="0" w:beforeLines="0" w:beforeAutospacing="0" w:after="0" w:afterLines="0" w:afterAutospacing="0" w:line="240" w:lineRule="auto"/>
                    <w:ind w:left="0" w:leftChars="0" w:right="0" w:rightChars="0"/>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工业粉尘</w:t>
                  </w:r>
                </w:p>
              </w:tc>
              <w:tc>
                <w:tcPr>
                  <w:tcW w:w="2746" w:type="pct"/>
                  <w:noWrap w:val="0"/>
                  <w:vAlign w:val="center"/>
                </w:tcPr>
                <w:p w14:paraId="3270DFA4">
                  <w:pPr>
                    <w:keepNext w:val="0"/>
                    <w:keepLines w:val="0"/>
                    <w:suppressLineNumbers w:val="0"/>
                    <w:spacing w:before="0" w:beforeAutospacing="0" w:after="0" w:afterAutospacing="0" w:line="0" w:lineRule="atLeast"/>
                    <w:ind w:left="0" w:right="0"/>
                    <w:jc w:val="center"/>
                    <w:rPr>
                      <w:rFonts w:hint="default"/>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4.108</w:t>
                  </w:r>
                </w:p>
              </w:tc>
            </w:tr>
          </w:tbl>
          <w:p w14:paraId="497F67EB">
            <w:pPr>
              <w:keepNext w:val="0"/>
              <w:keepLines w:val="0"/>
              <w:suppressLineNumbers w:val="0"/>
              <w:spacing w:before="0" w:beforeAutospacing="0" w:after="0" w:afterAutospacing="0"/>
              <w:ind w:left="0" w:right="0"/>
              <w:jc w:val="center"/>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14:textFill>
                  <w14:solidFill>
                    <w14:schemeClr w14:val="tx1"/>
                  </w14:solidFill>
                </w14:textFill>
              </w:rPr>
              <w:t>表3-</w:t>
            </w:r>
            <w:r>
              <w:rPr>
                <w:rFonts w:hint="eastAsia"/>
                <w:b/>
                <w:bCs/>
                <w:color w:val="000000" w:themeColor="text1"/>
                <w:highlight w:val="none"/>
                <w:lang w:val="en-US" w:eastAsia="zh-CN"/>
                <w14:textFill>
                  <w14:solidFill>
                    <w14:schemeClr w14:val="tx1"/>
                  </w14:solidFill>
                </w14:textFill>
              </w:rPr>
              <w:t>11</w:t>
            </w:r>
            <w:r>
              <w:rPr>
                <w:rFonts w:hint="default"/>
                <w:b/>
                <w:bCs/>
                <w:color w:val="000000" w:themeColor="text1"/>
                <w:highlight w:val="none"/>
                <w14:textFill>
                  <w14:solidFill>
                    <w14:schemeClr w14:val="tx1"/>
                  </w14:solidFill>
                </w14:textFill>
              </w:rPr>
              <w:t xml:space="preserve"> </w:t>
            </w:r>
            <w:r>
              <w:rPr>
                <w:rFonts w:hint="default"/>
                <w:b/>
                <w:bCs/>
                <w:color w:val="000000" w:themeColor="text1"/>
                <w:highlight w:val="none"/>
                <w:lang w:val="en-US" w:eastAsia="zh-CN"/>
                <w14:textFill>
                  <w14:solidFill>
                    <w14:schemeClr w14:val="tx1"/>
                  </w14:solidFill>
                </w14:textFill>
              </w:rPr>
              <w:t>本项目扩建工程“三本账”</w:t>
            </w:r>
          </w:p>
          <w:tbl>
            <w:tblPr>
              <w:tblStyle w:val="36"/>
              <w:tblW w:w="793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71"/>
              <w:gridCol w:w="1269"/>
              <w:gridCol w:w="1176"/>
              <w:gridCol w:w="1091"/>
              <w:gridCol w:w="1150"/>
              <w:gridCol w:w="1320"/>
              <w:gridCol w:w="960"/>
            </w:tblGrid>
            <w:tr w14:paraId="4B83EA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Borders>
                    <w:tl2br w:val="nil"/>
                    <w:tr2bl w:val="nil"/>
                  </w:tcBorders>
                  <w:vAlign w:val="center"/>
                </w:tcPr>
                <w:p w14:paraId="1C727D16">
                  <w:pPr>
                    <w:pStyle w:val="130"/>
                    <w:keepNext w:val="0"/>
                    <w:keepLines w:val="0"/>
                    <w:suppressLineNumbers w:val="0"/>
                    <w:adjustRightInd w:val="0"/>
                    <w:snapToGrid w:val="0"/>
                    <w:spacing w:before="0" w:beforeAutospacing="0" w:after="0" w:afterAutospacing="0" w:line="260" w:lineRule="exact"/>
                    <w:ind w:left="0" w:right="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污染物</w:t>
                  </w:r>
                </w:p>
              </w:tc>
              <w:tc>
                <w:tcPr>
                  <w:tcW w:w="1269" w:type="dxa"/>
                  <w:tcBorders>
                    <w:tl2br w:val="nil"/>
                    <w:tr2bl w:val="nil"/>
                  </w:tcBorders>
                  <w:vAlign w:val="center"/>
                </w:tcPr>
                <w:p w14:paraId="6A490BD4">
                  <w:pPr>
                    <w:keepNext w:val="0"/>
                    <w:keepLines w:val="0"/>
                    <w:suppressLineNumbers w:val="0"/>
                    <w:adjustRightInd w:val="0"/>
                    <w:snapToGrid w:val="0"/>
                    <w:spacing w:before="0" w:beforeAutospacing="0" w:after="0" w:afterAutospacing="0" w:line="260" w:lineRule="exact"/>
                    <w:ind w:left="0" w:right="0"/>
                    <w:jc w:val="center"/>
                    <w:rPr>
                      <w:rFonts w:hint="eastAsia" w:ascii="Times New Roman" w:hAnsi="Times New Roman" w:cs="Times New Roman"/>
                      <w:bCs/>
                      <w:color w:val="000000" w:themeColor="text1"/>
                      <w:szCs w:val="21"/>
                      <w:highlight w:val="none"/>
                      <w:lang w:val="en-US" w:eastAsia="zh-CN"/>
                      <w14:textFill>
                        <w14:solidFill>
                          <w14:schemeClr w14:val="tx1"/>
                        </w14:solidFill>
                      </w14:textFill>
                    </w:rPr>
                  </w:pPr>
                  <w:r>
                    <w:rPr>
                      <w:rFonts w:hint="default" w:ascii="Times New Roman" w:hAnsi="Times New Roman" w:cs="Times New Roman"/>
                      <w:bCs/>
                      <w:color w:val="000000" w:themeColor="text1"/>
                      <w:szCs w:val="21"/>
                      <w:highlight w:val="none"/>
                      <w14:textFill>
                        <w14:solidFill>
                          <w14:schemeClr w14:val="tx1"/>
                        </w14:solidFill>
                      </w14:textFill>
                    </w:rPr>
                    <w:t>现有工程</w:t>
                  </w:r>
                  <w:r>
                    <w:rPr>
                      <w:rFonts w:hint="eastAsia" w:cs="Times New Roman"/>
                      <w:bCs/>
                      <w:color w:val="000000" w:themeColor="text1"/>
                      <w:szCs w:val="21"/>
                      <w:highlight w:val="none"/>
                      <w:lang w:val="en-US" w:eastAsia="zh-CN"/>
                      <w14:textFill>
                        <w14:solidFill>
                          <w14:schemeClr w14:val="tx1"/>
                        </w14:solidFill>
                      </w14:textFill>
                    </w:rPr>
                    <w:t>实际</w:t>
                  </w:r>
                  <w:r>
                    <w:rPr>
                      <w:rFonts w:hint="default" w:ascii="Times New Roman" w:hAnsi="Times New Roman" w:cs="Times New Roman"/>
                      <w:bCs/>
                      <w:color w:val="000000" w:themeColor="text1"/>
                      <w:szCs w:val="21"/>
                      <w:highlight w:val="none"/>
                      <w14:textFill>
                        <w14:solidFill>
                          <w14:schemeClr w14:val="tx1"/>
                        </w14:solidFill>
                      </w14:textFill>
                    </w:rPr>
                    <w:t>排放量</w:t>
                  </w:r>
                </w:p>
              </w:tc>
              <w:tc>
                <w:tcPr>
                  <w:tcW w:w="1176" w:type="dxa"/>
                  <w:tcBorders>
                    <w:tl2br w:val="nil"/>
                    <w:tr2bl w:val="nil"/>
                  </w:tcBorders>
                  <w:vAlign w:val="center"/>
                </w:tcPr>
                <w:p w14:paraId="412F34AD">
                  <w:pPr>
                    <w:keepNext w:val="0"/>
                    <w:keepLines w:val="0"/>
                    <w:suppressLineNumbers w:val="0"/>
                    <w:adjustRightInd w:val="0"/>
                    <w:snapToGrid w:val="0"/>
                    <w:spacing w:before="0" w:beforeAutospacing="0" w:after="0" w:afterAutospacing="0" w:line="260" w:lineRule="exact"/>
                    <w:ind w:left="0" w:right="0"/>
                    <w:jc w:val="center"/>
                    <w:rPr>
                      <w:rFonts w:hint="default" w:ascii="Times New Roman" w:hAnsi="Times New Roman" w:cs="Times New Roman"/>
                      <w:bCs/>
                      <w:color w:val="000000" w:themeColor="text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原环评及批复总量</w:t>
                  </w:r>
                </w:p>
              </w:tc>
              <w:tc>
                <w:tcPr>
                  <w:tcW w:w="1091" w:type="dxa"/>
                  <w:tcBorders>
                    <w:tl2br w:val="nil"/>
                    <w:tr2bl w:val="nil"/>
                  </w:tcBorders>
                  <w:vAlign w:val="center"/>
                </w:tcPr>
                <w:p w14:paraId="47AF1647">
                  <w:pPr>
                    <w:keepNext w:val="0"/>
                    <w:keepLines w:val="0"/>
                    <w:suppressLineNumbers w:val="0"/>
                    <w:adjustRightInd w:val="0"/>
                    <w:snapToGrid w:val="0"/>
                    <w:spacing w:before="0" w:beforeAutospacing="0" w:after="0" w:afterAutospacing="0" w:line="260" w:lineRule="exact"/>
                    <w:ind w:left="0" w:right="0"/>
                    <w:jc w:val="center"/>
                    <w:rPr>
                      <w:rFonts w:hint="default" w:ascii="Times New Roman" w:hAnsi="Times New Roman" w:cs="Times New Roman"/>
                      <w:bCs/>
                      <w:color w:val="000000" w:themeColor="text1"/>
                      <w:szCs w:val="21"/>
                      <w:highlight w:val="none"/>
                      <w:lang w:val="en-US" w:eastAsia="zh-CN"/>
                      <w14:textFill>
                        <w14:solidFill>
                          <w14:schemeClr w14:val="tx1"/>
                        </w14:solidFill>
                      </w14:textFill>
                    </w:rPr>
                  </w:pPr>
                  <w:r>
                    <w:rPr>
                      <w:rFonts w:hint="default" w:ascii="Times New Roman" w:hAnsi="Times New Roman" w:cs="Times New Roman"/>
                      <w:bCs/>
                      <w:color w:val="000000" w:themeColor="text1"/>
                      <w:szCs w:val="21"/>
                      <w:highlight w:val="none"/>
                      <w14:textFill>
                        <w14:solidFill>
                          <w14:schemeClr w14:val="tx1"/>
                        </w14:solidFill>
                      </w14:textFill>
                    </w:rPr>
                    <w:t>本工程预测排放量</w:t>
                  </w:r>
                </w:p>
              </w:tc>
              <w:tc>
                <w:tcPr>
                  <w:tcW w:w="1150" w:type="dxa"/>
                  <w:tcBorders>
                    <w:tl2br w:val="nil"/>
                    <w:tr2bl w:val="nil"/>
                  </w:tcBorders>
                  <w:vAlign w:val="center"/>
                </w:tcPr>
                <w:p w14:paraId="7A22E04E">
                  <w:pPr>
                    <w:pStyle w:val="130"/>
                    <w:keepNext w:val="0"/>
                    <w:keepLines w:val="0"/>
                    <w:suppressLineNumbers w:val="0"/>
                    <w:adjustRightInd w:val="0"/>
                    <w:snapToGrid w:val="0"/>
                    <w:spacing w:before="0" w:beforeAutospacing="0" w:after="0" w:afterAutospacing="0" w:line="260" w:lineRule="exact"/>
                    <w:ind w:left="0" w:leftChars="0" w:right="0" w:rightChars="0"/>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“以新带老”削减量</w:t>
                  </w:r>
                </w:p>
              </w:tc>
              <w:tc>
                <w:tcPr>
                  <w:tcW w:w="1320" w:type="dxa"/>
                  <w:tcBorders>
                    <w:tl2br w:val="nil"/>
                    <w:tr2bl w:val="nil"/>
                  </w:tcBorders>
                  <w:vAlign w:val="center"/>
                </w:tcPr>
                <w:p w14:paraId="7208AD37">
                  <w:pPr>
                    <w:pStyle w:val="130"/>
                    <w:keepNext w:val="0"/>
                    <w:keepLines w:val="0"/>
                    <w:suppressLineNumbers w:val="0"/>
                    <w:adjustRightInd w:val="0"/>
                    <w:snapToGrid w:val="0"/>
                    <w:spacing w:before="0" w:beforeAutospacing="0" w:after="0" w:afterAutospacing="0" w:line="260" w:lineRule="exact"/>
                    <w:ind w:left="0" w:right="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Cs w:val="21"/>
                      <w:highlight w:val="none"/>
                      <w:lang w:val="en-US" w:eastAsia="zh-CN"/>
                      <w14:textFill>
                        <w14:solidFill>
                          <w14:schemeClr w14:val="tx1"/>
                        </w14:solidFill>
                      </w14:textFill>
                    </w:rPr>
                    <w:t>扩</w:t>
                  </w:r>
                  <w:r>
                    <w:rPr>
                      <w:rFonts w:hint="default" w:ascii="Times New Roman" w:hAnsi="Times New Roman" w:cs="Times New Roman"/>
                      <w:color w:val="000000" w:themeColor="text1"/>
                      <w:szCs w:val="21"/>
                      <w:highlight w:val="none"/>
                      <w14:textFill>
                        <w14:solidFill>
                          <w14:schemeClr w14:val="tx1"/>
                        </w14:solidFill>
                      </w14:textFill>
                    </w:rPr>
                    <w:t>建后全厂预测排放量</w:t>
                  </w:r>
                </w:p>
              </w:tc>
              <w:tc>
                <w:tcPr>
                  <w:tcW w:w="960" w:type="dxa"/>
                  <w:tcBorders>
                    <w:tl2br w:val="nil"/>
                    <w:tr2bl w:val="nil"/>
                  </w:tcBorders>
                  <w:vAlign w:val="center"/>
                </w:tcPr>
                <w:p w14:paraId="1D84D24F">
                  <w:pPr>
                    <w:pStyle w:val="130"/>
                    <w:keepNext w:val="0"/>
                    <w:keepLines w:val="0"/>
                    <w:suppressLineNumbers w:val="0"/>
                    <w:adjustRightInd w:val="0"/>
                    <w:snapToGrid w:val="0"/>
                    <w:spacing w:before="0" w:beforeAutospacing="0" w:after="0" w:afterAutospacing="0" w:line="260" w:lineRule="exact"/>
                    <w:ind w:left="0" w:right="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排放增减量</w:t>
                  </w:r>
                </w:p>
              </w:tc>
            </w:tr>
            <w:tr w14:paraId="4400F4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71" w:type="dxa"/>
                  <w:tcBorders>
                    <w:tl2br w:val="nil"/>
                    <w:tr2bl w:val="nil"/>
                  </w:tcBorders>
                  <w:vAlign w:val="center"/>
                </w:tcPr>
                <w:p w14:paraId="79C59431">
                  <w:pPr>
                    <w:pStyle w:val="130"/>
                    <w:keepNext w:val="0"/>
                    <w:keepLines w:val="0"/>
                    <w:suppressLineNumbers w:val="0"/>
                    <w:adjustRightInd w:val="0"/>
                    <w:snapToGrid w:val="0"/>
                    <w:spacing w:before="0" w:beforeAutospacing="0" w:after="0" w:afterAutospacing="0" w:line="260" w:lineRule="exact"/>
                    <w:ind w:left="0" w:leftChars="0" w:right="0" w:rightChars="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颗粒物</w:t>
                  </w:r>
                </w:p>
              </w:tc>
              <w:tc>
                <w:tcPr>
                  <w:tcW w:w="1269" w:type="dxa"/>
                  <w:tcBorders>
                    <w:tl2br w:val="nil"/>
                    <w:tr2bl w:val="nil"/>
                  </w:tcBorders>
                  <w:vAlign w:val="center"/>
                </w:tcPr>
                <w:p w14:paraId="36E21242">
                  <w:pPr>
                    <w:pStyle w:val="96"/>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000000" w:themeColor="text1"/>
                      <w:spacing w:val="0"/>
                      <w:kern w:val="0"/>
                      <w:sz w:val="21"/>
                      <w:szCs w:val="21"/>
                      <w:highlight w:val="none"/>
                      <w:lang w:val="en-US" w:eastAsia="zh-CN" w:bidi="ar-SA"/>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0.609</w:t>
                  </w:r>
                </w:p>
              </w:tc>
              <w:tc>
                <w:tcPr>
                  <w:tcW w:w="1176" w:type="dxa"/>
                  <w:tcBorders>
                    <w:tl2br w:val="nil"/>
                    <w:tr2bl w:val="nil"/>
                  </w:tcBorders>
                  <w:vAlign w:val="center"/>
                </w:tcPr>
                <w:p w14:paraId="631BA786">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pacing w:val="0"/>
                      <w:kern w:val="0"/>
                      <w:sz w:val="21"/>
                      <w:szCs w:val="21"/>
                      <w:highlight w:val="none"/>
                      <w:lang w:val="en-US" w:eastAsia="zh-CN" w:bidi="ar-SA"/>
                      <w14:textFill>
                        <w14:solidFill>
                          <w14:schemeClr w14:val="tx1"/>
                        </w14:solidFill>
                      </w14:textFill>
                    </w:rPr>
                    <w:t>/</w:t>
                  </w:r>
                </w:p>
              </w:tc>
              <w:tc>
                <w:tcPr>
                  <w:tcW w:w="1091" w:type="dxa"/>
                  <w:tcBorders>
                    <w:tl2br w:val="nil"/>
                    <w:tr2bl w:val="nil"/>
                  </w:tcBorders>
                  <w:vAlign w:val="center"/>
                </w:tcPr>
                <w:p w14:paraId="6A1D0FD0">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eastAsia="宋体" w:cs="Times New Roman"/>
                      <w:color w:val="000000" w:themeColor="text1"/>
                      <w:spacing w:val="0"/>
                      <w:kern w:val="0"/>
                      <w:sz w:val="21"/>
                      <w:szCs w:val="21"/>
                      <w:highlight w:val="none"/>
                      <w:lang w:val="en-US" w:eastAsia="zh-CN" w:bidi="ar-SA"/>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0.29</w:t>
                  </w:r>
                </w:p>
              </w:tc>
              <w:tc>
                <w:tcPr>
                  <w:tcW w:w="1150" w:type="dxa"/>
                  <w:tcBorders>
                    <w:tl2br w:val="nil"/>
                    <w:tr2bl w:val="nil"/>
                  </w:tcBorders>
                  <w:vAlign w:val="center"/>
                </w:tcPr>
                <w:p w14:paraId="489462F4">
                  <w:pPr>
                    <w:pStyle w:val="96"/>
                    <w:keepNext w:val="0"/>
                    <w:keepLines w:val="0"/>
                    <w:suppressLineNumbers w:val="0"/>
                    <w:spacing w:before="0" w:beforeAutospacing="0" w:after="0" w:afterAutospacing="0"/>
                    <w:ind w:left="0" w:leftChars="0" w:right="0" w:rightChars="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0.609</w:t>
                  </w:r>
                </w:p>
              </w:tc>
              <w:tc>
                <w:tcPr>
                  <w:tcW w:w="1320" w:type="dxa"/>
                  <w:tcBorders>
                    <w:tl2br w:val="nil"/>
                    <w:tr2bl w:val="nil"/>
                  </w:tcBorders>
                  <w:vAlign w:val="center"/>
                </w:tcPr>
                <w:p w14:paraId="232DF16A">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eastAsia="宋体" w:cs="Times New Roman"/>
                      <w:color w:val="000000" w:themeColor="text1"/>
                      <w:spacing w:val="0"/>
                      <w:kern w:val="0"/>
                      <w:sz w:val="21"/>
                      <w:szCs w:val="21"/>
                      <w:highlight w:val="none"/>
                      <w:lang w:val="en-US" w:eastAsia="zh-CN" w:bidi="ar-SA"/>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0.29</w:t>
                  </w:r>
                </w:p>
              </w:tc>
              <w:tc>
                <w:tcPr>
                  <w:tcW w:w="960" w:type="dxa"/>
                  <w:tcBorders>
                    <w:tl2br w:val="nil"/>
                    <w:tr2bl w:val="nil"/>
                  </w:tcBorders>
                  <w:vAlign w:val="center"/>
                </w:tcPr>
                <w:p w14:paraId="0B1BC2C6">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pacing w:val="0"/>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kern w:val="0"/>
                      <w:sz w:val="21"/>
                      <w:szCs w:val="21"/>
                      <w:highlight w:val="none"/>
                      <w:lang w:val="en-US" w:eastAsia="zh-CN" w:bidi="ar-SA"/>
                      <w14:textFill>
                        <w14:solidFill>
                          <w14:schemeClr w14:val="tx1"/>
                        </w14:solidFill>
                      </w14:textFill>
                    </w:rPr>
                    <w:t>-0.319</w:t>
                  </w:r>
                </w:p>
              </w:tc>
            </w:tr>
            <w:tr w14:paraId="4CECF5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71" w:type="dxa"/>
                  <w:tcBorders>
                    <w:tl2br w:val="nil"/>
                    <w:tr2bl w:val="nil"/>
                  </w:tcBorders>
                  <w:vAlign w:val="center"/>
                </w:tcPr>
                <w:p w14:paraId="4309D317">
                  <w:pPr>
                    <w:pStyle w:val="96"/>
                    <w:keepNext w:val="0"/>
                    <w:keepLines w:val="0"/>
                    <w:suppressLineNumbers w:val="0"/>
                    <w:spacing w:before="0" w:beforeAutospacing="0" w:after="0" w:afterAutospacing="0"/>
                    <w:ind w:left="0" w:leftChars="0" w:right="0" w:right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zh-CN"/>
                      <w14:textFill>
                        <w14:solidFill>
                          <w14:schemeClr w14:val="tx1"/>
                        </w14:solidFill>
                      </w14:textFill>
                    </w:rPr>
                    <w:t>SO</w:t>
                  </w:r>
                  <w:r>
                    <w:rPr>
                      <w:rFonts w:hint="default" w:ascii="Times New Roman" w:hAnsi="Times New Roman" w:cs="Times New Roman"/>
                      <w:color w:val="000000" w:themeColor="text1"/>
                      <w:sz w:val="21"/>
                      <w:szCs w:val="21"/>
                      <w:highlight w:val="none"/>
                      <w:vertAlign w:val="subscript"/>
                      <w:lang w:val="zh-CN"/>
                      <w14:textFill>
                        <w14:solidFill>
                          <w14:schemeClr w14:val="tx1"/>
                        </w14:solidFill>
                      </w14:textFill>
                    </w:rPr>
                    <w:t>2</w:t>
                  </w:r>
                </w:p>
              </w:tc>
              <w:tc>
                <w:tcPr>
                  <w:tcW w:w="1269" w:type="dxa"/>
                  <w:tcBorders>
                    <w:tl2br w:val="nil"/>
                    <w:tr2bl w:val="nil"/>
                  </w:tcBorders>
                  <w:vAlign w:val="center"/>
                </w:tcPr>
                <w:p w14:paraId="507F2135">
                  <w:pPr>
                    <w:pStyle w:val="96"/>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000000" w:themeColor="text1"/>
                      <w:spacing w:val="0"/>
                      <w:kern w:val="0"/>
                      <w:sz w:val="21"/>
                      <w:szCs w:val="21"/>
                      <w:highlight w:val="none"/>
                      <w:lang w:val="en-US" w:eastAsia="zh-CN"/>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1.908</w:t>
                  </w:r>
                </w:p>
              </w:tc>
              <w:tc>
                <w:tcPr>
                  <w:tcW w:w="1176" w:type="dxa"/>
                  <w:tcBorders>
                    <w:tl2br w:val="nil"/>
                    <w:tr2bl w:val="nil"/>
                  </w:tcBorders>
                  <w:vAlign w:val="center"/>
                </w:tcPr>
                <w:p w14:paraId="0ECA12BC">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pacing w:val="0"/>
                      <w:kern w:val="0"/>
                      <w:sz w:val="21"/>
                      <w:szCs w:val="21"/>
                      <w:highlight w:val="none"/>
                      <w:lang w:val="en-US" w:eastAsia="zh-CN"/>
                      <w14:textFill>
                        <w14:solidFill>
                          <w14:schemeClr w14:val="tx1"/>
                        </w14:solidFill>
                      </w14:textFill>
                    </w:rPr>
                    <w:t>/</w:t>
                  </w:r>
                </w:p>
              </w:tc>
              <w:tc>
                <w:tcPr>
                  <w:tcW w:w="1091" w:type="dxa"/>
                  <w:tcBorders>
                    <w:tl2br w:val="nil"/>
                    <w:tr2bl w:val="nil"/>
                  </w:tcBorders>
                  <w:vAlign w:val="center"/>
                </w:tcPr>
                <w:p w14:paraId="32B2799E">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000000" w:themeColor="text1"/>
                      <w:spacing w:val="0"/>
                      <w:kern w:val="0"/>
                      <w:sz w:val="21"/>
                      <w:szCs w:val="2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1.07</w:t>
                  </w:r>
                </w:p>
              </w:tc>
              <w:tc>
                <w:tcPr>
                  <w:tcW w:w="1150" w:type="dxa"/>
                  <w:tcBorders>
                    <w:tl2br w:val="nil"/>
                    <w:tr2bl w:val="nil"/>
                  </w:tcBorders>
                  <w:vAlign w:val="center"/>
                </w:tcPr>
                <w:p w14:paraId="63F1F25B">
                  <w:pPr>
                    <w:pStyle w:val="96"/>
                    <w:keepNext w:val="0"/>
                    <w:keepLines w:val="0"/>
                    <w:suppressLineNumbers w:val="0"/>
                    <w:spacing w:before="0" w:beforeAutospacing="0" w:after="0" w:afterAutospacing="0"/>
                    <w:ind w:left="0" w:leftChars="0" w:right="0" w:rightChars="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1.908</w:t>
                  </w:r>
                </w:p>
              </w:tc>
              <w:tc>
                <w:tcPr>
                  <w:tcW w:w="1320" w:type="dxa"/>
                  <w:tcBorders>
                    <w:tl2br w:val="nil"/>
                    <w:tr2bl w:val="nil"/>
                  </w:tcBorders>
                  <w:vAlign w:val="center"/>
                </w:tcPr>
                <w:p w14:paraId="5863AC35">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000000" w:themeColor="text1"/>
                      <w:spacing w:val="0"/>
                      <w:kern w:val="0"/>
                      <w:sz w:val="21"/>
                      <w:szCs w:val="2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1.07</w:t>
                  </w:r>
                </w:p>
              </w:tc>
              <w:tc>
                <w:tcPr>
                  <w:tcW w:w="960" w:type="dxa"/>
                  <w:tcBorders>
                    <w:tl2br w:val="nil"/>
                    <w:tr2bl w:val="nil"/>
                  </w:tcBorders>
                  <w:vAlign w:val="center"/>
                </w:tcPr>
                <w:p w14:paraId="21801B7D">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pacing w:val="0"/>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kern w:val="0"/>
                      <w:sz w:val="21"/>
                      <w:szCs w:val="21"/>
                      <w:highlight w:val="none"/>
                      <w:lang w:val="en-US" w:eastAsia="zh-CN" w:bidi="ar-SA"/>
                      <w14:textFill>
                        <w14:solidFill>
                          <w14:schemeClr w14:val="tx1"/>
                        </w14:solidFill>
                      </w14:textFill>
                    </w:rPr>
                    <w:t>-0.838</w:t>
                  </w:r>
                </w:p>
              </w:tc>
            </w:tr>
            <w:tr w14:paraId="664AB6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71" w:type="dxa"/>
                  <w:tcBorders>
                    <w:tl2br w:val="nil"/>
                    <w:tr2bl w:val="nil"/>
                  </w:tcBorders>
                  <w:vAlign w:val="center"/>
                </w:tcPr>
                <w:p w14:paraId="2A0FA2EA">
                  <w:pPr>
                    <w:pStyle w:val="96"/>
                    <w:keepNext w:val="0"/>
                    <w:keepLines w:val="0"/>
                    <w:suppressLineNumbers w:val="0"/>
                    <w:spacing w:before="0" w:beforeAutospacing="0" w:after="0" w:afterAutospacing="0"/>
                    <w:ind w:left="0" w:leftChars="0" w:right="0" w:rightChars="0"/>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zh-CN"/>
                      <w14:textFill>
                        <w14:solidFill>
                          <w14:schemeClr w14:val="tx1"/>
                        </w14:solidFill>
                      </w14:textFill>
                    </w:rPr>
                    <w:t>NO</w:t>
                  </w:r>
                  <w:r>
                    <w:rPr>
                      <w:rFonts w:hint="default" w:ascii="Times New Roman" w:hAnsi="Times New Roman" w:cs="Times New Roman"/>
                      <w:color w:val="000000" w:themeColor="text1"/>
                      <w:sz w:val="21"/>
                      <w:szCs w:val="21"/>
                      <w:highlight w:val="none"/>
                      <w:vertAlign w:val="subscript"/>
                      <w:lang w:val="zh-CN"/>
                      <w14:textFill>
                        <w14:solidFill>
                          <w14:schemeClr w14:val="tx1"/>
                        </w14:solidFill>
                      </w14:textFill>
                    </w:rPr>
                    <w:t>X</w:t>
                  </w:r>
                </w:p>
              </w:tc>
              <w:tc>
                <w:tcPr>
                  <w:tcW w:w="1269" w:type="dxa"/>
                  <w:tcBorders>
                    <w:tl2br w:val="nil"/>
                    <w:tr2bl w:val="nil"/>
                  </w:tcBorders>
                  <w:vAlign w:val="center"/>
                </w:tcPr>
                <w:p w14:paraId="7840AF0F">
                  <w:pPr>
                    <w:pStyle w:val="96"/>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000000" w:themeColor="text1"/>
                      <w:spacing w:val="0"/>
                      <w:kern w:val="0"/>
                      <w:sz w:val="21"/>
                      <w:szCs w:val="21"/>
                      <w:highlight w:val="none"/>
                      <w:lang w:val="en-US" w:eastAsia="zh-CN"/>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1.859</w:t>
                  </w:r>
                </w:p>
              </w:tc>
              <w:tc>
                <w:tcPr>
                  <w:tcW w:w="1176" w:type="dxa"/>
                  <w:tcBorders>
                    <w:tl2br w:val="nil"/>
                    <w:tr2bl w:val="nil"/>
                  </w:tcBorders>
                  <w:vAlign w:val="center"/>
                </w:tcPr>
                <w:p w14:paraId="7B564AC7">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pacing w:val="0"/>
                      <w:kern w:val="0"/>
                      <w:sz w:val="21"/>
                      <w:szCs w:val="21"/>
                      <w:highlight w:val="none"/>
                      <w:lang w:val="en-US" w:eastAsia="zh-CN"/>
                      <w14:textFill>
                        <w14:solidFill>
                          <w14:schemeClr w14:val="tx1"/>
                        </w14:solidFill>
                      </w14:textFill>
                    </w:rPr>
                    <w:t>/</w:t>
                  </w:r>
                </w:p>
              </w:tc>
              <w:tc>
                <w:tcPr>
                  <w:tcW w:w="1091" w:type="dxa"/>
                  <w:tcBorders>
                    <w:tl2br w:val="nil"/>
                    <w:tr2bl w:val="nil"/>
                  </w:tcBorders>
                  <w:vAlign w:val="center"/>
                </w:tcPr>
                <w:p w14:paraId="0356F07D">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000000" w:themeColor="text1"/>
                      <w:spacing w:val="0"/>
                      <w:kern w:val="0"/>
                      <w:sz w:val="21"/>
                      <w:szCs w:val="2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2.56</w:t>
                  </w:r>
                </w:p>
              </w:tc>
              <w:tc>
                <w:tcPr>
                  <w:tcW w:w="1150" w:type="dxa"/>
                  <w:tcBorders>
                    <w:tl2br w:val="nil"/>
                    <w:tr2bl w:val="nil"/>
                  </w:tcBorders>
                  <w:vAlign w:val="center"/>
                </w:tcPr>
                <w:p w14:paraId="7A1E4EA7">
                  <w:pPr>
                    <w:pStyle w:val="96"/>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1.859</w:t>
                  </w:r>
                </w:p>
              </w:tc>
              <w:tc>
                <w:tcPr>
                  <w:tcW w:w="1320" w:type="dxa"/>
                  <w:tcBorders>
                    <w:tl2br w:val="nil"/>
                    <w:tr2bl w:val="nil"/>
                  </w:tcBorders>
                  <w:vAlign w:val="center"/>
                </w:tcPr>
                <w:p w14:paraId="42FB4D8E">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000000" w:themeColor="text1"/>
                      <w:spacing w:val="0"/>
                      <w:kern w:val="0"/>
                      <w:sz w:val="21"/>
                      <w:szCs w:val="2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2.56</w:t>
                  </w:r>
                </w:p>
              </w:tc>
              <w:tc>
                <w:tcPr>
                  <w:tcW w:w="960" w:type="dxa"/>
                  <w:tcBorders>
                    <w:tl2br w:val="nil"/>
                    <w:tr2bl w:val="nil"/>
                  </w:tcBorders>
                  <w:vAlign w:val="center"/>
                </w:tcPr>
                <w:p w14:paraId="1C91707D">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000000" w:themeColor="text1"/>
                      <w:spacing w:val="0"/>
                      <w:kern w:val="0"/>
                      <w:sz w:val="21"/>
                      <w:szCs w:val="21"/>
                      <w:highlight w:val="none"/>
                      <w:lang w:val="en-US" w:eastAsia="zh-CN"/>
                      <w14:textFill>
                        <w14:solidFill>
                          <w14:schemeClr w14:val="tx1"/>
                        </w14:solidFill>
                      </w14:textFill>
                    </w:rPr>
                  </w:pPr>
                  <w:r>
                    <w:rPr>
                      <w:rFonts w:hint="eastAsia" w:cs="Times New Roman"/>
                      <w:color w:val="000000" w:themeColor="text1"/>
                      <w:spacing w:val="0"/>
                      <w:kern w:val="0"/>
                      <w:sz w:val="21"/>
                      <w:szCs w:val="21"/>
                      <w:highlight w:val="none"/>
                      <w:lang w:val="en-US" w:eastAsia="zh-CN"/>
                      <w14:textFill>
                        <w14:solidFill>
                          <w14:schemeClr w14:val="tx1"/>
                        </w14:solidFill>
                      </w14:textFill>
                    </w:rPr>
                    <w:t>+0.701</w:t>
                  </w:r>
                </w:p>
              </w:tc>
            </w:tr>
            <w:tr w14:paraId="2AEA4C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1" w:type="dxa"/>
                  <w:tcBorders>
                    <w:tl2br w:val="nil"/>
                    <w:tr2bl w:val="nil"/>
                  </w:tcBorders>
                  <w:vAlign w:val="center"/>
                </w:tcPr>
                <w:p w14:paraId="384FABFE">
                  <w:pPr>
                    <w:pStyle w:val="96"/>
                    <w:keepNext w:val="0"/>
                    <w:keepLines w:val="0"/>
                    <w:suppressLineNumbers w:val="0"/>
                    <w:spacing w:before="0" w:beforeAutospacing="0" w:after="0" w:afterAutospacing="0"/>
                    <w:ind w:left="0" w:leftChars="0" w:right="0" w:rightChars="0"/>
                    <w:rPr>
                      <w:rFonts w:hint="default" w:ascii="Times New Roman" w:hAnsi="Times New Roman" w:cs="Times New Roman"/>
                      <w:color w:val="000000" w:themeColor="text1"/>
                      <w:sz w:val="21"/>
                      <w:szCs w:val="21"/>
                      <w:highlight w:val="none"/>
                      <w:lang w:val="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工业粉尘</w:t>
                  </w:r>
                </w:p>
              </w:tc>
              <w:tc>
                <w:tcPr>
                  <w:tcW w:w="1269" w:type="dxa"/>
                  <w:tcBorders>
                    <w:tl2br w:val="nil"/>
                    <w:tr2bl w:val="nil"/>
                  </w:tcBorders>
                  <w:vAlign w:val="center"/>
                </w:tcPr>
                <w:p w14:paraId="3C45BA47">
                  <w:pPr>
                    <w:pStyle w:val="96"/>
                    <w:keepNext w:val="0"/>
                    <w:keepLines w:val="0"/>
                    <w:suppressLineNumbers w:val="0"/>
                    <w:spacing w:before="0" w:beforeAutospacing="0" w:after="0" w:afterAutospacing="0"/>
                    <w:ind w:left="0" w:leftChars="0" w:right="0" w:rightChars="0"/>
                    <w:jc w:val="center"/>
                    <w:rPr>
                      <w:rFonts w:hint="eastAsia" w:cs="Times New Roman"/>
                      <w:color w:val="000000" w:themeColor="text1"/>
                      <w:spacing w:val="0"/>
                      <w:kern w:val="0"/>
                      <w:sz w:val="21"/>
                      <w:szCs w:val="21"/>
                      <w:highlight w:val="none"/>
                      <w:lang w:val="en-US" w:eastAsia="zh-CN"/>
                      <w14:textFill>
                        <w14:solidFill>
                          <w14:schemeClr w14:val="tx1"/>
                        </w14:solidFill>
                      </w14:textFill>
                    </w:rPr>
                  </w:pPr>
                  <w:r>
                    <w:rPr>
                      <w:rFonts w:hint="eastAsia" w:eastAsia="宋体"/>
                      <w:color w:val="000000" w:themeColor="text1"/>
                      <w:sz w:val="21"/>
                      <w:szCs w:val="21"/>
                      <w:highlight w:val="none"/>
                      <w:lang w:val="en-US" w:eastAsia="zh-CN"/>
                      <w14:textFill>
                        <w14:solidFill>
                          <w14:schemeClr w14:val="tx1"/>
                        </w14:solidFill>
                      </w14:textFill>
                    </w:rPr>
                    <w:t>0.52</w:t>
                  </w:r>
                </w:p>
              </w:tc>
              <w:tc>
                <w:tcPr>
                  <w:tcW w:w="1176" w:type="dxa"/>
                  <w:tcBorders>
                    <w:tl2br w:val="nil"/>
                    <w:tr2bl w:val="nil"/>
                  </w:tcBorders>
                  <w:vAlign w:val="center"/>
                </w:tcPr>
                <w:p w14:paraId="53D01A1E">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000000" w:themeColor="text1"/>
                      <w:spacing w:val="0"/>
                      <w:kern w:val="0"/>
                      <w:sz w:val="21"/>
                      <w:szCs w:val="21"/>
                      <w:highlight w:val="none"/>
                      <w:lang w:val="en-US" w:eastAsia="zh-CN"/>
                      <w14:textFill>
                        <w14:solidFill>
                          <w14:schemeClr w14:val="tx1"/>
                        </w14:solidFill>
                      </w14:textFill>
                    </w:rPr>
                  </w:pPr>
                  <w:r>
                    <w:rPr>
                      <w:rFonts w:hint="eastAsia" w:cs="Times New Roman"/>
                      <w:color w:val="000000" w:themeColor="text1"/>
                      <w:spacing w:val="0"/>
                      <w:kern w:val="0"/>
                      <w:sz w:val="21"/>
                      <w:szCs w:val="21"/>
                      <w:highlight w:val="none"/>
                      <w:lang w:val="en-US" w:eastAsia="zh-CN"/>
                      <w14:textFill>
                        <w14:solidFill>
                          <w14:schemeClr w14:val="tx1"/>
                        </w14:solidFill>
                      </w14:textFill>
                    </w:rPr>
                    <w:t>/</w:t>
                  </w:r>
                </w:p>
              </w:tc>
              <w:tc>
                <w:tcPr>
                  <w:tcW w:w="1091" w:type="dxa"/>
                  <w:tcBorders>
                    <w:tl2br w:val="nil"/>
                    <w:tr2bl w:val="nil"/>
                  </w:tcBorders>
                  <w:vAlign w:val="center"/>
                </w:tcPr>
                <w:p w14:paraId="01D89180">
                  <w:pPr>
                    <w:keepNext w:val="0"/>
                    <w:keepLines w:val="0"/>
                    <w:suppressLineNumbers w:val="0"/>
                    <w:spacing w:before="0" w:beforeAutospacing="0" w:after="0" w:afterAutospacing="0" w:line="0" w:lineRule="atLeast"/>
                    <w:ind w:left="0" w:leftChars="0" w:right="0" w:rightChars="0"/>
                    <w:jc w:val="center"/>
                    <w:rPr>
                      <w:rFonts w:hint="eastAsia"/>
                      <w:b w:val="0"/>
                      <w:bCs w:val="0"/>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4.108</w:t>
                  </w:r>
                </w:p>
              </w:tc>
              <w:tc>
                <w:tcPr>
                  <w:tcW w:w="1150" w:type="dxa"/>
                  <w:tcBorders>
                    <w:tl2br w:val="nil"/>
                    <w:tr2bl w:val="nil"/>
                  </w:tcBorders>
                  <w:vAlign w:val="center"/>
                </w:tcPr>
                <w:p w14:paraId="37386D6A">
                  <w:pPr>
                    <w:pStyle w:val="96"/>
                    <w:keepNext w:val="0"/>
                    <w:keepLines w:val="0"/>
                    <w:suppressLineNumbers w:val="0"/>
                    <w:spacing w:before="0" w:beforeAutospacing="0" w:after="0" w:afterAutospacing="0"/>
                    <w:ind w:left="0" w:leftChars="0" w:right="0" w:rightChars="0"/>
                    <w:jc w:val="center"/>
                    <w:rPr>
                      <w:rFonts w:hint="eastAsia" w:ascii="Times New Roman" w:hAnsi="Times New Roman" w:cs="Times New Roman"/>
                      <w:color w:val="000000" w:themeColor="text1"/>
                      <w:spacing w:val="0"/>
                      <w:kern w:val="0"/>
                      <w:sz w:val="21"/>
                      <w:szCs w:val="21"/>
                      <w:highlight w:val="none"/>
                      <w:lang w:val="en-US" w:eastAsia="zh-CN"/>
                      <w14:textFill>
                        <w14:solidFill>
                          <w14:schemeClr w14:val="tx1"/>
                        </w14:solidFill>
                      </w14:textFill>
                    </w:rPr>
                  </w:pPr>
                  <w:r>
                    <w:rPr>
                      <w:rFonts w:hint="eastAsia" w:eastAsia="宋体"/>
                      <w:color w:val="000000" w:themeColor="text1"/>
                      <w:sz w:val="21"/>
                      <w:szCs w:val="21"/>
                      <w:highlight w:val="none"/>
                      <w:lang w:val="en-US" w:eastAsia="zh-CN"/>
                      <w14:textFill>
                        <w14:solidFill>
                          <w14:schemeClr w14:val="tx1"/>
                        </w14:solidFill>
                      </w14:textFill>
                    </w:rPr>
                    <w:t>0.52</w:t>
                  </w:r>
                </w:p>
              </w:tc>
              <w:tc>
                <w:tcPr>
                  <w:tcW w:w="1320" w:type="dxa"/>
                  <w:tcBorders>
                    <w:tl2br w:val="nil"/>
                    <w:tr2bl w:val="nil"/>
                  </w:tcBorders>
                  <w:vAlign w:val="center"/>
                </w:tcPr>
                <w:p w14:paraId="2228C7B2">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4.108</w:t>
                  </w:r>
                </w:p>
              </w:tc>
              <w:tc>
                <w:tcPr>
                  <w:tcW w:w="960" w:type="dxa"/>
                  <w:tcBorders>
                    <w:tl2br w:val="nil"/>
                    <w:tr2bl w:val="nil"/>
                  </w:tcBorders>
                  <w:vAlign w:val="center"/>
                </w:tcPr>
                <w:p w14:paraId="789CDB77">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spacing w:val="0"/>
                      <w:kern w:val="0"/>
                      <w:sz w:val="21"/>
                      <w:szCs w:val="21"/>
                      <w:highlight w:val="none"/>
                      <w:lang w:val="en-US" w:eastAsia="zh-CN" w:bidi="ar-SA"/>
                      <w14:textFill>
                        <w14:solidFill>
                          <w14:schemeClr w14:val="tx1"/>
                        </w14:solidFill>
                      </w14:textFill>
                    </w:rPr>
                  </w:pPr>
                  <w:r>
                    <w:rPr>
                      <w:rFonts w:hint="eastAsia" w:cs="Times New Roman"/>
                      <w:color w:val="000000" w:themeColor="text1"/>
                      <w:spacing w:val="0"/>
                      <w:kern w:val="0"/>
                      <w:sz w:val="21"/>
                      <w:szCs w:val="21"/>
                      <w:highlight w:val="none"/>
                      <w:lang w:val="en-US" w:eastAsia="zh-CN"/>
                      <w14:textFill>
                        <w14:solidFill>
                          <w14:schemeClr w14:val="tx1"/>
                        </w14:solidFill>
                      </w14:textFill>
                    </w:rPr>
                    <w:t>+3.588</w:t>
                  </w:r>
                </w:p>
              </w:tc>
            </w:tr>
          </w:tbl>
          <w:p w14:paraId="43A032D7">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注：</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由于项目2010年未申请总量，</w:t>
            </w:r>
            <w:r>
              <w:rPr>
                <w:rFonts w:hint="eastAsia" w:cs="Times New Roman"/>
                <w:b w:val="0"/>
                <w:bCs w:val="0"/>
                <w:color w:val="000000" w:themeColor="text1"/>
                <w:sz w:val="21"/>
                <w:szCs w:val="21"/>
                <w:highlight w:val="none"/>
                <w:lang w:val="en-US" w:eastAsia="zh-CN"/>
                <w14:textFill>
                  <w14:solidFill>
                    <w14:schemeClr w14:val="tx1"/>
                  </w14:solidFill>
                </w14:textFill>
              </w:rPr>
              <w:t>因此，本项目实施后需向当地生态环境局申请排放总量。</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总量指标由当地生态环境局调控。</w:t>
            </w:r>
          </w:p>
          <w:p w14:paraId="0A3E6807">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p w14:paraId="3BD89F80">
            <w:pPr>
              <w:pStyle w:val="19"/>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kern w:val="0"/>
                <w:szCs w:val="21"/>
                <w:highlight w:val="none"/>
                <w14:textFill>
                  <w14:solidFill>
                    <w14:schemeClr w14:val="tx1"/>
                  </w14:solidFill>
                </w14:textFill>
              </w:rPr>
            </w:pPr>
          </w:p>
          <w:p w14:paraId="30322977">
            <w:pPr>
              <w:pStyle w:val="19"/>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kern w:val="0"/>
                <w:szCs w:val="21"/>
                <w:highlight w:val="none"/>
                <w14:textFill>
                  <w14:solidFill>
                    <w14:schemeClr w14:val="tx1"/>
                  </w14:solidFill>
                </w14:textFill>
              </w:rPr>
            </w:pPr>
          </w:p>
          <w:p w14:paraId="7F75BE43">
            <w:pPr>
              <w:pStyle w:val="19"/>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kern w:val="0"/>
                <w:szCs w:val="21"/>
                <w:highlight w:val="none"/>
                <w14:textFill>
                  <w14:solidFill>
                    <w14:schemeClr w14:val="tx1"/>
                  </w14:solidFill>
                </w14:textFill>
              </w:rPr>
            </w:pPr>
          </w:p>
          <w:p w14:paraId="2285AB84">
            <w:pPr>
              <w:pStyle w:val="19"/>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kern w:val="0"/>
                <w:szCs w:val="21"/>
                <w:highlight w:val="none"/>
                <w14:textFill>
                  <w14:solidFill>
                    <w14:schemeClr w14:val="tx1"/>
                  </w14:solidFill>
                </w14:textFill>
              </w:rPr>
            </w:pPr>
          </w:p>
          <w:p w14:paraId="5F563EAE">
            <w:pPr>
              <w:pStyle w:val="19"/>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kern w:val="0"/>
                <w:szCs w:val="21"/>
                <w:highlight w:val="none"/>
                <w14:textFill>
                  <w14:solidFill>
                    <w14:schemeClr w14:val="tx1"/>
                  </w14:solidFill>
                </w14:textFill>
              </w:rPr>
            </w:pPr>
          </w:p>
        </w:tc>
      </w:tr>
    </w:tbl>
    <w:p w14:paraId="6BED9BB5">
      <w:pPr>
        <w:pStyle w:val="29"/>
        <w:jc w:val="center"/>
        <w:outlineLvl w:val="0"/>
        <w:rPr>
          <w:rFonts w:hint="default" w:ascii="Times New Roman" w:hAnsi="Times New Roman" w:eastAsia="宋体" w:cs="Times New Roman"/>
          <w:snapToGrid w:val="0"/>
          <w:color w:val="000000" w:themeColor="text1"/>
          <w:sz w:val="30"/>
          <w:szCs w:val="30"/>
          <w:highlight w:val="none"/>
          <w14:textFill>
            <w14:solidFill>
              <w14:schemeClr w14:val="tx1"/>
            </w14:solidFill>
          </w14:textFill>
        </w:rPr>
      </w:pPr>
      <w:r>
        <w:rPr>
          <w:rFonts w:hint="default" w:ascii="Times New Roman" w:hAnsi="Times New Roman" w:eastAsia="宋体" w:cs="Times New Roman"/>
          <w:snapToGrid w:val="0"/>
          <w:color w:val="000000" w:themeColor="text1"/>
          <w:sz w:val="36"/>
          <w:szCs w:val="36"/>
          <w:highlight w:val="none"/>
          <w14:textFill>
            <w14:solidFill>
              <w14:schemeClr w14:val="tx1"/>
            </w14:solidFill>
          </w14:textFill>
        </w:rPr>
        <w:br w:type="page"/>
      </w:r>
      <w:bookmarkStart w:id="10" w:name="_Toc10979"/>
      <w:bookmarkStart w:id="11" w:name="_Toc13576"/>
      <w:r>
        <w:rPr>
          <w:rFonts w:hint="default" w:ascii="Times New Roman" w:hAnsi="Times New Roman" w:eastAsia="宋体" w:cs="Times New Roman"/>
          <w:snapToGrid w:val="0"/>
          <w:color w:val="000000" w:themeColor="text1"/>
          <w:sz w:val="30"/>
          <w:szCs w:val="30"/>
          <w:highlight w:val="none"/>
          <w14:textFill>
            <w14:solidFill>
              <w14:schemeClr w14:val="tx1"/>
            </w14:solidFill>
          </w14:textFill>
        </w:rPr>
        <w:t>四、主要环境影响和保护措施</w:t>
      </w:r>
      <w:bookmarkEnd w:id="10"/>
      <w:bookmarkEnd w:id="11"/>
    </w:p>
    <w:tbl>
      <w:tblPr>
        <w:tblStyle w:val="35"/>
        <w:tblW w:w="891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70"/>
      </w:tblGrid>
      <w:tr w14:paraId="6ACB2C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15" w:hRule="atLeast"/>
          <w:jc w:val="center"/>
        </w:trPr>
        <w:tc>
          <w:tcPr>
            <w:tcW w:w="746" w:type="dxa"/>
            <w:tcMar>
              <w:left w:w="28" w:type="dxa"/>
              <w:right w:w="28" w:type="dxa"/>
            </w:tcMar>
            <w:vAlign w:val="center"/>
          </w:tcPr>
          <w:p w14:paraId="66764357">
            <w:pPr>
              <w:pStyle w:val="29"/>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kern w:val="2"/>
                <w:szCs w:val="24"/>
                <w:highlight w:val="none"/>
                <w14:textFill>
                  <w14:solidFill>
                    <w14:schemeClr w14:val="tx1"/>
                  </w14:solidFill>
                </w14:textFill>
              </w:rPr>
            </w:pPr>
            <w:r>
              <w:rPr>
                <w:rFonts w:hint="default" w:ascii="Times New Roman" w:hAnsi="Times New Roman" w:eastAsia="宋体" w:cs="Times New Roman"/>
                <w:color w:val="000000" w:themeColor="text1"/>
                <w:kern w:val="2"/>
                <w:szCs w:val="24"/>
                <w:highlight w:val="none"/>
                <w14:textFill>
                  <w14:solidFill>
                    <w14:schemeClr w14:val="tx1"/>
                  </w14:solidFill>
                </w14:textFill>
              </w:rPr>
              <w:t>施工</w:t>
            </w:r>
          </w:p>
          <w:p w14:paraId="59EBF694">
            <w:pPr>
              <w:pStyle w:val="29"/>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kern w:val="2"/>
                <w:szCs w:val="24"/>
                <w:highlight w:val="none"/>
                <w14:textFill>
                  <w14:solidFill>
                    <w14:schemeClr w14:val="tx1"/>
                  </w14:solidFill>
                </w14:textFill>
              </w:rPr>
            </w:pPr>
            <w:r>
              <w:rPr>
                <w:rFonts w:hint="default" w:ascii="Times New Roman" w:hAnsi="Times New Roman" w:eastAsia="宋体" w:cs="Times New Roman"/>
                <w:color w:val="000000" w:themeColor="text1"/>
                <w:kern w:val="2"/>
                <w:szCs w:val="24"/>
                <w:highlight w:val="none"/>
                <w14:textFill>
                  <w14:solidFill>
                    <w14:schemeClr w14:val="tx1"/>
                  </w14:solidFill>
                </w14:textFill>
              </w:rPr>
              <w:t>期环</w:t>
            </w:r>
          </w:p>
          <w:p w14:paraId="2971E926">
            <w:pPr>
              <w:pStyle w:val="29"/>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kern w:val="2"/>
                <w:szCs w:val="24"/>
                <w:highlight w:val="none"/>
                <w14:textFill>
                  <w14:solidFill>
                    <w14:schemeClr w14:val="tx1"/>
                  </w14:solidFill>
                </w14:textFill>
              </w:rPr>
            </w:pPr>
            <w:r>
              <w:rPr>
                <w:rFonts w:hint="default" w:ascii="Times New Roman" w:hAnsi="Times New Roman" w:eastAsia="宋体" w:cs="Times New Roman"/>
                <w:color w:val="000000" w:themeColor="text1"/>
                <w:kern w:val="2"/>
                <w:szCs w:val="24"/>
                <w:highlight w:val="none"/>
                <w14:textFill>
                  <w14:solidFill>
                    <w14:schemeClr w14:val="tx1"/>
                  </w14:solidFill>
                </w14:textFill>
              </w:rPr>
              <w:t>境保</w:t>
            </w:r>
          </w:p>
          <w:p w14:paraId="7D139524">
            <w:pPr>
              <w:pStyle w:val="29"/>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kern w:val="2"/>
                <w:szCs w:val="24"/>
                <w:highlight w:val="none"/>
                <w14:textFill>
                  <w14:solidFill>
                    <w14:schemeClr w14:val="tx1"/>
                  </w14:solidFill>
                </w14:textFill>
              </w:rPr>
            </w:pPr>
            <w:r>
              <w:rPr>
                <w:rFonts w:hint="default" w:ascii="Times New Roman" w:hAnsi="Times New Roman" w:eastAsia="宋体" w:cs="Times New Roman"/>
                <w:color w:val="000000" w:themeColor="text1"/>
                <w:kern w:val="2"/>
                <w:szCs w:val="24"/>
                <w:highlight w:val="none"/>
                <w14:textFill>
                  <w14:solidFill>
                    <w14:schemeClr w14:val="tx1"/>
                  </w14:solidFill>
                </w14:textFill>
              </w:rPr>
              <w:t>护措</w:t>
            </w:r>
          </w:p>
          <w:p w14:paraId="6E79EB56">
            <w:pPr>
              <w:pStyle w:val="29"/>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bCs/>
                <w:color w:val="000000" w:themeColor="text1"/>
                <w:kern w:val="2"/>
                <w:szCs w:val="24"/>
                <w:highlight w:val="none"/>
                <w14:textFill>
                  <w14:solidFill>
                    <w14:schemeClr w14:val="tx1"/>
                  </w14:solidFill>
                </w14:textFill>
              </w:rPr>
            </w:pPr>
            <w:r>
              <w:rPr>
                <w:rFonts w:hint="default" w:ascii="Times New Roman" w:hAnsi="Times New Roman" w:eastAsia="宋体" w:cs="Times New Roman"/>
                <w:color w:val="000000" w:themeColor="text1"/>
                <w:kern w:val="2"/>
                <w:szCs w:val="24"/>
                <w:highlight w:val="none"/>
                <w14:textFill>
                  <w14:solidFill>
                    <w14:schemeClr w14:val="tx1"/>
                  </w14:solidFill>
                </w14:textFill>
              </w:rPr>
              <w:t>施</w:t>
            </w:r>
          </w:p>
        </w:tc>
        <w:tc>
          <w:tcPr>
            <w:tcW w:w="8170" w:type="dxa"/>
            <w:vAlign w:val="center"/>
          </w:tcPr>
          <w:p w14:paraId="0E4373FC">
            <w:pPr>
              <w:keepNext w:val="0"/>
              <w:keepLines w:val="0"/>
              <w:suppressLineNumbers w:val="0"/>
              <w:adjustRightInd w:val="0"/>
              <w:snapToGrid w:val="0"/>
              <w:spacing w:before="0" w:beforeAutospacing="0" w:after="0" w:afterAutospacing="0" w:line="360" w:lineRule="auto"/>
              <w:ind w:left="0" w:right="0" w:firstLine="440" w:firstLineChars="200"/>
              <w:rPr>
                <w:rFonts w:hint="default" w:ascii="Times New Roman" w:hAnsi="Times New Roman" w:eastAsia="宋体" w:cs="Times New Roman"/>
                <w:bCs/>
                <w:color w:val="000000" w:themeColor="text1"/>
                <w:spacing w:val="-10"/>
                <w:sz w:val="24"/>
                <w:highlight w:val="none"/>
                <w14:textFill>
                  <w14:solidFill>
                    <w14:schemeClr w14:val="tx1"/>
                  </w14:solidFill>
                </w14:textFill>
              </w:rPr>
            </w:pPr>
            <w:r>
              <w:rPr>
                <w:rFonts w:hint="default" w:ascii="Times New Roman" w:hAnsi="Times New Roman" w:eastAsia="宋体" w:cs="Times New Roman"/>
                <w:bCs/>
                <w:color w:val="000000" w:themeColor="text1"/>
                <w:spacing w:val="-10"/>
                <w:sz w:val="24"/>
                <w:highlight w:val="none"/>
                <w14:textFill>
                  <w14:solidFill>
                    <w14:schemeClr w14:val="tx1"/>
                  </w14:solidFill>
                </w14:textFill>
              </w:rPr>
              <w:t>1、废气</w:t>
            </w:r>
          </w:p>
          <w:p w14:paraId="76C32E8A">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pacing w:val="0"/>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施工期对环境大气的影响主要是建筑材料和工程弃土的堆放、装卸、拌料过程以及车辆在运输过程中产生的扬尘。施工扬尘主要影响施工场地及附近区域的环境卫生和环境质量。经采取必要的防尘措施后可有效地减轻扬尘对环境的影响。洒水可简洁有效的抑制扬尘。如果在施工期内对车辆行驶的路面实施洒水抑尘，每天洒水4～5次，可</w:t>
            </w:r>
            <w:r>
              <w:rPr>
                <w:rFonts w:hint="default" w:ascii="Times New Roman" w:hAnsi="Times New Roman" w:eastAsia="宋体" w:cs="Times New Roman"/>
                <w:bCs/>
                <w:color w:val="000000" w:themeColor="text1"/>
                <w:spacing w:val="0"/>
                <w:sz w:val="24"/>
                <w:highlight w:val="none"/>
                <w:lang w:val="en-US" w:eastAsia="zh-CN"/>
                <w14:textFill>
                  <w14:solidFill>
                    <w14:schemeClr w14:val="tx1"/>
                  </w14:solidFill>
                </w14:textFill>
              </w:rPr>
              <w:t>有效降低扬尘</w:t>
            </w:r>
            <w:r>
              <w:rPr>
                <w:rFonts w:hint="default" w:ascii="Times New Roman" w:hAnsi="Times New Roman" w:eastAsia="宋体" w:cs="Times New Roman"/>
                <w:bCs/>
                <w:color w:val="000000" w:themeColor="text1"/>
                <w:spacing w:val="0"/>
                <w:sz w:val="24"/>
                <w:highlight w:val="none"/>
                <w14:textFill>
                  <w14:solidFill>
                    <w14:schemeClr w14:val="tx1"/>
                  </w14:solidFill>
                </w14:textFill>
              </w:rPr>
              <w:t>。</w:t>
            </w:r>
          </w:p>
          <w:p w14:paraId="6C30C92A">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pacing w:val="0"/>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因此，在建设期应对运输的道路及时清扫和浇水，并加强施工管理，配置工地细目滞尘防护网，施工现场设置围栏，封闭现场，同时必须采用封闭车辆运输，最大程度地减少扬尘对周围大气环境及居民的影响。</w:t>
            </w:r>
          </w:p>
          <w:p w14:paraId="51FECD83">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pacing w:val="0"/>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采用污染防治措施后，使施工期对周围环境的大气污染降到最小，施工厂界扬尘浓度贡献值均低于《大气污染物综合排放标准》（GB16297-1996）规定的颗粒物无组织排放监控浓度限值1.0mg/m</w:t>
            </w:r>
            <w:r>
              <w:rPr>
                <w:rFonts w:hint="default" w:ascii="Times New Roman" w:hAnsi="Times New Roman" w:eastAsia="宋体" w:cs="Times New Roman"/>
                <w:bCs/>
                <w:color w:val="000000" w:themeColor="text1"/>
                <w:spacing w:val="0"/>
                <w:sz w:val="24"/>
                <w:highlight w:val="none"/>
                <w:vertAlign w:val="superscript"/>
                <w14:textFill>
                  <w14:solidFill>
                    <w14:schemeClr w14:val="tx1"/>
                  </w14:solidFill>
                </w14:textFill>
              </w:rPr>
              <w:t>3</w:t>
            </w:r>
            <w:r>
              <w:rPr>
                <w:rFonts w:hint="default" w:ascii="Times New Roman" w:hAnsi="Times New Roman" w:eastAsia="宋体" w:cs="Times New Roman"/>
                <w:bCs/>
                <w:color w:val="000000" w:themeColor="text1"/>
                <w:spacing w:val="0"/>
                <w:sz w:val="24"/>
                <w:highlight w:val="none"/>
                <w14:textFill>
                  <w14:solidFill>
                    <w14:schemeClr w14:val="tx1"/>
                  </w14:solidFill>
                </w14:textFill>
              </w:rPr>
              <w:t>，可被周围环境所接受。</w:t>
            </w:r>
          </w:p>
          <w:p w14:paraId="4CBBF4AB">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pacing w:val="0"/>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2、废水</w:t>
            </w:r>
          </w:p>
          <w:p w14:paraId="7707DE80">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pacing w:val="0"/>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施工过程中产生的废水主要为施工人员排放的生活污水和施工作业产生的废水以及施工期间车辆冲洗废水，由于施工期施工人员只在白天工作，施工人员不在场地内食宿，因此产生的废水较少。</w:t>
            </w:r>
          </w:p>
          <w:p w14:paraId="685B822D">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pacing w:val="0"/>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废水中主要污染因子为COD、BOD</w:t>
            </w:r>
            <w:r>
              <w:rPr>
                <w:rFonts w:hint="default" w:ascii="Times New Roman" w:hAnsi="Times New Roman" w:eastAsia="宋体" w:cs="Times New Roman"/>
                <w:bCs/>
                <w:color w:val="000000" w:themeColor="text1"/>
                <w:spacing w:val="0"/>
                <w:sz w:val="24"/>
                <w:highlight w:val="none"/>
                <w:vertAlign w:val="subscript"/>
                <w14:textFill>
                  <w14:solidFill>
                    <w14:schemeClr w14:val="tx1"/>
                  </w14:solidFill>
                </w14:textFill>
              </w:rPr>
              <w:t>5</w:t>
            </w:r>
            <w:r>
              <w:rPr>
                <w:rFonts w:hint="default" w:ascii="Times New Roman" w:hAnsi="Times New Roman" w:eastAsia="宋体" w:cs="Times New Roman"/>
                <w:bCs/>
                <w:color w:val="000000" w:themeColor="text1"/>
                <w:spacing w:val="0"/>
                <w:sz w:val="24"/>
                <w:highlight w:val="none"/>
                <w14:textFill>
                  <w14:solidFill>
                    <w14:schemeClr w14:val="tx1"/>
                  </w14:solidFill>
                </w14:textFill>
              </w:rPr>
              <w:t>、氨氮等。生活污水排入防渗旱厕，施工作业和冲洗车辆产生的废水沉淀后用于场地内洒水抑尘。</w:t>
            </w:r>
          </w:p>
          <w:p w14:paraId="6FD2EC78">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pacing w:val="0"/>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3、噪声</w:t>
            </w:r>
          </w:p>
          <w:p w14:paraId="38477892">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pacing w:val="0"/>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施工期声环境的主要影响是施工机械噪声。一般施工机械噪声源强为75～90dB(A)之间。为了减轻本建设项目施工期噪声的环境影响，必须采取以下控制措施：</w:t>
            </w:r>
          </w:p>
          <w:p w14:paraId="668EBFFE">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pacing w:val="0"/>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（1）加强施工管理，合理安排作业时间，严格执行施工噪声管理的有关规定；</w:t>
            </w:r>
          </w:p>
          <w:p w14:paraId="7C93FC41">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pacing w:val="0"/>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（2）机械限时使用，避免夜间施工，晚22：00至早6：00和中午12：00至13：30禁止机械作业；</w:t>
            </w:r>
          </w:p>
          <w:p w14:paraId="25158379">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pacing w:val="0"/>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（3）施工机械应尽可能放置于对场界外居民区造成影响最小的地点；</w:t>
            </w:r>
          </w:p>
          <w:p w14:paraId="61CB8D10">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pacing w:val="0"/>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（4）作业时在高噪声设备周围设置声屏障；</w:t>
            </w:r>
          </w:p>
          <w:p w14:paraId="5FA70516">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pacing w:val="0"/>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（5）加强车辆的管理，建材等运输尽量在白天进行，并控制车辆鸣笛。</w:t>
            </w:r>
          </w:p>
          <w:p w14:paraId="61BEB467">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pacing w:val="0"/>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在严格执行本报告提出的污染防治措施的前提下，施工期噪声满足</w:t>
            </w:r>
            <w:r>
              <w:rPr>
                <w:rFonts w:hint="default" w:ascii="Times New Roman" w:hAnsi="Times New Roman" w:cs="Times New Roman"/>
                <w:bCs/>
                <w:color w:val="000000" w:themeColor="text1"/>
                <w:spacing w:val="0"/>
                <w:sz w:val="24"/>
                <w:highlight w:val="none"/>
                <w:lang w:eastAsia="zh-CN"/>
                <w14:textFill>
                  <w14:solidFill>
                    <w14:schemeClr w14:val="tx1"/>
                  </w14:solidFill>
                </w14:textFill>
              </w:rPr>
              <w:t>《建筑施工噪声排放标准》（GB12523-2025）</w:t>
            </w:r>
            <w:r>
              <w:rPr>
                <w:rFonts w:hint="default" w:ascii="Times New Roman" w:hAnsi="Times New Roman" w:eastAsia="宋体" w:cs="Times New Roman"/>
                <w:bCs/>
                <w:color w:val="000000" w:themeColor="text1"/>
                <w:spacing w:val="0"/>
                <w:sz w:val="24"/>
                <w:highlight w:val="none"/>
                <w14:textFill>
                  <w14:solidFill>
                    <w14:schemeClr w14:val="tx1"/>
                  </w14:solidFill>
                </w14:textFill>
              </w:rPr>
              <w:t>中的排放限值，对周围环境的影响是可以被接受的。</w:t>
            </w:r>
          </w:p>
          <w:p w14:paraId="45328630">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pacing w:val="0"/>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4、固废</w:t>
            </w:r>
          </w:p>
          <w:p w14:paraId="22BEAA5B">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pacing w:val="0"/>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本项目施工人员产生的生活垃圾集中收集由市政部门统一清运处置；产生的建筑垃圾在施工中尽量综合利用，不能利用的建筑垃圾集中堆存采取苫布遮盖措施，由市政部门统一清运处置。采取上述措施后，本项目施工期的产生固体废物对环境影响较小。</w:t>
            </w:r>
          </w:p>
          <w:p w14:paraId="3BF41F0C">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pacing w:val="0"/>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施工期的环境影响是短暂的，只要建设施工单位加强全员职工的环境保护意识，并通过以上措施，项目建设产生的废物得到妥善处置，施工期间对周围环境造成的短暂影响可以接受。</w:t>
            </w:r>
          </w:p>
          <w:p w14:paraId="586607CD">
            <w:pPr>
              <w:keepNext w:val="0"/>
              <w:keepLines w:val="0"/>
              <w:suppressLineNumbers w:val="0"/>
              <w:adjustRightInd w:val="0"/>
              <w:snapToGrid w:val="0"/>
              <w:spacing w:before="0" w:beforeAutospacing="0" w:after="0" w:afterAutospacing="0" w:line="360" w:lineRule="auto"/>
              <w:ind w:left="0" w:right="0" w:firstLine="440" w:firstLineChars="200"/>
              <w:rPr>
                <w:rFonts w:hint="default" w:ascii="Times New Roman" w:hAnsi="Times New Roman" w:eastAsia="宋体" w:cs="Times New Roman"/>
                <w:bCs/>
                <w:color w:val="000000" w:themeColor="text1"/>
                <w:spacing w:val="-10"/>
                <w:sz w:val="24"/>
                <w:highlight w:val="none"/>
                <w14:textFill>
                  <w14:solidFill>
                    <w14:schemeClr w14:val="tx1"/>
                  </w14:solidFill>
                </w14:textFill>
              </w:rPr>
            </w:pPr>
          </w:p>
          <w:p w14:paraId="5DC6AB7D">
            <w:pPr>
              <w:keepNext w:val="0"/>
              <w:keepLines w:val="0"/>
              <w:suppressLineNumbers w:val="0"/>
              <w:adjustRightInd w:val="0"/>
              <w:snapToGrid w:val="0"/>
              <w:spacing w:before="0" w:beforeAutospacing="0" w:after="0" w:afterAutospacing="0" w:line="360" w:lineRule="auto"/>
              <w:ind w:left="0" w:right="0" w:firstLine="440" w:firstLineChars="200"/>
              <w:rPr>
                <w:rFonts w:hint="default" w:ascii="Times New Roman" w:hAnsi="Times New Roman" w:eastAsia="宋体" w:cs="Times New Roman"/>
                <w:bCs/>
                <w:color w:val="000000" w:themeColor="text1"/>
                <w:spacing w:val="-10"/>
                <w:sz w:val="24"/>
                <w:highlight w:val="none"/>
                <w14:textFill>
                  <w14:solidFill>
                    <w14:schemeClr w14:val="tx1"/>
                  </w14:solidFill>
                </w14:textFill>
              </w:rPr>
            </w:pPr>
          </w:p>
          <w:p w14:paraId="0BAAB416">
            <w:pPr>
              <w:keepNext w:val="0"/>
              <w:keepLines w:val="0"/>
              <w:suppressLineNumbers w:val="0"/>
              <w:adjustRightInd w:val="0"/>
              <w:snapToGrid w:val="0"/>
              <w:spacing w:before="0" w:beforeAutospacing="0" w:after="0" w:afterAutospacing="0" w:line="360" w:lineRule="auto"/>
              <w:ind w:left="0" w:right="0" w:firstLine="440" w:firstLineChars="200"/>
              <w:rPr>
                <w:rFonts w:hint="default" w:ascii="Times New Roman" w:hAnsi="Times New Roman" w:eastAsia="宋体" w:cs="Times New Roman"/>
                <w:bCs/>
                <w:color w:val="000000" w:themeColor="text1"/>
                <w:spacing w:val="-10"/>
                <w:sz w:val="24"/>
                <w:highlight w:val="none"/>
                <w14:textFill>
                  <w14:solidFill>
                    <w14:schemeClr w14:val="tx1"/>
                  </w14:solidFill>
                </w14:textFill>
              </w:rPr>
            </w:pPr>
          </w:p>
          <w:p w14:paraId="54E5F7DD">
            <w:pPr>
              <w:keepNext w:val="0"/>
              <w:keepLines w:val="0"/>
              <w:suppressLineNumbers w:val="0"/>
              <w:adjustRightInd w:val="0"/>
              <w:snapToGrid w:val="0"/>
              <w:spacing w:before="0" w:beforeAutospacing="0" w:after="0" w:afterAutospacing="0" w:line="360" w:lineRule="auto"/>
              <w:ind w:left="0" w:right="0" w:firstLine="440" w:firstLineChars="200"/>
              <w:rPr>
                <w:rFonts w:hint="default" w:ascii="Times New Roman" w:hAnsi="Times New Roman" w:eastAsia="宋体" w:cs="Times New Roman"/>
                <w:bCs/>
                <w:color w:val="000000" w:themeColor="text1"/>
                <w:spacing w:val="-10"/>
                <w:sz w:val="24"/>
                <w:highlight w:val="none"/>
                <w14:textFill>
                  <w14:solidFill>
                    <w14:schemeClr w14:val="tx1"/>
                  </w14:solidFill>
                </w14:textFill>
              </w:rPr>
            </w:pPr>
          </w:p>
          <w:p w14:paraId="4F21D7DB">
            <w:pPr>
              <w:keepNext w:val="0"/>
              <w:keepLines w:val="0"/>
              <w:suppressLineNumbers w:val="0"/>
              <w:adjustRightInd w:val="0"/>
              <w:snapToGrid w:val="0"/>
              <w:spacing w:before="0" w:beforeAutospacing="0" w:after="0" w:afterAutospacing="0" w:line="360" w:lineRule="auto"/>
              <w:ind w:left="0" w:right="0" w:firstLine="440" w:firstLineChars="200"/>
              <w:rPr>
                <w:rFonts w:hint="default" w:ascii="Times New Roman" w:hAnsi="Times New Roman" w:eastAsia="宋体" w:cs="Times New Roman"/>
                <w:bCs/>
                <w:color w:val="000000" w:themeColor="text1"/>
                <w:spacing w:val="-10"/>
                <w:sz w:val="24"/>
                <w:highlight w:val="none"/>
                <w14:textFill>
                  <w14:solidFill>
                    <w14:schemeClr w14:val="tx1"/>
                  </w14:solidFill>
                </w14:textFill>
              </w:rPr>
            </w:pPr>
          </w:p>
          <w:p w14:paraId="4F989F7D">
            <w:pPr>
              <w:keepNext w:val="0"/>
              <w:keepLines w:val="0"/>
              <w:suppressLineNumbers w:val="0"/>
              <w:adjustRightInd w:val="0"/>
              <w:snapToGrid w:val="0"/>
              <w:spacing w:before="0" w:beforeAutospacing="0" w:after="0" w:afterAutospacing="0" w:line="360" w:lineRule="auto"/>
              <w:ind w:left="0" w:right="0" w:firstLine="440" w:firstLineChars="200"/>
              <w:rPr>
                <w:rFonts w:hint="default" w:ascii="Times New Roman" w:hAnsi="Times New Roman" w:eastAsia="宋体" w:cs="Times New Roman"/>
                <w:bCs/>
                <w:color w:val="000000" w:themeColor="text1"/>
                <w:spacing w:val="-10"/>
                <w:sz w:val="24"/>
                <w:highlight w:val="none"/>
                <w14:textFill>
                  <w14:solidFill>
                    <w14:schemeClr w14:val="tx1"/>
                  </w14:solidFill>
                </w14:textFill>
              </w:rPr>
            </w:pPr>
          </w:p>
          <w:p w14:paraId="1D63F9AD">
            <w:pPr>
              <w:keepNext w:val="0"/>
              <w:keepLines w:val="0"/>
              <w:suppressLineNumbers w:val="0"/>
              <w:adjustRightInd w:val="0"/>
              <w:snapToGrid w:val="0"/>
              <w:spacing w:before="0" w:beforeAutospacing="0" w:after="0" w:afterAutospacing="0" w:line="360" w:lineRule="auto"/>
              <w:ind w:left="0" w:right="0" w:firstLine="440" w:firstLineChars="200"/>
              <w:rPr>
                <w:rFonts w:hint="default" w:ascii="Times New Roman" w:hAnsi="Times New Roman" w:eastAsia="宋体" w:cs="Times New Roman"/>
                <w:bCs/>
                <w:color w:val="000000" w:themeColor="text1"/>
                <w:spacing w:val="-10"/>
                <w:sz w:val="24"/>
                <w:highlight w:val="none"/>
                <w14:textFill>
                  <w14:solidFill>
                    <w14:schemeClr w14:val="tx1"/>
                  </w14:solidFill>
                </w14:textFill>
              </w:rPr>
            </w:pPr>
          </w:p>
          <w:p w14:paraId="5E8AA8F1">
            <w:pPr>
              <w:keepNext w:val="0"/>
              <w:keepLines w:val="0"/>
              <w:suppressLineNumbers w:val="0"/>
              <w:adjustRightInd w:val="0"/>
              <w:snapToGrid w:val="0"/>
              <w:spacing w:before="0" w:beforeAutospacing="0" w:after="0" w:afterAutospacing="0" w:line="360" w:lineRule="auto"/>
              <w:ind w:left="0" w:right="0" w:firstLine="440" w:firstLineChars="200"/>
              <w:rPr>
                <w:rFonts w:hint="default" w:ascii="Times New Roman" w:hAnsi="Times New Roman" w:eastAsia="宋体" w:cs="Times New Roman"/>
                <w:bCs/>
                <w:color w:val="000000" w:themeColor="text1"/>
                <w:spacing w:val="-10"/>
                <w:sz w:val="24"/>
                <w:highlight w:val="none"/>
                <w14:textFill>
                  <w14:solidFill>
                    <w14:schemeClr w14:val="tx1"/>
                  </w14:solidFill>
                </w14:textFill>
              </w:rPr>
            </w:pPr>
          </w:p>
          <w:p w14:paraId="2071A7BF">
            <w:pPr>
              <w:keepNext w:val="0"/>
              <w:keepLines w:val="0"/>
              <w:suppressLineNumbers w:val="0"/>
              <w:adjustRightInd w:val="0"/>
              <w:snapToGrid w:val="0"/>
              <w:spacing w:before="0" w:beforeAutospacing="0" w:after="0" w:afterAutospacing="0" w:line="360" w:lineRule="auto"/>
              <w:ind w:left="0" w:right="0" w:firstLine="440" w:firstLineChars="200"/>
              <w:rPr>
                <w:rFonts w:hint="default" w:ascii="Times New Roman" w:hAnsi="Times New Roman" w:eastAsia="宋体" w:cs="Times New Roman"/>
                <w:bCs/>
                <w:color w:val="000000" w:themeColor="text1"/>
                <w:spacing w:val="-10"/>
                <w:sz w:val="24"/>
                <w:highlight w:val="none"/>
                <w14:textFill>
                  <w14:solidFill>
                    <w14:schemeClr w14:val="tx1"/>
                  </w14:solidFill>
                </w14:textFill>
              </w:rPr>
            </w:pPr>
          </w:p>
          <w:p w14:paraId="16A85929">
            <w:pPr>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宋体" w:cs="Times New Roman"/>
                <w:bCs/>
                <w:color w:val="000000" w:themeColor="text1"/>
                <w:spacing w:val="-10"/>
                <w:sz w:val="24"/>
                <w:highlight w:val="none"/>
                <w14:textFill>
                  <w14:solidFill>
                    <w14:schemeClr w14:val="tx1"/>
                  </w14:solidFill>
                </w14:textFill>
              </w:rPr>
            </w:pPr>
          </w:p>
        </w:tc>
      </w:tr>
      <w:tr w14:paraId="128ED4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73" w:hRule="atLeast"/>
          <w:jc w:val="center"/>
        </w:trPr>
        <w:tc>
          <w:tcPr>
            <w:tcW w:w="746" w:type="dxa"/>
            <w:tcMar>
              <w:left w:w="28" w:type="dxa"/>
              <w:right w:w="28" w:type="dxa"/>
            </w:tcMar>
            <w:vAlign w:val="center"/>
          </w:tcPr>
          <w:p w14:paraId="3BB9A12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bCs/>
                <w:color w:val="000000" w:themeColor="text1"/>
                <w:sz w:val="24"/>
                <w:highlight w:val="none"/>
                <w14:textFill>
                  <w14:solidFill>
                    <w14:schemeClr w14:val="tx1"/>
                  </w14:solidFill>
                </w14:textFill>
              </w:rPr>
            </w:pPr>
            <w:r>
              <w:rPr>
                <w:rFonts w:hint="default" w:ascii="Times New Roman" w:hAnsi="Times New Roman" w:eastAsia="宋体" w:cs="Times New Roman"/>
                <w:bCs/>
                <w:color w:val="000000" w:themeColor="text1"/>
                <w:sz w:val="24"/>
                <w:highlight w:val="none"/>
                <w14:textFill>
                  <w14:solidFill>
                    <w14:schemeClr w14:val="tx1"/>
                  </w14:solidFill>
                </w14:textFill>
              </w:rPr>
              <w:t>运营</w:t>
            </w:r>
          </w:p>
          <w:p w14:paraId="13B33F75">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bCs/>
                <w:color w:val="000000" w:themeColor="text1"/>
                <w:sz w:val="24"/>
                <w:highlight w:val="none"/>
                <w14:textFill>
                  <w14:solidFill>
                    <w14:schemeClr w14:val="tx1"/>
                  </w14:solidFill>
                </w14:textFill>
              </w:rPr>
            </w:pPr>
            <w:r>
              <w:rPr>
                <w:rFonts w:hint="default" w:ascii="Times New Roman" w:hAnsi="Times New Roman" w:eastAsia="宋体" w:cs="Times New Roman"/>
                <w:bCs/>
                <w:color w:val="000000" w:themeColor="text1"/>
                <w:sz w:val="24"/>
                <w:highlight w:val="none"/>
                <w14:textFill>
                  <w14:solidFill>
                    <w14:schemeClr w14:val="tx1"/>
                  </w14:solidFill>
                </w14:textFill>
              </w:rPr>
              <w:t>期环</w:t>
            </w:r>
          </w:p>
          <w:p w14:paraId="37E93C9C">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bCs/>
                <w:color w:val="000000" w:themeColor="text1"/>
                <w:sz w:val="24"/>
                <w:highlight w:val="none"/>
                <w14:textFill>
                  <w14:solidFill>
                    <w14:schemeClr w14:val="tx1"/>
                  </w14:solidFill>
                </w14:textFill>
              </w:rPr>
            </w:pPr>
            <w:r>
              <w:rPr>
                <w:rFonts w:hint="default" w:ascii="Times New Roman" w:hAnsi="Times New Roman" w:eastAsia="宋体" w:cs="Times New Roman"/>
                <w:bCs/>
                <w:color w:val="000000" w:themeColor="text1"/>
                <w:sz w:val="24"/>
                <w:highlight w:val="none"/>
                <w14:textFill>
                  <w14:solidFill>
                    <w14:schemeClr w14:val="tx1"/>
                  </w14:solidFill>
                </w14:textFill>
              </w:rPr>
              <w:t>境影</w:t>
            </w:r>
          </w:p>
          <w:p w14:paraId="044DC398">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bCs/>
                <w:color w:val="000000" w:themeColor="text1"/>
                <w:sz w:val="24"/>
                <w:highlight w:val="none"/>
                <w14:textFill>
                  <w14:solidFill>
                    <w14:schemeClr w14:val="tx1"/>
                  </w14:solidFill>
                </w14:textFill>
              </w:rPr>
            </w:pPr>
            <w:r>
              <w:rPr>
                <w:rFonts w:hint="default" w:ascii="Times New Roman" w:hAnsi="Times New Roman" w:eastAsia="宋体" w:cs="Times New Roman"/>
                <w:bCs/>
                <w:color w:val="000000" w:themeColor="text1"/>
                <w:sz w:val="24"/>
                <w:highlight w:val="none"/>
                <w14:textFill>
                  <w14:solidFill>
                    <w14:schemeClr w14:val="tx1"/>
                  </w14:solidFill>
                </w14:textFill>
              </w:rPr>
              <w:t>响和</w:t>
            </w:r>
          </w:p>
          <w:p w14:paraId="47441265">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bCs/>
                <w:color w:val="000000" w:themeColor="text1"/>
                <w:sz w:val="24"/>
                <w:highlight w:val="none"/>
                <w14:textFill>
                  <w14:solidFill>
                    <w14:schemeClr w14:val="tx1"/>
                  </w14:solidFill>
                </w14:textFill>
              </w:rPr>
            </w:pPr>
            <w:r>
              <w:rPr>
                <w:rFonts w:hint="default" w:ascii="Times New Roman" w:hAnsi="Times New Roman" w:eastAsia="宋体" w:cs="Times New Roman"/>
                <w:bCs/>
                <w:color w:val="000000" w:themeColor="text1"/>
                <w:sz w:val="24"/>
                <w:highlight w:val="none"/>
                <w14:textFill>
                  <w14:solidFill>
                    <w14:schemeClr w14:val="tx1"/>
                  </w14:solidFill>
                </w14:textFill>
              </w:rPr>
              <w:t>保护</w:t>
            </w:r>
          </w:p>
          <w:p w14:paraId="7AF7185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bCs/>
                <w:color w:val="000000" w:themeColor="text1"/>
                <w:sz w:val="24"/>
                <w:highlight w:val="none"/>
                <w14:textFill>
                  <w14:solidFill>
                    <w14:schemeClr w14:val="tx1"/>
                  </w14:solidFill>
                </w14:textFill>
              </w:rPr>
            </w:pPr>
            <w:r>
              <w:rPr>
                <w:rFonts w:hint="default" w:ascii="Times New Roman" w:hAnsi="Times New Roman" w:eastAsia="宋体" w:cs="Times New Roman"/>
                <w:bCs/>
                <w:color w:val="000000" w:themeColor="text1"/>
                <w:sz w:val="24"/>
                <w:highlight w:val="none"/>
                <w14:textFill>
                  <w14:solidFill>
                    <w14:schemeClr w14:val="tx1"/>
                  </w14:solidFill>
                </w14:textFill>
              </w:rPr>
              <w:t>措施</w:t>
            </w:r>
          </w:p>
        </w:tc>
        <w:tc>
          <w:tcPr>
            <w:tcW w:w="8170" w:type="dxa"/>
            <w:vAlign w:val="center"/>
          </w:tcPr>
          <w:p w14:paraId="1D4785A6">
            <w:pPr>
              <w:pStyle w:val="56"/>
              <w:keepNext w:val="0"/>
              <w:keepLines w:val="0"/>
              <w:suppressLineNumbers w:val="0"/>
              <w:spacing w:before="0" w:beforeAutospacing="0" w:after="0" w:afterAutospacing="0" w:line="360" w:lineRule="auto"/>
              <w:ind w:left="0" w:right="0" w:firstLine="482"/>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14:textFill>
                  <w14:solidFill>
                    <w14:schemeClr w14:val="tx1"/>
                  </w14:solidFill>
                </w14:textFill>
              </w:rPr>
              <w:t>1、废气</w:t>
            </w:r>
          </w:p>
          <w:p w14:paraId="1448F323">
            <w:pPr>
              <w:pStyle w:val="66"/>
              <w:keepNext w:val="0"/>
              <w:keepLines w:val="0"/>
              <w:suppressLineNumbers w:val="0"/>
              <w:spacing w:before="0" w:beforeLines="0" w:beforeAutospacing="0" w:after="0" w:afterLines="0" w:afterAutospacing="0" w:line="360" w:lineRule="auto"/>
              <w:ind w:left="0" w:right="0" w:firstLine="48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运行期废气污染源主要为卸粮及筛分工序产生的废气，烘干塔废气和热风炉烟气</w:t>
            </w:r>
            <w:r>
              <w:rPr>
                <w:rFonts w:hint="eastAsia" w:cs="Times New Roman"/>
                <w:color w:val="000000" w:themeColor="text1"/>
                <w:sz w:val="24"/>
                <w:szCs w:val="24"/>
                <w:highlight w:val="none"/>
                <w:lang w:val="en-US" w:eastAsia="zh-CN"/>
                <w14:textFill>
                  <w14:solidFill>
                    <w14:schemeClr w14:val="tx1"/>
                  </w14:solidFill>
                </w14:textFill>
              </w:rPr>
              <w:t>等</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172C9A6E">
            <w:pPr>
              <w:pStyle w:val="66"/>
              <w:keepNext w:val="0"/>
              <w:keepLines w:val="0"/>
              <w:numPr>
                <w:ilvl w:val="0"/>
                <w:numId w:val="0"/>
              </w:numPr>
              <w:suppressLineNumbers w:val="0"/>
              <w:spacing w:before="0" w:beforeLines="0" w:beforeAutospacing="0" w:after="0" w:afterLines="0" w:afterAutospacing="0" w:line="360" w:lineRule="auto"/>
              <w:ind w:left="0" w:right="0" w:firstLine="480" w:firstLineChars="20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（一）</w:t>
            </w:r>
            <w:r>
              <w:rPr>
                <w:rFonts w:hint="default" w:ascii="Times New Roman" w:hAnsi="Times New Roman" w:eastAsia="宋体" w:cs="Times New Roman"/>
                <w:color w:val="000000" w:themeColor="text1"/>
                <w:sz w:val="24"/>
                <w:szCs w:val="24"/>
                <w:highlight w:val="none"/>
                <w14:textFill>
                  <w14:solidFill>
                    <w14:schemeClr w14:val="tx1"/>
                  </w14:solidFill>
                </w14:textFill>
              </w:rPr>
              <w:t>源强核算及达标排放情况</w:t>
            </w:r>
          </w:p>
          <w:p w14:paraId="40537365">
            <w:pPr>
              <w:pStyle w:val="6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lef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运输废气</w:t>
            </w:r>
          </w:p>
          <w:p w14:paraId="13FD5CD2">
            <w:pPr>
              <w:pStyle w:val="6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lef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项目运行期间原料及燃料量较大，运输过程中可能会产生扬尘本</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项目</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要求：生物质燃料和原料运输过程中用毡布覆盖，装卸过程中严格遵守在封闭仓库内进行；</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运输车辆严格控制车速减速慢行，</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车辆进厂后及时洒水降尘</w:t>
            </w:r>
            <w:r>
              <w:rPr>
                <w:rFonts w:hint="eastAsia" w:cs="Times New Roman"/>
                <w:color w:val="000000" w:themeColor="text1"/>
                <w:sz w:val="24"/>
                <w:szCs w:val="24"/>
                <w:highlight w:val="none"/>
                <w:lang w:val="en-US" w:eastAsia="zh-CN"/>
                <w14:textFill>
                  <w14:solidFill>
                    <w14:schemeClr w14:val="tx1"/>
                  </w14:solidFill>
                </w14:textFill>
              </w:rPr>
              <w:t>。</w:t>
            </w:r>
          </w:p>
          <w:p w14:paraId="5CDA43D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卸粮废气</w:t>
            </w:r>
          </w:p>
          <w:p w14:paraId="5D54698C">
            <w:pPr>
              <w:pStyle w:val="66"/>
              <w:keepNext w:val="0"/>
              <w:keepLines w:val="0"/>
              <w:suppressLineNumbers w:val="0"/>
              <w:spacing w:before="0" w:beforeLines="0" w:beforeAutospacing="0" w:after="0" w:afterLines="0" w:afterAutospacing="0" w:line="360" w:lineRule="auto"/>
              <w:ind w:left="0" w:right="0" w:firstLine="48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本项目原粮卸粮过程中会产生废气，主要污染物为颗粒物，根据《逸散性工业粉尘控制技术》中谷物贮仓，卡车卸料粉尘系数为0.16kg/t（卸料），本项目原粮卸料总量为</w:t>
            </w:r>
            <w:r>
              <w:rPr>
                <w:rFonts w:hint="eastAsia" w:cs="Times New Roman"/>
                <w:color w:val="000000" w:themeColor="text1"/>
                <w:sz w:val="24"/>
                <w:szCs w:val="24"/>
                <w:highlight w:val="none"/>
                <w:lang w:val="en-US" w:eastAsia="zh-CN"/>
                <w14:textFill>
                  <w14:solidFill>
                    <w14:schemeClr w14:val="tx1"/>
                  </w14:solidFill>
                </w14:textFill>
              </w:rPr>
              <w:t>360</w:t>
            </w:r>
            <w:r>
              <w:rPr>
                <w:rFonts w:hint="default" w:ascii="Times New Roman" w:hAnsi="Times New Roman" w:eastAsia="宋体" w:cs="Times New Roman"/>
                <w:color w:val="000000" w:themeColor="text1"/>
                <w:sz w:val="24"/>
                <w:szCs w:val="24"/>
                <w:highlight w:val="none"/>
                <w14:textFill>
                  <w14:solidFill>
                    <w14:schemeClr w14:val="tx1"/>
                  </w14:solidFill>
                </w14:textFill>
              </w:rPr>
              <w:t>00吨，粉尘产生量为</w:t>
            </w:r>
            <w:r>
              <w:rPr>
                <w:rFonts w:hint="eastAsia" w:cs="Times New Roman"/>
                <w:color w:val="000000" w:themeColor="text1"/>
                <w:sz w:val="24"/>
                <w:szCs w:val="24"/>
                <w:highlight w:val="none"/>
                <w:lang w:val="en-US" w:eastAsia="zh-CN"/>
                <w14:textFill>
                  <w14:solidFill>
                    <w14:schemeClr w14:val="tx1"/>
                  </w14:solidFill>
                </w14:textFill>
              </w:rPr>
              <w:t>5.76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t</w:t>
            </w:r>
            <w:r>
              <w:rPr>
                <w:rFonts w:hint="default" w:ascii="Times New Roman" w:hAnsi="Times New Roman" w:eastAsia="宋体" w:cs="Times New Roman"/>
                <w:color w:val="000000" w:themeColor="text1"/>
                <w:sz w:val="24"/>
                <w:szCs w:val="24"/>
                <w:highlight w:val="none"/>
                <w14:textFill>
                  <w14:solidFill>
                    <w14:schemeClr w14:val="tx1"/>
                  </w14:solidFill>
                </w14:textFill>
              </w:rPr>
              <w:t>/a，卸粮时间按</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每天</w:t>
            </w:r>
            <w:r>
              <w:rPr>
                <w:rFonts w:hint="eastAsia" w:cs="Times New Roman"/>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4"/>
                <w:szCs w:val="24"/>
                <w:highlight w:val="none"/>
                <w14:textFill>
                  <w14:solidFill>
                    <w14:schemeClr w14:val="tx1"/>
                  </w14:solidFill>
                </w14:textFill>
              </w:rPr>
              <w:t>h</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年工作</w:t>
            </w:r>
            <w:r>
              <w:rPr>
                <w:rFonts w:hint="eastAsia" w:cs="Times New Roman"/>
                <w:color w:val="000000" w:themeColor="text1"/>
                <w:sz w:val="24"/>
                <w:szCs w:val="24"/>
                <w:highlight w:val="none"/>
                <w:lang w:val="en-US" w:eastAsia="zh-CN"/>
                <w14:textFill>
                  <w14:solidFill>
                    <w14:schemeClr w14:val="tx1"/>
                  </w14:solidFill>
                </w14:textFill>
              </w:rPr>
              <w:t>60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天</w:t>
            </w:r>
            <w:r>
              <w:rPr>
                <w:rFonts w:hint="default" w:ascii="Times New Roman" w:hAnsi="Times New Roman" w:eastAsia="宋体" w:cs="Times New Roman"/>
                <w:color w:val="000000" w:themeColor="text1"/>
                <w:sz w:val="24"/>
                <w:szCs w:val="24"/>
                <w:highlight w:val="none"/>
                <w14:textFill>
                  <w14:solidFill>
                    <w14:schemeClr w14:val="tx1"/>
                  </w14:solidFill>
                </w14:textFill>
              </w:rPr>
              <w:t>计，产生速率为</w:t>
            </w:r>
            <w:r>
              <w:rPr>
                <w:rFonts w:hint="eastAsia" w:cs="Times New Roman"/>
                <w:color w:val="000000" w:themeColor="text1"/>
                <w:sz w:val="24"/>
                <w:szCs w:val="24"/>
                <w:highlight w:val="none"/>
                <w:lang w:val="en-US" w:eastAsia="zh-CN"/>
                <w14:textFill>
                  <w14:solidFill>
                    <w14:schemeClr w14:val="tx1"/>
                  </w14:solidFill>
                </w14:textFill>
              </w:rPr>
              <w:t>12</w:t>
            </w:r>
            <w:r>
              <w:rPr>
                <w:rFonts w:hint="default" w:ascii="Times New Roman" w:hAnsi="Times New Roman" w:eastAsia="宋体" w:cs="Times New Roman"/>
                <w:color w:val="000000" w:themeColor="text1"/>
                <w:sz w:val="24"/>
                <w:szCs w:val="24"/>
                <w:highlight w:val="none"/>
                <w14:textFill>
                  <w14:solidFill>
                    <w14:schemeClr w14:val="tx1"/>
                  </w14:solidFill>
                </w14:textFill>
              </w:rPr>
              <w:t>kg/h</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根据《排放源统计调查产排污核算方法和系数手册》“附表2固体物料堆存颗粒物产排污核算系数手册”中“附录4：粉尘控制措施控制效率”，围挡控制效率为60%，则原粮装卸、输送过程无组织排放粉尘为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4.8</w:t>
            </w:r>
            <w:r>
              <w:rPr>
                <w:rFonts w:hint="default" w:ascii="Times New Roman" w:hAnsi="Times New Roman" w:eastAsia="宋体" w:cs="Times New Roman"/>
                <w:color w:val="000000" w:themeColor="text1"/>
                <w:sz w:val="24"/>
                <w:szCs w:val="24"/>
                <w:highlight w:val="none"/>
                <w14:textFill>
                  <w14:solidFill>
                    <w14:schemeClr w14:val="tx1"/>
                  </w14:solidFill>
                </w14:textFill>
              </w:rPr>
              <w:t>kg/h</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2.304</w:t>
            </w:r>
            <w:r>
              <w:rPr>
                <w:rFonts w:hint="default" w:ascii="Times New Roman" w:hAnsi="Times New Roman" w:eastAsia="宋体" w:cs="Times New Roman"/>
                <w:color w:val="000000" w:themeColor="text1"/>
                <w:sz w:val="24"/>
                <w:szCs w:val="24"/>
                <w:highlight w:val="none"/>
                <w14:textFill>
                  <w14:solidFill>
                    <w14:schemeClr w14:val="tx1"/>
                  </w14:solidFill>
                </w14:textFill>
              </w:rPr>
              <w:t>t/a。</w:t>
            </w:r>
          </w:p>
          <w:p w14:paraId="77AAB556">
            <w:pPr>
              <w:pStyle w:val="66"/>
              <w:keepNext w:val="0"/>
              <w:keepLines w:val="0"/>
              <w:suppressLineNumbers w:val="0"/>
              <w:spacing w:before="0" w:beforeLines="0" w:beforeAutospacing="0" w:after="0" w:afterLines="0" w:afterAutospacing="0" w:line="360" w:lineRule="auto"/>
              <w:ind w:left="0" w:right="0" w:firstLine="48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）筛分废气</w:t>
            </w:r>
          </w:p>
          <w:p w14:paraId="053013E4">
            <w:pPr>
              <w:pStyle w:val="2"/>
              <w:keepNext w:val="0"/>
              <w:keepLines w:val="0"/>
              <w:suppressLineNumbers w:val="0"/>
              <w:spacing w:before="0" w:beforeAutospacing="0" w:after="0" w:afterAutospacing="0"/>
              <w:ind w:left="0" w:right="0"/>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本项目原粮筛分过程中会产生废气，主要污染物为颗粒物，根据《逸散性工业粉尘控制技术》中谷物贮仓，筛分粉尘系数为0.1kg/t（过筛和清理），本项目筛分原粮量</w:t>
            </w:r>
            <w:r>
              <w:rPr>
                <w:rFonts w:hint="eastAsia" w:cs="Times New Roman"/>
                <w:color w:val="000000" w:themeColor="text1"/>
                <w:sz w:val="24"/>
                <w:szCs w:val="24"/>
                <w:highlight w:val="none"/>
                <w:lang w:val="en-US" w:eastAsia="zh-CN"/>
                <w14:textFill>
                  <w14:solidFill>
                    <w14:schemeClr w14:val="tx1"/>
                  </w14:solidFill>
                </w14:textFill>
              </w:rPr>
              <w:t>35994.24</w:t>
            </w:r>
            <w:r>
              <w:rPr>
                <w:rFonts w:hint="default" w:ascii="Times New Roman" w:hAnsi="Times New Roman" w:eastAsia="宋体" w:cs="Times New Roman"/>
                <w:color w:val="000000" w:themeColor="text1"/>
                <w:sz w:val="24"/>
                <w:szCs w:val="24"/>
                <w:highlight w:val="none"/>
                <w14:textFill>
                  <w14:solidFill>
                    <w14:schemeClr w14:val="tx1"/>
                  </w14:solidFill>
                </w14:textFill>
              </w:rPr>
              <w:t>吨，则粉尘产生量为</w:t>
            </w:r>
            <w:r>
              <w:rPr>
                <w:rFonts w:hint="eastAsia" w:cs="Times New Roman"/>
                <w:color w:val="000000" w:themeColor="text1"/>
                <w:sz w:val="24"/>
                <w:szCs w:val="24"/>
                <w:highlight w:val="none"/>
                <w:lang w:val="en-US" w:eastAsia="zh-CN"/>
                <w14:textFill>
                  <w14:solidFill>
                    <w14:schemeClr w14:val="tx1"/>
                  </w14:solidFill>
                </w14:textFill>
              </w:rPr>
              <w:t>3.6</w:t>
            </w:r>
            <w:r>
              <w:rPr>
                <w:rFonts w:hint="default" w:ascii="Times New Roman" w:hAnsi="Times New Roman" w:eastAsia="宋体" w:cs="Times New Roman"/>
                <w:color w:val="000000" w:themeColor="text1"/>
                <w:sz w:val="24"/>
                <w:szCs w:val="24"/>
                <w:highlight w:val="none"/>
                <w14:textFill>
                  <w14:solidFill>
                    <w14:schemeClr w14:val="tx1"/>
                  </w14:solidFill>
                </w14:textFill>
              </w:rPr>
              <w:t>t/a，原粮筛分时间按</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每天</w:t>
            </w:r>
            <w:r>
              <w:rPr>
                <w:rFonts w:hint="eastAsia" w:cs="Times New Roman"/>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4"/>
                <w:szCs w:val="24"/>
                <w:highlight w:val="none"/>
                <w14:textFill>
                  <w14:solidFill>
                    <w14:schemeClr w14:val="tx1"/>
                  </w14:solidFill>
                </w14:textFill>
              </w:rPr>
              <w:t>h</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年工作</w:t>
            </w:r>
            <w:r>
              <w:rPr>
                <w:rFonts w:hint="eastAsia" w:cs="Times New Roman"/>
                <w:color w:val="000000" w:themeColor="text1"/>
                <w:sz w:val="24"/>
                <w:szCs w:val="24"/>
                <w:highlight w:val="none"/>
                <w:lang w:val="en-US" w:eastAsia="zh-CN"/>
                <w14:textFill>
                  <w14:solidFill>
                    <w14:schemeClr w14:val="tx1"/>
                  </w14:solidFill>
                </w14:textFill>
              </w:rPr>
              <w:t>60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天</w:t>
            </w:r>
            <w:r>
              <w:rPr>
                <w:rFonts w:hint="default" w:ascii="Times New Roman" w:hAnsi="Times New Roman" w:eastAsia="宋体" w:cs="Times New Roman"/>
                <w:color w:val="000000" w:themeColor="text1"/>
                <w:sz w:val="24"/>
                <w:szCs w:val="24"/>
                <w:highlight w:val="none"/>
                <w14:textFill>
                  <w14:solidFill>
                    <w14:schemeClr w14:val="tx1"/>
                  </w14:solidFill>
                </w14:textFill>
              </w:rPr>
              <w:t>计，产生速率</w:t>
            </w:r>
            <w:r>
              <w:rPr>
                <w:rFonts w:hint="eastAsia" w:cs="Times New Roman"/>
                <w:color w:val="000000" w:themeColor="text1"/>
                <w:sz w:val="24"/>
                <w:szCs w:val="24"/>
                <w:highlight w:val="none"/>
                <w:lang w:val="en-US" w:eastAsia="zh-CN"/>
                <w14:textFill>
                  <w14:solidFill>
                    <w14:schemeClr w14:val="tx1"/>
                  </w14:solidFill>
                </w14:textFill>
              </w:rPr>
              <w:t>7.5</w:t>
            </w:r>
            <w:r>
              <w:rPr>
                <w:rFonts w:hint="default" w:ascii="Times New Roman" w:hAnsi="Times New Roman" w:eastAsia="宋体" w:cs="Times New Roman"/>
                <w:color w:val="000000" w:themeColor="text1"/>
                <w:sz w:val="24"/>
                <w:szCs w:val="24"/>
                <w:highlight w:val="none"/>
                <w14:textFill>
                  <w14:solidFill>
                    <w14:schemeClr w14:val="tx1"/>
                  </w14:solidFill>
                </w14:textFill>
              </w:rPr>
              <w:t>kg/h，采用</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密闭</w:t>
            </w:r>
            <w:r>
              <w:rPr>
                <w:rFonts w:hint="default" w:ascii="Times New Roman" w:hAnsi="Times New Roman" w:eastAsia="宋体" w:cs="Times New Roman"/>
                <w:color w:val="000000" w:themeColor="text1"/>
                <w:sz w:val="24"/>
                <w:szCs w:val="24"/>
                <w:highlight w:val="none"/>
                <w14:textFill>
                  <w14:solidFill>
                    <w14:schemeClr w14:val="tx1"/>
                  </w14:solidFill>
                </w14:textFill>
              </w:rPr>
              <w:t>式</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环保设备</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滚筒筛外部被密封隔离罩所密封，</w:t>
            </w:r>
            <w:r>
              <w:rPr>
                <w:rFonts w:hint="default" w:ascii="Times New Roman" w:hAnsi="Times New Roman" w:eastAsia="宋体" w:cs="Times New Roman"/>
                <w:color w:val="000000" w:themeColor="text1"/>
                <w:sz w:val="24"/>
                <w:szCs w:val="24"/>
                <w:highlight w:val="none"/>
                <w14:textFill>
                  <w14:solidFill>
                    <w14:schemeClr w14:val="tx1"/>
                  </w14:solidFill>
                </w14:textFill>
              </w:rPr>
              <w:t>原粮筛分粉尘</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排放量约为产生量的10%，</w:t>
            </w:r>
            <w:r>
              <w:rPr>
                <w:rFonts w:hint="default" w:ascii="Times New Roman" w:hAnsi="Times New Roman" w:eastAsia="宋体" w:cs="Times New Roman"/>
                <w:color w:val="000000" w:themeColor="text1"/>
                <w:sz w:val="24"/>
                <w:szCs w:val="24"/>
                <w:highlight w:val="none"/>
                <w14:textFill>
                  <w14:solidFill>
                    <w14:schemeClr w14:val="tx1"/>
                  </w14:solidFill>
                </w14:textFill>
              </w:rPr>
              <w:t>则筛分粉尘排放量为</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0.</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36</w:t>
            </w:r>
            <w:r>
              <w:rPr>
                <w:rFonts w:hint="default" w:ascii="Times New Roman" w:hAnsi="Times New Roman" w:eastAsia="宋体" w:cs="Times New Roman"/>
                <w:color w:val="000000" w:themeColor="text1"/>
                <w:sz w:val="24"/>
                <w:szCs w:val="24"/>
                <w:highlight w:val="none"/>
                <w14:textFill>
                  <w14:solidFill>
                    <w14:schemeClr w14:val="tx1"/>
                  </w14:solidFill>
                </w14:textFill>
              </w:rPr>
              <w:t>t/a</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0.75</w:t>
            </w:r>
            <w:r>
              <w:rPr>
                <w:rFonts w:hint="default" w:ascii="Times New Roman" w:hAnsi="Times New Roman" w:eastAsia="宋体" w:cs="Times New Roman"/>
                <w:color w:val="000000" w:themeColor="text1"/>
                <w:sz w:val="24"/>
                <w:szCs w:val="24"/>
                <w:highlight w:val="none"/>
                <w14:textFill>
                  <w14:solidFill>
                    <w14:schemeClr w14:val="tx1"/>
                  </w14:solidFill>
                </w14:textFill>
              </w:rPr>
              <w:t>kg/h</w:t>
            </w:r>
            <w:r>
              <w:rPr>
                <w:rFonts w:hint="eastAsia" w:cs="Times New Roman"/>
                <w:color w:val="000000" w:themeColor="text1"/>
                <w:sz w:val="24"/>
                <w:szCs w:val="24"/>
                <w:highlight w:val="none"/>
                <w:lang w:eastAsia="zh-CN"/>
                <w14:textFill>
                  <w14:solidFill>
                    <w14:schemeClr w14:val="tx1"/>
                  </w14:solidFill>
                </w14:textFill>
              </w:rPr>
              <w:t>。</w:t>
            </w:r>
          </w:p>
          <w:p w14:paraId="4FCD4061">
            <w:pPr>
              <w:pStyle w:val="66"/>
              <w:keepNext w:val="0"/>
              <w:keepLines w:val="0"/>
              <w:suppressLineNumbers w:val="0"/>
              <w:spacing w:before="0" w:beforeLines="0" w:beforeAutospacing="0" w:after="0" w:afterLines="0" w:afterAutospacing="0" w:line="360" w:lineRule="auto"/>
              <w:ind w:left="0" w:right="0" w:firstLine="48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highlight w:val="none"/>
                <w14:textFill>
                  <w14:solidFill>
                    <w14:schemeClr w14:val="tx1"/>
                  </w14:solidFill>
                </w14:textFill>
              </w:rPr>
              <w:t>）烘干塔废气</w:t>
            </w:r>
          </w:p>
          <w:p w14:paraId="7316EB6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原粮烘干过程中会有粉尘产生，参考《逸散性工业粉尘控制技术》（中国环境科学出版社）谷物贮仓章节中，对谷物烘干过程中产尘系数的分析，本次产尘系数按照0.1千克/吨-原料进行核算，根据物料平衡，进入烘干塔原粮量为</w:t>
            </w:r>
            <w:r>
              <w:rPr>
                <w:rFonts w:hint="eastAsia" w:cs="Times New Roman"/>
                <w:color w:val="000000" w:themeColor="text1"/>
                <w:sz w:val="24"/>
                <w:szCs w:val="24"/>
                <w:highlight w:val="none"/>
                <w:lang w:val="en-US" w:eastAsia="zh-CN"/>
                <w14:textFill>
                  <w14:solidFill>
                    <w14:schemeClr w14:val="tx1"/>
                  </w14:solidFill>
                </w14:textFill>
              </w:rPr>
              <w:t>35990.64</w:t>
            </w:r>
            <w:r>
              <w:rPr>
                <w:rFonts w:hint="default" w:ascii="Times New Roman" w:hAnsi="Times New Roman" w:eastAsia="宋体" w:cs="Times New Roman"/>
                <w:color w:val="000000" w:themeColor="text1"/>
                <w:sz w:val="24"/>
                <w:szCs w:val="24"/>
                <w:highlight w:val="none"/>
                <w14:textFill>
                  <w14:solidFill>
                    <w14:schemeClr w14:val="tx1"/>
                  </w14:solidFill>
                </w14:textFill>
              </w:rPr>
              <w:t>t/a，则产生粉尘量</w:t>
            </w:r>
            <w:r>
              <w:rPr>
                <w:rFonts w:hint="eastAsia" w:cs="Times New Roman"/>
                <w:color w:val="000000" w:themeColor="text1"/>
                <w:sz w:val="24"/>
                <w:szCs w:val="24"/>
                <w:highlight w:val="none"/>
                <w:lang w:val="en-US" w:eastAsia="zh-CN"/>
                <w14:textFill>
                  <w14:solidFill>
                    <w14:schemeClr w14:val="tx1"/>
                  </w14:solidFill>
                </w14:textFill>
              </w:rPr>
              <w:t>3.6</w:t>
            </w:r>
            <w:r>
              <w:rPr>
                <w:rFonts w:hint="default" w:ascii="Times New Roman" w:hAnsi="Times New Roman" w:eastAsia="宋体" w:cs="Times New Roman"/>
                <w:color w:val="000000" w:themeColor="text1"/>
                <w:sz w:val="24"/>
                <w:szCs w:val="24"/>
                <w:highlight w:val="none"/>
                <w14:textFill>
                  <w14:solidFill>
                    <w14:schemeClr w14:val="tx1"/>
                  </w14:solidFill>
                </w14:textFill>
              </w:rPr>
              <w:t>t/a，烘干塔工作时间按</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每天24</w:t>
            </w:r>
            <w:r>
              <w:rPr>
                <w:rFonts w:hint="default" w:ascii="Times New Roman" w:hAnsi="Times New Roman" w:eastAsia="宋体" w:cs="Times New Roman"/>
                <w:color w:val="000000" w:themeColor="text1"/>
                <w:sz w:val="24"/>
                <w:szCs w:val="24"/>
                <w:highlight w:val="none"/>
                <w14:textFill>
                  <w14:solidFill>
                    <w14:schemeClr w14:val="tx1"/>
                  </w14:solidFill>
                </w14:textFill>
              </w:rPr>
              <w:t>h</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年工作</w:t>
            </w:r>
            <w:r>
              <w:rPr>
                <w:rFonts w:hint="eastAsia" w:cs="Times New Roman"/>
                <w:color w:val="000000" w:themeColor="text1"/>
                <w:sz w:val="24"/>
                <w:szCs w:val="24"/>
                <w:highlight w:val="none"/>
                <w:lang w:val="en-US" w:eastAsia="zh-CN"/>
                <w14:textFill>
                  <w14:solidFill>
                    <w14:schemeClr w14:val="tx1"/>
                  </w14:solidFill>
                </w14:textFill>
              </w:rPr>
              <w:t>60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天</w:t>
            </w:r>
            <w:r>
              <w:rPr>
                <w:rFonts w:hint="default" w:ascii="Times New Roman" w:hAnsi="Times New Roman" w:eastAsia="宋体" w:cs="Times New Roman"/>
                <w:color w:val="000000" w:themeColor="text1"/>
                <w:sz w:val="24"/>
                <w:szCs w:val="24"/>
                <w:highlight w:val="none"/>
                <w14:textFill>
                  <w14:solidFill>
                    <w14:schemeClr w14:val="tx1"/>
                  </w14:solidFill>
                </w14:textFill>
              </w:rPr>
              <w:t>计，产生速率</w:t>
            </w:r>
            <w:r>
              <w:rPr>
                <w:rFonts w:hint="eastAsia" w:cs="Times New Roman"/>
                <w:color w:val="000000" w:themeColor="text1"/>
                <w:sz w:val="24"/>
                <w:szCs w:val="24"/>
                <w:highlight w:val="none"/>
                <w:lang w:val="en-US" w:eastAsia="zh-CN"/>
                <w14:textFill>
                  <w14:solidFill>
                    <w14:schemeClr w14:val="tx1"/>
                  </w14:solidFill>
                </w14:textFill>
              </w:rPr>
              <w:t>2.50</w:t>
            </w:r>
            <w:r>
              <w:rPr>
                <w:rFonts w:hint="default" w:ascii="Times New Roman" w:hAnsi="Times New Roman" w:eastAsia="宋体" w:cs="Times New Roman"/>
                <w:color w:val="000000" w:themeColor="text1"/>
                <w:sz w:val="24"/>
                <w:szCs w:val="24"/>
                <w:highlight w:val="none"/>
                <w14:textFill>
                  <w14:solidFill>
                    <w14:schemeClr w14:val="tx1"/>
                  </w14:solidFill>
                </w14:textFill>
              </w:rPr>
              <w:t>kg/h，烘干塔塔体两侧排气孔设置折流挡板，</w:t>
            </w:r>
            <w:r>
              <w:rPr>
                <w:rFonts w:hint="eastAsia" w:cs="Times New Roman"/>
                <w:color w:val="auto"/>
                <w:sz w:val="24"/>
                <w:szCs w:val="24"/>
                <w:highlight w:val="none"/>
                <w:lang w:val="en-US" w:eastAsia="zh-CN"/>
              </w:rPr>
              <w:t>粉尘受挡板格挡后受重力作用回落到烘干塔底部收尘设施中</w:t>
            </w:r>
            <w:r>
              <w:rPr>
                <w:rFonts w:hint="default" w:ascii="Times New Roman" w:hAnsi="Times New Roman" w:cs="Times New Roman"/>
                <w:color w:val="auto"/>
                <w:sz w:val="24"/>
                <w:szCs w:val="24"/>
                <w:highlight w:val="none"/>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塔顶排气孔滤尘网过滤能有效控制大粒径粉尘的排放，</w:t>
            </w:r>
            <w:r>
              <w:rPr>
                <w:rFonts w:hint="default" w:ascii="Times New Roman" w:hAnsi="Times New Roman" w:cs="Times New Roman"/>
                <w:color w:val="auto"/>
                <w:sz w:val="24"/>
                <w:szCs w:val="24"/>
                <w:highlight w:val="none"/>
              </w:rPr>
              <w:t>大幅减少烘干工段无组织粉尘排放量</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根据《排放源统计调查产排污核算方法和系数手册》</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szCs w:val="24"/>
                <w:highlight w:val="none"/>
              </w:rPr>
              <w:t>附表2 固体物料堆存颗粒物产排污核算系数手册”中“附录4：粉尘控制措施控制效率，围挡控制效率为60%</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szCs w:val="24"/>
                <w:highlight w:val="none"/>
              </w:rPr>
              <w:t>，所以本项目烘干塔抑尘效率按60%计，则</w:t>
            </w:r>
            <w:r>
              <w:rPr>
                <w:rFonts w:hint="default" w:ascii="Times New Roman" w:hAnsi="Times New Roman" w:eastAsia="宋体" w:cs="Times New Roman"/>
                <w:color w:val="000000" w:themeColor="text1"/>
                <w:sz w:val="24"/>
                <w:szCs w:val="24"/>
                <w:highlight w:val="none"/>
                <w14:textFill>
                  <w14:solidFill>
                    <w14:schemeClr w14:val="tx1"/>
                  </w14:solidFill>
                </w14:textFill>
              </w:rPr>
              <w:t>排放速率为</w:t>
            </w:r>
            <w:r>
              <w:rPr>
                <w:rFonts w:hint="eastAsia" w:cs="Times New Roman"/>
                <w:color w:val="000000" w:themeColor="text1"/>
                <w:sz w:val="24"/>
                <w:szCs w:val="24"/>
                <w:highlight w:val="none"/>
                <w:lang w:val="en-US" w:eastAsia="zh-CN"/>
                <w14:textFill>
                  <w14:solidFill>
                    <w14:schemeClr w14:val="tx1"/>
                  </w14:solidFill>
                </w14:textFill>
              </w:rPr>
              <w:t>1.00</w:t>
            </w:r>
            <w:r>
              <w:rPr>
                <w:rFonts w:hint="default" w:ascii="Times New Roman" w:hAnsi="Times New Roman" w:eastAsia="宋体" w:cs="Times New Roman"/>
                <w:color w:val="000000" w:themeColor="text1"/>
                <w:sz w:val="24"/>
                <w:szCs w:val="24"/>
                <w:highlight w:val="none"/>
                <w14:textFill>
                  <w14:solidFill>
                    <w14:schemeClr w14:val="tx1"/>
                  </w14:solidFill>
                </w14:textFill>
              </w:rPr>
              <w:t>kg/h，排放量为</w:t>
            </w:r>
            <w:r>
              <w:rPr>
                <w:rFonts w:hint="eastAsia" w:cs="Times New Roman"/>
                <w:color w:val="000000" w:themeColor="text1"/>
                <w:sz w:val="24"/>
                <w:szCs w:val="24"/>
                <w:highlight w:val="none"/>
                <w:lang w:val="en-US" w:eastAsia="zh-CN"/>
                <w14:textFill>
                  <w14:solidFill>
                    <w14:schemeClr w14:val="tx1"/>
                  </w14:solidFill>
                </w14:textFill>
              </w:rPr>
              <w:t>1.44</w:t>
            </w:r>
            <w:r>
              <w:rPr>
                <w:rFonts w:hint="default" w:ascii="Times New Roman" w:hAnsi="Times New Roman" w:eastAsia="宋体" w:cs="Times New Roman"/>
                <w:color w:val="000000" w:themeColor="text1"/>
                <w:sz w:val="24"/>
                <w:szCs w:val="24"/>
                <w:highlight w:val="none"/>
                <w14:textFill>
                  <w14:solidFill>
                    <w14:schemeClr w14:val="tx1"/>
                  </w14:solidFill>
                </w14:textFill>
              </w:rPr>
              <w:t>t/a。</w:t>
            </w:r>
          </w:p>
          <w:p w14:paraId="67782395">
            <w:pPr>
              <w:keepNext w:val="0"/>
              <w:keepLines w:val="0"/>
              <w:widowControl/>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highlight w:val="none"/>
                <w:lang w:val="en-US" w:eastAsia="zh-CN" w:bidi="ar"/>
              </w:rPr>
            </w:pP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晾晒场</w:t>
            </w:r>
            <w:r>
              <w:rPr>
                <w:rFonts w:hint="default" w:ascii="Times New Roman" w:hAnsi="Times New Roman" w:eastAsia="宋体" w:cs="Times New Roman"/>
                <w:color w:val="auto"/>
                <w:kern w:val="0"/>
                <w:sz w:val="24"/>
                <w:highlight w:val="none"/>
                <w:lang w:val="en-US" w:eastAsia="zh-CN" w:bidi="ar"/>
              </w:rPr>
              <w:t>粉尘</w:t>
            </w:r>
          </w:p>
          <w:p w14:paraId="11E0065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本项目设置</w:t>
            </w:r>
            <w:r>
              <w:rPr>
                <w:rFonts w:hint="eastAsia" w:ascii="Times New Roman" w:hAnsi="Times New Roman" w:eastAsia="宋体" w:cs="Times New Roman"/>
                <w:color w:val="auto"/>
                <w:sz w:val="24"/>
                <w:szCs w:val="24"/>
                <w:highlight w:val="none"/>
                <w:lang w:val="en-US" w:eastAsia="zh-CN"/>
              </w:rPr>
              <w:t>晾晒</w:t>
            </w:r>
            <w:r>
              <w:rPr>
                <w:rFonts w:hint="default" w:ascii="Times New Roman" w:hAnsi="Times New Roman" w:eastAsia="宋体" w:cs="Times New Roman"/>
                <w:color w:val="auto"/>
                <w:sz w:val="24"/>
                <w:szCs w:val="24"/>
                <w:highlight w:val="none"/>
                <w:lang w:val="en-US" w:eastAsia="zh-CN"/>
              </w:rPr>
              <w:t>场，依据《扬尘源颗粒物排放清单编制技术指南》，计算晾晒场产生的粉尘。</w:t>
            </w:r>
          </w:p>
          <w:p w14:paraId="532D870D">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drawing>
                <wp:inline distT="0" distB="0" distL="114300" distR="114300">
                  <wp:extent cx="3418205" cy="471805"/>
                  <wp:effectExtent l="0" t="0" r="10795" b="4445"/>
                  <wp:docPr id="2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8"/>
                          <pic:cNvPicPr>
                            <a:picLocks noChangeAspect="1"/>
                          </pic:cNvPicPr>
                        </pic:nvPicPr>
                        <pic:blipFill>
                          <a:blip r:embed="rId23"/>
                          <a:srcRect t="9200" r="15779" b="13600"/>
                          <a:stretch>
                            <a:fillRect/>
                          </a:stretch>
                        </pic:blipFill>
                        <pic:spPr>
                          <a:xfrm>
                            <a:off x="0" y="0"/>
                            <a:ext cx="3418205" cy="471805"/>
                          </a:xfrm>
                          <a:prstGeom prst="rect">
                            <a:avLst/>
                          </a:prstGeom>
                          <a:noFill/>
                          <a:ln>
                            <a:noFill/>
                          </a:ln>
                        </pic:spPr>
                      </pic:pic>
                    </a:graphicData>
                  </a:graphic>
                </wp:inline>
              </w:drawing>
            </w:r>
          </w:p>
          <w:p w14:paraId="24321C95">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式中：W</w:t>
            </w:r>
            <w:r>
              <w:rPr>
                <w:rFonts w:hint="default" w:ascii="Times New Roman" w:hAnsi="Times New Roman" w:eastAsia="宋体" w:cs="Times New Roman"/>
                <w:color w:val="auto"/>
                <w:sz w:val="24"/>
                <w:szCs w:val="24"/>
                <w:highlight w:val="none"/>
                <w:vertAlign w:val="subscript"/>
                <w:lang w:val="en-US" w:eastAsia="zh-CN"/>
              </w:rPr>
              <w:t>Y</w:t>
            </w:r>
            <w:r>
              <w:rPr>
                <w:rFonts w:hint="default" w:ascii="Times New Roman" w:hAnsi="Times New Roman" w:eastAsia="宋体" w:cs="Times New Roman"/>
                <w:color w:val="auto"/>
                <w:sz w:val="24"/>
                <w:szCs w:val="24"/>
                <w:highlight w:val="none"/>
                <w:lang w:val="en-US" w:eastAsia="zh-CN"/>
              </w:rPr>
              <w:t>—堆场扬尘源中颗粒物总排放量，t/a；</w:t>
            </w:r>
          </w:p>
          <w:p w14:paraId="41AF723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1200" w:firstLineChars="5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E</w:t>
            </w:r>
            <w:r>
              <w:rPr>
                <w:rFonts w:hint="default" w:ascii="Times New Roman" w:hAnsi="Times New Roman" w:eastAsia="宋体" w:cs="Times New Roman"/>
                <w:color w:val="auto"/>
                <w:sz w:val="24"/>
                <w:szCs w:val="24"/>
                <w:highlight w:val="none"/>
                <w:vertAlign w:val="subscript"/>
                <w:lang w:val="en-US" w:eastAsia="zh-CN"/>
              </w:rPr>
              <w:t>h</w:t>
            </w:r>
            <w:r>
              <w:rPr>
                <w:rFonts w:hint="default" w:ascii="Times New Roman" w:hAnsi="Times New Roman" w:eastAsia="宋体" w:cs="Times New Roman"/>
                <w:color w:val="auto"/>
                <w:sz w:val="24"/>
                <w:szCs w:val="24"/>
                <w:highlight w:val="none"/>
                <w:lang w:val="en-US" w:eastAsia="zh-CN"/>
              </w:rPr>
              <w:t xml:space="preserve">—堆场装卸运输过程的扬尘颗粒物排放系数，kg/t； </w:t>
            </w:r>
          </w:p>
          <w:p w14:paraId="4E4F2C01">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1200" w:firstLineChars="5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m—每年料堆物料装卸总次数，取</w:t>
            </w:r>
            <w:r>
              <w:rPr>
                <w:rFonts w:hint="eastAsia" w:ascii="Times New Roman" w:hAnsi="Times New Roman" w:cs="Times New Roman"/>
                <w:color w:val="auto"/>
                <w:sz w:val="24"/>
                <w:szCs w:val="24"/>
                <w:highlight w:val="none"/>
                <w:lang w:val="en-US" w:eastAsia="zh-CN"/>
              </w:rPr>
              <w:t>60</w:t>
            </w:r>
            <w:r>
              <w:rPr>
                <w:rFonts w:hint="default" w:ascii="Times New Roman" w:hAnsi="Times New Roman" w:eastAsia="宋体" w:cs="Times New Roman"/>
                <w:color w:val="auto"/>
                <w:sz w:val="24"/>
                <w:szCs w:val="24"/>
                <w:highlight w:val="none"/>
                <w:lang w:val="en-US" w:eastAsia="zh-CN"/>
              </w:rPr>
              <w:t>次；</w:t>
            </w:r>
          </w:p>
          <w:p w14:paraId="218E02EA">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1200" w:firstLineChars="5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G</w:t>
            </w:r>
            <w:r>
              <w:rPr>
                <w:rFonts w:hint="default" w:ascii="Times New Roman" w:hAnsi="Times New Roman" w:eastAsia="宋体" w:cs="Times New Roman"/>
                <w:color w:val="auto"/>
                <w:sz w:val="24"/>
                <w:szCs w:val="24"/>
                <w:highlight w:val="none"/>
                <w:vertAlign w:val="subscript"/>
                <w:lang w:val="en-US" w:eastAsia="zh-CN"/>
              </w:rPr>
              <w:t>Yi</w:t>
            </w:r>
            <w:r>
              <w:rPr>
                <w:rFonts w:hint="default" w:ascii="Times New Roman" w:hAnsi="Times New Roman" w:eastAsia="宋体" w:cs="Times New Roman"/>
                <w:color w:val="auto"/>
                <w:sz w:val="24"/>
                <w:szCs w:val="24"/>
                <w:highlight w:val="none"/>
                <w:lang w:val="en-US" w:eastAsia="zh-CN"/>
              </w:rPr>
              <w:t>—第i次装卸过程的物料装卸量，取</w:t>
            </w:r>
            <w:r>
              <w:rPr>
                <w:rFonts w:hint="eastAsia" w:ascii="Times New Roman" w:hAnsi="Times New Roman" w:cs="Times New Roman"/>
                <w:color w:val="auto"/>
                <w:sz w:val="24"/>
                <w:szCs w:val="24"/>
                <w:highlight w:val="none"/>
                <w:lang w:val="en-US" w:eastAsia="zh-CN"/>
              </w:rPr>
              <w:t>6</w:t>
            </w:r>
            <w:r>
              <w:rPr>
                <w:rFonts w:hint="default" w:ascii="Times New Roman" w:hAnsi="Times New Roman" w:cs="Times New Roman"/>
                <w:color w:val="auto"/>
                <w:sz w:val="24"/>
                <w:szCs w:val="24"/>
                <w:highlight w:val="none"/>
                <w:lang w:val="en-US" w:eastAsia="zh-CN"/>
              </w:rPr>
              <w:t>00</w:t>
            </w:r>
            <w:r>
              <w:rPr>
                <w:rFonts w:hint="eastAsia" w:ascii="Times New Roman" w:hAnsi="Times New Roman"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lang w:val="en-US" w:eastAsia="zh-CN"/>
              </w:rPr>
              <w:t>t；</w:t>
            </w:r>
          </w:p>
          <w:p w14:paraId="10E82EB3">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1200" w:firstLineChars="5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E</w:t>
            </w:r>
            <w:r>
              <w:rPr>
                <w:rFonts w:hint="default" w:ascii="Times New Roman" w:hAnsi="Times New Roman" w:eastAsia="宋体" w:cs="Times New Roman"/>
                <w:color w:val="auto"/>
                <w:sz w:val="24"/>
                <w:szCs w:val="24"/>
                <w:highlight w:val="none"/>
                <w:vertAlign w:val="subscript"/>
                <w:lang w:val="en-US" w:eastAsia="zh-CN"/>
              </w:rPr>
              <w:t>w</w:t>
            </w:r>
            <w:r>
              <w:rPr>
                <w:rFonts w:hint="default" w:ascii="Times New Roman" w:hAnsi="Times New Roman" w:eastAsia="宋体" w:cs="Times New Roman"/>
                <w:color w:val="auto"/>
                <w:sz w:val="24"/>
                <w:szCs w:val="24"/>
                <w:highlight w:val="none"/>
                <w:lang w:val="en-US" w:eastAsia="zh-CN"/>
              </w:rPr>
              <w:t>—料堆受到风蚀作用的颗粒物排放系数，kg/m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，本项目堆场加盖苫布，设置防风抑尘网，无堆场风蚀，因此取0；</w:t>
            </w:r>
          </w:p>
          <w:p w14:paraId="6F4DDBA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1200" w:firstLineChars="5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vertAlign w:val="subscript"/>
                <w:lang w:val="en-US" w:eastAsia="zh-CN"/>
              </w:rPr>
              <w:t xml:space="preserve"> Y</w:t>
            </w:r>
            <w:r>
              <w:rPr>
                <w:rFonts w:hint="default" w:ascii="Times New Roman" w:hAnsi="Times New Roman" w:eastAsia="宋体" w:cs="Times New Roman"/>
                <w:color w:val="auto"/>
                <w:sz w:val="24"/>
                <w:szCs w:val="24"/>
                <w:highlight w:val="none"/>
                <w:lang w:val="en-US" w:eastAsia="zh-CN"/>
              </w:rPr>
              <w:t>—料堆表面积，m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，堆场占地面积约为</w:t>
            </w:r>
            <w:r>
              <w:rPr>
                <w:rFonts w:hint="eastAsia" w:ascii="Times New Roman" w:hAnsi="Times New Roman" w:cs="Times New Roman"/>
                <w:color w:val="auto"/>
                <w:sz w:val="24"/>
                <w:szCs w:val="24"/>
                <w:highlight w:val="none"/>
                <w:lang w:val="en-US" w:eastAsia="zh-CN"/>
              </w:rPr>
              <w:t>65</w:t>
            </w:r>
            <w:r>
              <w:rPr>
                <w:rFonts w:hint="default" w:ascii="Times New Roman" w:hAnsi="Times New Roman" w:cs="Times New Roman"/>
                <w:color w:val="auto"/>
                <w:sz w:val="24"/>
                <w:szCs w:val="24"/>
                <w:highlight w:val="none"/>
                <w:lang w:val="en-US" w:eastAsia="zh-CN"/>
              </w:rPr>
              <w:t>00</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vertAlign w:val="baseline"/>
                <w:lang w:val="en-US" w:eastAsia="zh-CN"/>
              </w:rPr>
              <w:t>，</w:t>
            </w:r>
            <w:r>
              <w:rPr>
                <w:rFonts w:hint="default" w:ascii="Times New Roman" w:hAnsi="Times New Roman" w:eastAsia="宋体" w:cs="Times New Roman"/>
                <w:color w:val="auto"/>
                <w:sz w:val="24"/>
                <w:szCs w:val="24"/>
                <w:highlight w:val="none"/>
                <w:lang w:val="en-US" w:eastAsia="zh-CN"/>
              </w:rPr>
              <w:t>料堆表面积约为2</w:t>
            </w:r>
            <w:r>
              <w:rPr>
                <w:rFonts w:hint="eastAsia"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0</w:t>
            </w:r>
            <w:r>
              <w:rPr>
                <w:rFonts w:hint="default" w:ascii="Times New Roman" w:hAnsi="Times New Roman"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w:t>
            </w:r>
          </w:p>
          <w:p w14:paraId="36B7BD6C">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drawing>
                <wp:inline distT="0" distB="0" distL="114300" distR="114300">
                  <wp:extent cx="2179320" cy="671195"/>
                  <wp:effectExtent l="0" t="0" r="11430" b="14605"/>
                  <wp:docPr id="2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9"/>
                          <pic:cNvPicPr>
                            <a:picLocks noChangeAspect="1"/>
                          </pic:cNvPicPr>
                        </pic:nvPicPr>
                        <pic:blipFill>
                          <a:blip r:embed="rId24"/>
                          <a:srcRect l="2960" t="10361" r="17992" b="4369"/>
                          <a:stretch>
                            <a:fillRect/>
                          </a:stretch>
                        </pic:blipFill>
                        <pic:spPr>
                          <a:xfrm>
                            <a:off x="0" y="0"/>
                            <a:ext cx="2179320" cy="671195"/>
                          </a:xfrm>
                          <a:prstGeom prst="rect">
                            <a:avLst/>
                          </a:prstGeom>
                          <a:noFill/>
                          <a:ln>
                            <a:noFill/>
                          </a:ln>
                        </pic:spPr>
                      </pic:pic>
                    </a:graphicData>
                  </a:graphic>
                </wp:inline>
              </w:drawing>
            </w:r>
          </w:p>
          <w:p w14:paraId="5126D8E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式中：E</w:t>
            </w:r>
            <w:r>
              <w:rPr>
                <w:rFonts w:hint="default" w:ascii="Times New Roman" w:hAnsi="Times New Roman" w:eastAsia="宋体" w:cs="Times New Roman"/>
                <w:color w:val="auto"/>
                <w:sz w:val="24"/>
                <w:szCs w:val="24"/>
                <w:highlight w:val="none"/>
                <w:vertAlign w:val="subscript"/>
                <w:lang w:val="en-US" w:eastAsia="zh-CN"/>
              </w:rPr>
              <w:t>h</w:t>
            </w:r>
            <w:r>
              <w:rPr>
                <w:rFonts w:hint="default" w:ascii="Times New Roman" w:hAnsi="Times New Roman" w:eastAsia="宋体" w:cs="Times New Roman"/>
                <w:color w:val="auto"/>
                <w:sz w:val="24"/>
                <w:szCs w:val="24"/>
                <w:highlight w:val="none"/>
                <w:lang w:val="en-US" w:eastAsia="zh-CN"/>
              </w:rPr>
              <w:t>—堆场装卸扬尘的排放系数，kg/t；</w:t>
            </w:r>
          </w:p>
          <w:p w14:paraId="7ABE529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1200" w:firstLineChars="5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k</w:t>
            </w:r>
            <w:r>
              <w:rPr>
                <w:rFonts w:hint="default" w:ascii="Times New Roman" w:hAnsi="Times New Roman" w:eastAsia="宋体" w:cs="Times New Roman"/>
                <w:color w:val="auto"/>
                <w:sz w:val="24"/>
                <w:szCs w:val="24"/>
                <w:highlight w:val="none"/>
                <w:vertAlign w:val="subscript"/>
                <w:lang w:val="en-US" w:eastAsia="zh-CN"/>
              </w:rPr>
              <w:t>i</w:t>
            </w:r>
            <w:r>
              <w:rPr>
                <w:rFonts w:hint="default" w:ascii="Times New Roman" w:hAnsi="Times New Roman" w:eastAsia="宋体" w:cs="Times New Roman"/>
                <w:color w:val="auto"/>
                <w:sz w:val="24"/>
                <w:szCs w:val="24"/>
                <w:highlight w:val="none"/>
                <w:lang w:val="en-US" w:eastAsia="zh-CN"/>
              </w:rPr>
              <w:t>—物料的粒度乘数，取0.74；</w:t>
            </w:r>
          </w:p>
          <w:p w14:paraId="6C50714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1200" w:firstLineChars="5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u—地面平均风速，m/s，取3.2；</w:t>
            </w:r>
          </w:p>
          <w:p w14:paraId="6F20A76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1200" w:firstLineChars="5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M—物料含水率，%，取28；</w:t>
            </w:r>
          </w:p>
          <w:p w14:paraId="2E2D14B1">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1200" w:firstLineChars="5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η—污染控制技术对扬尘的去除效率，%，本项目对堆场进行</w:t>
            </w:r>
            <w:r>
              <w:rPr>
                <w:rFonts w:hint="eastAsia" w:cs="Times New Roman"/>
                <w:color w:val="auto"/>
                <w:sz w:val="24"/>
                <w:szCs w:val="24"/>
                <w:highlight w:val="none"/>
                <w:lang w:val="en-US" w:eastAsia="zh-CN"/>
              </w:rPr>
              <w:t>苫盖</w:t>
            </w:r>
            <w:r>
              <w:rPr>
                <w:rFonts w:hint="default" w:ascii="Times New Roman" w:hAnsi="Times New Roman" w:eastAsia="宋体" w:cs="Times New Roman"/>
                <w:color w:val="auto"/>
                <w:sz w:val="24"/>
                <w:szCs w:val="24"/>
                <w:highlight w:val="none"/>
                <w:lang w:val="en-US" w:eastAsia="zh-CN"/>
              </w:rPr>
              <w:t>，去除效率取74%。</w:t>
            </w:r>
          </w:p>
          <w:p w14:paraId="20671A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rPr>
              <w:t>经计算E</w:t>
            </w:r>
            <w:r>
              <w:rPr>
                <w:rFonts w:hint="default" w:ascii="Times New Roman" w:hAnsi="Times New Roman" w:eastAsia="宋体" w:cs="Times New Roman"/>
                <w:color w:val="auto"/>
                <w:sz w:val="24"/>
                <w:szCs w:val="24"/>
                <w:highlight w:val="none"/>
                <w:vertAlign w:val="subscript"/>
                <w:lang w:val="en-US" w:eastAsia="zh-CN"/>
              </w:rPr>
              <w:t>h</w:t>
            </w:r>
            <w:r>
              <w:rPr>
                <w:rFonts w:hint="default" w:ascii="Times New Roman" w:hAnsi="Times New Roman" w:eastAsia="宋体" w:cs="Times New Roman"/>
                <w:color w:val="auto"/>
                <w:sz w:val="24"/>
                <w:szCs w:val="24"/>
                <w:highlight w:val="none"/>
                <w:lang w:val="en-US" w:eastAsia="zh-CN"/>
              </w:rPr>
              <w:t>—堆场扬尘的排放系数为0.000012kg/t；潮粮堆场扬尘排放量为0.004t/a，0.00</w:t>
            </w:r>
            <w:r>
              <w:rPr>
                <w:rFonts w:hint="eastAsia"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kg/h。</w:t>
            </w:r>
          </w:p>
          <w:p w14:paraId="6DFD491E">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w:t>
            </w:r>
            <w:r>
              <w:rPr>
                <w:rFonts w:hint="eastAsia" w:cs="Times New Roman"/>
                <w:color w:val="000000" w:themeColor="text1"/>
                <w:kern w:val="0"/>
                <w:sz w:val="24"/>
                <w:szCs w:val="24"/>
                <w:highlight w:val="none"/>
                <w:lang w:val="en-US" w:eastAsia="zh-CN" w:bidi="ar"/>
                <w14:textFill>
                  <w14:solidFill>
                    <w14:schemeClr w14:val="tx1"/>
                  </w14:solidFill>
                </w14:textFill>
              </w:rPr>
              <w:t>6</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 xml:space="preserve">）热风炉烟气 </w:t>
            </w:r>
          </w:p>
          <w:p w14:paraId="3658CE8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本项目烘干塔烘干用热由生物质热风炉提供，</w:t>
            </w:r>
            <w:r>
              <w:rPr>
                <w:rFonts w:hint="default" w:ascii="Times New Roman" w:hAnsi="Times New Roman" w:eastAsia="宋体" w:cs="Times New Roman"/>
                <w:color w:val="000000" w:themeColor="text1"/>
                <w:sz w:val="24"/>
                <w:szCs w:val="24"/>
                <w:highlight w:val="none"/>
                <w14:textFill>
                  <w14:solidFill>
                    <w14:schemeClr w14:val="tx1"/>
                  </w14:solidFill>
                </w14:textFill>
              </w:rPr>
              <w:t>根据物料平衡，烘干玉米原粮量为</w:t>
            </w:r>
            <w:r>
              <w:rPr>
                <w:rFonts w:hint="eastAsia" w:cs="Times New Roman"/>
                <w:color w:val="000000" w:themeColor="text1"/>
                <w:sz w:val="24"/>
                <w:szCs w:val="24"/>
                <w:highlight w:val="none"/>
                <w:lang w:val="en-US" w:eastAsia="zh-CN"/>
                <w14:textFill>
                  <w14:solidFill>
                    <w14:schemeClr w14:val="tx1"/>
                  </w14:solidFill>
                </w14:textFill>
              </w:rPr>
              <w:t>35990.64</w:t>
            </w:r>
            <w:r>
              <w:rPr>
                <w:rFonts w:hint="default" w:ascii="Times New Roman" w:hAnsi="Times New Roman" w:eastAsia="宋体" w:cs="Times New Roman"/>
                <w:color w:val="000000" w:themeColor="text1"/>
                <w:sz w:val="24"/>
                <w:szCs w:val="24"/>
                <w:highlight w:val="none"/>
                <w14:textFill>
                  <w14:solidFill>
                    <w14:schemeClr w14:val="tx1"/>
                  </w14:solidFill>
                </w14:textFill>
              </w:rPr>
              <w:t>t/a，</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年烘干时间</w:t>
            </w:r>
            <w:r>
              <w:rPr>
                <w:rFonts w:hint="eastAsia" w:cs="Times New Roman"/>
                <w:color w:val="000000" w:themeColor="text1"/>
                <w:kern w:val="0"/>
                <w:sz w:val="24"/>
                <w:szCs w:val="24"/>
                <w:highlight w:val="none"/>
                <w:lang w:val="en-US" w:eastAsia="zh-CN" w:bidi="ar"/>
                <w14:textFill>
                  <w14:solidFill>
                    <w14:schemeClr w14:val="tx1"/>
                  </w14:solidFill>
                </w14:textFill>
              </w:rPr>
              <w:t>60</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天</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（每天24h），热风炉烟气经过布袋除尘器处理后排放。热风炉的燃料为生物质成型颗粒，生物质燃料热值取</w:t>
            </w:r>
            <w:r>
              <w:rPr>
                <w:rFonts w:hint="eastAsia" w:cs="Times New Roman"/>
                <w:color w:val="000000" w:themeColor="text1"/>
                <w:kern w:val="0"/>
                <w:sz w:val="24"/>
                <w:szCs w:val="24"/>
                <w:highlight w:val="none"/>
                <w:lang w:eastAsia="zh-CN" w:bidi="ar"/>
                <w14:textFill>
                  <w14:solidFill>
                    <w14:schemeClr w14:val="tx1"/>
                  </w14:solidFill>
                </w14:textFill>
              </w:rPr>
              <w:t>3600</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cal/g（</w:t>
            </w:r>
            <w:r>
              <w:rPr>
                <w:rFonts w:hint="eastAsia" w:cs="Times New Roman"/>
                <w:color w:val="000000" w:themeColor="text1"/>
                <w:kern w:val="0"/>
                <w:sz w:val="24"/>
                <w:szCs w:val="24"/>
                <w:highlight w:val="none"/>
                <w:lang w:eastAsia="zh-CN" w:bidi="ar"/>
                <w14:textFill>
                  <w14:solidFill>
                    <w14:schemeClr w14:val="tx1"/>
                  </w14:solidFill>
                </w14:textFill>
              </w:rPr>
              <w:t>14.4</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MJ/kg）（见附件</w:t>
            </w:r>
            <w:r>
              <w:rPr>
                <w:rFonts w:hint="eastAsia" w:cs="Times New Roman"/>
                <w:color w:val="000000" w:themeColor="text1"/>
                <w:kern w:val="0"/>
                <w:sz w:val="24"/>
                <w:szCs w:val="24"/>
                <w:highlight w:val="none"/>
                <w:lang w:val="en-US" w:eastAsia="zh-CN" w:bidi="ar"/>
                <w14:textFill>
                  <w14:solidFill>
                    <w14:schemeClr w14:val="tx1"/>
                  </w14:solidFill>
                </w14:textFill>
              </w:rPr>
              <w:t>4</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），热风炉热效率为</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8</w:t>
            </w:r>
            <w:r>
              <w:rPr>
                <w:rFonts w:hint="eastAsia" w:cs="Times New Roman"/>
                <w:color w:val="000000" w:themeColor="text1"/>
                <w:kern w:val="0"/>
                <w:sz w:val="24"/>
                <w:szCs w:val="24"/>
                <w:highlight w:val="none"/>
                <w:lang w:val="en-US" w:eastAsia="zh-CN" w:bidi="ar"/>
                <w14:textFill>
                  <w14:solidFill>
                    <w14:schemeClr w14:val="tx1"/>
                  </w14:solidFill>
                </w14:textFill>
              </w:rPr>
              <w:t>5</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%，本项目设计燃料使用量为</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2507.74</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t/a。</w:t>
            </w:r>
          </w:p>
          <w:p w14:paraId="023478E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本项目生物质分析报告中未体现汞含量，根据《直接法测定固体生物质燃料中汞的试验研究》（煤质技术，2020年）可知，生物质汞含量为15.47ng/g，生物质燃料汞含量极低。由于生物质汞含量极低的特点，本项目暂不开展汞及其化合物分析。因此，本项目不涉及大气专项设置原则中提及的有毒有害物质。</w:t>
            </w:r>
          </w:p>
          <w:p w14:paraId="7C573186">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themeColor="text1"/>
                <w:kern w:val="0"/>
                <w:sz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热风炉燃烧产生的大气污染物有SO</w:t>
            </w:r>
            <w:r>
              <w:rPr>
                <w:rFonts w:hint="default" w:ascii="Times New Roman" w:hAnsi="Times New Roman" w:eastAsia="宋体" w:cs="Times New Roman"/>
                <w:color w:val="000000" w:themeColor="text1"/>
                <w:kern w:val="0"/>
                <w:sz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kern w:val="0"/>
                <w:sz w:val="24"/>
                <w:highlight w:val="none"/>
                <w14:textFill>
                  <w14:solidFill>
                    <w14:schemeClr w14:val="tx1"/>
                  </w14:solidFill>
                </w14:textFill>
              </w:rPr>
              <w:t>、烟尘及NO</w:t>
            </w:r>
            <w:r>
              <w:rPr>
                <w:rFonts w:hint="default" w:ascii="Times New Roman" w:hAnsi="Times New Roman" w:eastAsia="宋体" w:cs="Times New Roman"/>
                <w:color w:val="000000" w:themeColor="text1"/>
                <w:kern w:val="0"/>
                <w:sz w:val="24"/>
                <w:highlight w:val="none"/>
                <w:vertAlign w:val="subscript"/>
                <w14:textFill>
                  <w14:solidFill>
                    <w14:schemeClr w14:val="tx1"/>
                  </w14:solidFill>
                </w14:textFill>
              </w:rPr>
              <w:t>X</w:t>
            </w:r>
            <w:r>
              <w:rPr>
                <w:rFonts w:hint="default" w:ascii="Times New Roman" w:hAnsi="Times New Roman" w:eastAsia="宋体" w:cs="Times New Roman"/>
                <w:color w:val="000000" w:themeColor="text1"/>
                <w:kern w:val="0"/>
                <w:sz w:val="24"/>
                <w:highlight w:val="none"/>
                <w14:textFill>
                  <w14:solidFill>
                    <w14:schemeClr w14:val="tx1"/>
                  </w14:solidFill>
                </w14:textFill>
              </w:rPr>
              <w:t>。根据《污染源源强核算技术指南锅炉》(HJ991-2018)</w:t>
            </w:r>
            <w:r>
              <w:rPr>
                <w:rFonts w:hint="eastAsia" w:cs="Times New Roman"/>
                <w:color w:val="000000" w:themeColor="text1"/>
                <w:kern w:val="0"/>
                <w:sz w:val="24"/>
                <w:highlight w:val="none"/>
                <w:lang w:eastAsia="zh-CN"/>
                <w14:textFill>
                  <w14:solidFill>
                    <w14:schemeClr w14:val="tx1"/>
                  </w14:solidFill>
                </w14:textFill>
              </w:rPr>
              <w:t>计算如下：</w:t>
            </w:r>
          </w:p>
          <w:p w14:paraId="7F1FE7B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①</w:t>
            </w:r>
            <w:r>
              <w:rPr>
                <w:rFonts w:hint="default" w:ascii="Times New Roman" w:hAnsi="Times New Roman" w:eastAsia="宋体" w:cs="Times New Roman"/>
                <w:color w:val="000000" w:themeColor="text1"/>
                <w:sz w:val="24"/>
                <w:highlight w:val="none"/>
                <w:u w:val="none"/>
                <w14:textFill>
                  <w14:solidFill>
                    <w14:schemeClr w14:val="tx1"/>
                  </w14:solidFill>
                </w14:textFill>
              </w:rPr>
              <w:t>烟气量</w:t>
            </w:r>
          </w:p>
          <w:p w14:paraId="07D03A29">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本项目理论空气量采用《污染源源强核算技术指南 锅炉》（HJ991-2018）附录C中C.2有元素成分分析时理论空气量进行计算，公式如下：</w:t>
            </w:r>
          </w:p>
          <w:p w14:paraId="084E6BB7">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instrText xml:space="preserve"> INCLUDEPICTURE "C:\\Users\\admin\\AppData\\Local\\Temp\\ksohtml23920\\wps1.png" \* MERGEFORMATINET </w:instrTex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drawing>
                <wp:inline distT="0" distB="0" distL="114300" distR="114300">
                  <wp:extent cx="3448050" cy="323850"/>
                  <wp:effectExtent l="0" t="0" r="0" b="0"/>
                  <wp:docPr id="73" name="图片 7"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 descr="wps1"/>
                          <pic:cNvPicPr>
                            <a:picLocks noChangeAspect="1"/>
                          </pic:cNvPicPr>
                        </pic:nvPicPr>
                        <pic:blipFill>
                          <a:blip r:embed="rId25"/>
                          <a:stretch>
                            <a:fillRect/>
                          </a:stretch>
                        </pic:blipFill>
                        <pic:spPr>
                          <a:xfrm>
                            <a:off x="0" y="0"/>
                            <a:ext cx="3448050" cy="323850"/>
                          </a:xfrm>
                          <a:prstGeom prst="rect">
                            <a:avLst/>
                          </a:prstGeom>
                          <a:noFill/>
                          <a:ln>
                            <a:noFill/>
                          </a:ln>
                        </pic:spPr>
                      </pic:pic>
                    </a:graphicData>
                  </a:graphic>
                </wp:inline>
              </w:drawing>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fldChar w:fldCharType="end"/>
            </w:r>
          </w:p>
          <w:p w14:paraId="0BA0190E">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式中：</w:t>
            </w:r>
          </w:p>
          <w:p w14:paraId="38C3E14B">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V0——理论空气量，m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/kg；</w:t>
            </w:r>
            <w:r>
              <w:rPr>
                <w:rFonts w:hint="eastAsia" w:cs="Times New Roman"/>
                <w:color w:val="000000" w:themeColor="text1"/>
                <w:sz w:val="24"/>
                <w:szCs w:val="24"/>
                <w:highlight w:val="none"/>
                <w:lang w:val="en-US" w:eastAsia="zh-CN"/>
                <w14:textFill>
                  <w14:solidFill>
                    <w14:schemeClr w14:val="tx1"/>
                  </w14:solidFill>
                </w14:textFill>
              </w:rPr>
              <w:t>2.71；</w:t>
            </w:r>
          </w:p>
          <w:p w14:paraId="40908220">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Car——收到基碳的质量分数，%，本次评价取值</w:t>
            </w:r>
            <w:r>
              <w:rPr>
                <w:rFonts w:hint="eastAsia" w:cs="Times New Roman"/>
                <w:color w:val="000000" w:themeColor="text1"/>
                <w:sz w:val="24"/>
                <w:szCs w:val="24"/>
                <w:highlight w:val="none"/>
                <w:lang w:val="en-US" w:eastAsia="zh-CN"/>
                <w14:textFill>
                  <w14:solidFill>
                    <w14:schemeClr w14:val="tx1"/>
                  </w14:solidFill>
                </w14:textFill>
              </w:rPr>
              <w:t>29.3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1CD753C8">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Sar——收到基硫的质量分数，%，本次评价取值</w:t>
            </w:r>
            <w:r>
              <w:rPr>
                <w:rFonts w:hint="eastAsia" w:cs="Times New Roman"/>
                <w:color w:val="000000" w:themeColor="text1"/>
                <w:sz w:val="24"/>
                <w:szCs w:val="24"/>
                <w:highlight w:val="none"/>
                <w:lang w:val="en-US" w:eastAsia="zh-CN"/>
                <w14:textFill>
                  <w14:solidFill>
                    <w14:schemeClr w14:val="tx1"/>
                  </w14:solidFill>
                </w14:textFill>
              </w:rPr>
              <w:t>0.05</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6933C172">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Har——收到基氢的质量分数，%，本次评价取值</w:t>
            </w:r>
            <w:r>
              <w:rPr>
                <w:rFonts w:hint="eastAsia" w:cs="Times New Roman"/>
                <w:color w:val="000000" w:themeColor="text1"/>
                <w:sz w:val="24"/>
                <w:szCs w:val="24"/>
                <w:highlight w:val="none"/>
                <w:lang w:val="en-US" w:eastAsia="zh-CN"/>
                <w14:textFill>
                  <w14:solidFill>
                    <w14:schemeClr w14:val="tx1"/>
                  </w14:solidFill>
                </w14:textFill>
              </w:rPr>
              <w:t>4.09</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3B6E2593">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Oar——收到基氧的质量分数，%，本次评价取值</w:t>
            </w:r>
            <w:r>
              <w:rPr>
                <w:rFonts w:hint="eastAsia" w:cs="Times New Roman"/>
                <w:color w:val="000000" w:themeColor="text1"/>
                <w:sz w:val="24"/>
                <w:szCs w:val="24"/>
                <w:highlight w:val="none"/>
                <w:lang w:val="en-US" w:eastAsia="zh-CN"/>
                <w14:textFill>
                  <w14:solidFill>
                    <w14:schemeClr w14:val="tx1"/>
                  </w14:solidFill>
                </w14:textFill>
              </w:rPr>
              <w:t>29.43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1F1F9C77">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热风炉烟气排放量采用《污染源源强核算技术指南 锅炉》（HJ991-2018）附录C中C.3锅炉中实际燃烧过程是在过量空气系数α＞1的条件下进行的，1kg固体或液体燃料产生的烟气排放量可用下式计算：</w:t>
            </w:r>
          </w:p>
          <w:p w14:paraId="10E8B9F7">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instrText xml:space="preserve"> INCLUDEPICTURE "C:\\Users\\admin\\AppData\\Local\\Temp\\ksohtml23920\\wps2.png" \* MERGEFORMATINET </w:instrTex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drawing>
                <wp:inline distT="0" distB="0" distL="114300" distR="114300">
                  <wp:extent cx="1876425" cy="323850"/>
                  <wp:effectExtent l="0" t="0" r="9525" b="0"/>
                  <wp:docPr id="74" name="图片 74" descr="wp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wps2"/>
                          <pic:cNvPicPr>
                            <a:picLocks noChangeAspect="1"/>
                          </pic:cNvPicPr>
                        </pic:nvPicPr>
                        <pic:blipFill>
                          <a:blip r:embed="rId26"/>
                          <a:stretch>
                            <a:fillRect/>
                          </a:stretch>
                        </pic:blipFill>
                        <pic:spPr>
                          <a:xfrm>
                            <a:off x="0" y="0"/>
                            <a:ext cx="1876425" cy="323850"/>
                          </a:xfrm>
                          <a:prstGeom prst="rect">
                            <a:avLst/>
                          </a:prstGeom>
                          <a:noFill/>
                          <a:ln>
                            <a:noFill/>
                          </a:ln>
                        </pic:spPr>
                      </pic:pic>
                    </a:graphicData>
                  </a:graphic>
                </wp:inline>
              </w:drawing>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fldChar w:fldCharType="end"/>
            </w:r>
          </w:p>
          <w:p w14:paraId="6C3B7DA7">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instrText xml:space="preserve"> INCLUDEPICTURE "C:\\Users\\admin\\AppData\\Local\\Temp\\ksohtml23920\\wps3.png" \* MERGEFORMATINET </w:instrTex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drawing>
                <wp:inline distT="0" distB="0" distL="114300" distR="114300">
                  <wp:extent cx="2685415" cy="466090"/>
                  <wp:effectExtent l="0" t="0" r="635" b="10160"/>
                  <wp:docPr id="10" name="图片 9" descr="wp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wps3"/>
                          <pic:cNvPicPr>
                            <a:picLocks noChangeAspect="1"/>
                          </pic:cNvPicPr>
                        </pic:nvPicPr>
                        <pic:blipFill>
                          <a:blip r:embed="rId27"/>
                          <a:stretch>
                            <a:fillRect/>
                          </a:stretch>
                        </pic:blipFill>
                        <pic:spPr>
                          <a:xfrm>
                            <a:off x="0" y="0"/>
                            <a:ext cx="2685415" cy="466090"/>
                          </a:xfrm>
                          <a:prstGeom prst="rect">
                            <a:avLst/>
                          </a:prstGeom>
                          <a:noFill/>
                          <a:ln>
                            <a:noFill/>
                          </a:ln>
                        </pic:spPr>
                      </pic:pic>
                    </a:graphicData>
                  </a:graphic>
                </wp:inline>
              </w:drawing>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fldChar w:fldCharType="end"/>
            </w:r>
          </w:p>
          <w:p w14:paraId="53EEB56C">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instrText xml:space="preserve"> INCLUDEPICTURE "C:\\Users\\admin\\AppData\\Local\\Temp\\ksohtml23920\\wps4.png" \* MERGEFORMATINET </w:instrTex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drawing>
                <wp:inline distT="0" distB="0" distL="114300" distR="114300">
                  <wp:extent cx="1618615" cy="427990"/>
                  <wp:effectExtent l="0" t="0" r="635" b="10160"/>
                  <wp:docPr id="75" name="图片 10" descr="wp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0" descr="wps4"/>
                          <pic:cNvPicPr>
                            <a:picLocks noChangeAspect="1"/>
                          </pic:cNvPicPr>
                        </pic:nvPicPr>
                        <pic:blipFill>
                          <a:blip r:embed="rId28"/>
                          <a:stretch>
                            <a:fillRect/>
                          </a:stretch>
                        </pic:blipFill>
                        <pic:spPr>
                          <a:xfrm>
                            <a:off x="0" y="0"/>
                            <a:ext cx="1618615" cy="427990"/>
                          </a:xfrm>
                          <a:prstGeom prst="rect">
                            <a:avLst/>
                          </a:prstGeom>
                          <a:noFill/>
                          <a:ln>
                            <a:noFill/>
                          </a:ln>
                        </pic:spPr>
                      </pic:pic>
                    </a:graphicData>
                  </a:graphic>
                </wp:inline>
              </w:drawing>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fldChar w:fldCharType="end"/>
            </w:r>
          </w:p>
          <w:p w14:paraId="4CDD6722">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式中：</w:t>
            </w:r>
          </w:p>
          <w:p w14:paraId="69A582FF">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Vg——干烟气排放量，m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/kg；</w:t>
            </w:r>
            <w:r>
              <w:rPr>
                <w:rFonts w:hint="eastAsia" w:cs="Times New Roman"/>
                <w:color w:val="000000" w:themeColor="text1"/>
                <w:sz w:val="24"/>
                <w:szCs w:val="24"/>
                <w:highlight w:val="none"/>
                <w:lang w:val="en-US" w:eastAsia="zh-CN"/>
                <w14:textFill>
                  <w14:solidFill>
                    <w14:schemeClr w14:val="tx1"/>
                  </w14:solidFill>
                </w14:textFill>
              </w:rPr>
              <w:t>4.72；</w:t>
            </w:r>
          </w:p>
          <w:p w14:paraId="230A094D">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VRO</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——烟气中二氧化碳和二氧化硫容积之和，m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/kg；</w:t>
            </w:r>
            <w:r>
              <w:rPr>
                <w:rFonts w:hint="eastAsia" w:cs="Times New Roman"/>
                <w:color w:val="000000" w:themeColor="text1"/>
                <w:sz w:val="24"/>
                <w:szCs w:val="24"/>
                <w:highlight w:val="none"/>
                <w:lang w:val="en-US" w:eastAsia="zh-CN"/>
                <w14:textFill>
                  <w14:solidFill>
                    <w14:schemeClr w14:val="tx1"/>
                  </w14:solidFill>
                </w14:textFill>
              </w:rPr>
              <w:t>0.55；</w:t>
            </w:r>
          </w:p>
          <w:p w14:paraId="005C3D70">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Car——收到基碳的质量分数，%，根据燃料成分分析为</w:t>
            </w:r>
            <w:r>
              <w:rPr>
                <w:rFonts w:hint="eastAsia" w:cs="Times New Roman"/>
                <w:color w:val="000000" w:themeColor="text1"/>
                <w:sz w:val="24"/>
                <w:szCs w:val="24"/>
                <w:highlight w:val="none"/>
                <w:lang w:val="en-US" w:eastAsia="zh-CN"/>
                <w14:textFill>
                  <w14:solidFill>
                    <w14:schemeClr w14:val="tx1"/>
                  </w14:solidFill>
                </w14:textFill>
              </w:rPr>
              <w:t>29.3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40651347">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Sar——收到基硫的质量分数，%，根据燃料成分分析为</w:t>
            </w:r>
            <w:r>
              <w:rPr>
                <w:rFonts w:hint="eastAsia" w:cs="Times New Roman"/>
                <w:color w:val="000000" w:themeColor="text1"/>
                <w:sz w:val="24"/>
                <w:szCs w:val="24"/>
                <w:highlight w:val="none"/>
                <w:lang w:val="en-US" w:eastAsia="zh-CN"/>
                <w14:textFill>
                  <w14:solidFill>
                    <w14:schemeClr w14:val="tx1"/>
                  </w14:solidFill>
                </w14:textFill>
              </w:rPr>
              <w:t>0.05</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7616BC9B">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VN</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——烟气中氮气，m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/kg；</w:t>
            </w:r>
            <w:r>
              <w:rPr>
                <w:rFonts w:hint="eastAsia" w:cs="Times New Roman"/>
                <w:color w:val="000000" w:themeColor="text1"/>
                <w:sz w:val="24"/>
                <w:szCs w:val="24"/>
                <w:highlight w:val="none"/>
                <w:lang w:val="en-US" w:eastAsia="zh-CN"/>
                <w14:textFill>
                  <w14:solidFill>
                    <w14:schemeClr w14:val="tx1"/>
                  </w14:solidFill>
                </w14:textFill>
              </w:rPr>
              <w:t>2.14；</w:t>
            </w:r>
          </w:p>
          <w:p w14:paraId="23F8868A">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α——过量空气系数，燃料燃烧时实际空气供给量与理论空气需要量之比值，本项目取1.75；</w:t>
            </w:r>
          </w:p>
          <w:p w14:paraId="0F859CC3">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Nar——收到基氮的质量分数，%，根据燃料成分分析为</w:t>
            </w:r>
            <w:r>
              <w:rPr>
                <w:rFonts w:hint="eastAsia" w:cs="Times New Roman"/>
                <w:color w:val="000000" w:themeColor="text1"/>
                <w:sz w:val="24"/>
                <w:szCs w:val="24"/>
                <w:highlight w:val="none"/>
                <w:lang w:val="en-US" w:eastAsia="zh-CN"/>
                <w14:textFill>
                  <w14:solidFill>
                    <w14:schemeClr w14:val="tx1"/>
                  </w14:solidFill>
                </w14:textFill>
              </w:rPr>
              <w:t>0.009</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580D65E4">
            <w:pPr>
              <w:pStyle w:val="117"/>
              <w:keepNext w:val="0"/>
              <w:keepLines w:val="0"/>
              <w:suppressLineNumbers w:val="0"/>
              <w:adjustRightInd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经计算，则烟气量为</w:t>
            </w:r>
            <w:r>
              <w:rPr>
                <w:rFonts w:hint="eastAsia" w:cs="Times New Roman"/>
                <w:color w:val="000000" w:themeColor="text1"/>
                <w:sz w:val="24"/>
                <w:szCs w:val="24"/>
                <w:highlight w:val="none"/>
                <w:lang w:val="en-US" w:eastAsia="zh-CN" w:bidi="ar-SA"/>
                <w14:textFill>
                  <w14:solidFill>
                    <w14:schemeClr w14:val="tx1"/>
                  </w14:solidFill>
                </w14:textFill>
              </w:rPr>
              <w:t>1.1839</w:t>
            </w:r>
            <w:r>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t>×10</w:t>
            </w:r>
            <w:r>
              <w:rPr>
                <w:rFonts w:hint="default" w:ascii="Times New Roman" w:hAnsi="Times New Roman" w:eastAsia="宋体" w:cs="Times New Roman"/>
                <w:color w:val="000000" w:themeColor="text1"/>
                <w:sz w:val="24"/>
                <w:szCs w:val="24"/>
                <w:highlight w:val="none"/>
                <w:vertAlign w:val="superscript"/>
                <w:lang w:val="en-US" w:eastAsia="zh-CN" w:bidi="ar-SA"/>
                <w14:textFill>
                  <w14:solidFill>
                    <w14:schemeClr w14:val="tx1"/>
                  </w14:solidFill>
                </w14:textFill>
              </w:rPr>
              <w:t>7</w:t>
            </w:r>
            <w:r>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t>/a</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0C3B3CC8">
            <w:pPr>
              <w:pStyle w:val="21"/>
              <w:keepNext w:val="0"/>
              <w:keepLines w:val="0"/>
              <w:suppressLineNumbers w:val="0"/>
              <w:spacing w:before="0" w:beforeAutospacing="0" w:after="0" w:afterAutospacing="0" w:line="360" w:lineRule="auto"/>
              <w:ind w:left="0" w:leftChars="0" w:right="0" w:firstLine="480" w:firstLineChars="200"/>
              <w:contextualSpacing/>
              <w:rPr>
                <w:rFonts w:hint="default" w:ascii="Times New Roman" w:hAnsi="Times New Roman" w:eastAsia="宋体" w:cs="Times New Roman"/>
                <w:color w:val="000000" w:themeColor="text1"/>
                <w:sz w:val="24"/>
                <w:highlight w:val="none"/>
                <w:u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②颗粒物</w:t>
            </w:r>
            <w:r>
              <w:rPr>
                <w:rFonts w:hint="default" w:ascii="Times New Roman" w:hAnsi="Times New Roman" w:eastAsia="宋体" w:cs="Times New Roman"/>
                <w:color w:val="000000" w:themeColor="text1"/>
                <w:sz w:val="24"/>
                <w:highlight w:val="none"/>
                <w:u w:val="none"/>
                <w14:textFill>
                  <w14:solidFill>
                    <w14:schemeClr w14:val="tx1"/>
                  </w14:solidFill>
                </w14:textFill>
              </w:rPr>
              <w:t>（烟尘）</w:t>
            </w:r>
          </w:p>
          <w:p w14:paraId="56B9E3C7">
            <w:pPr>
              <w:pStyle w:val="21"/>
              <w:keepNext w:val="0"/>
              <w:keepLines w:val="0"/>
              <w:suppressLineNumbers w:val="0"/>
              <w:spacing w:before="0" w:beforeAutospacing="0" w:afterAutospacing="0" w:line="360" w:lineRule="auto"/>
              <w:ind w:right="0"/>
              <w:jc w:val="center"/>
              <w:rPr>
                <w:rFonts w:hint="default" w:ascii="Times New Roman" w:hAnsi="Times New Roman" w:eastAsia="宋体" w:cs="Times New Roman"/>
                <w:color w:val="000000" w:themeColor="text1"/>
                <w:szCs w:val="32"/>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8"/>
                <w:szCs w:val="32"/>
                <w:highlight w:val="none"/>
                <w:u w:val="none"/>
                <w:lang w:val="en-US" w:eastAsia="zh-CN" w:bidi="ar-SA"/>
                <w14:textFill>
                  <w14:solidFill>
                    <w14:schemeClr w14:val="tx1"/>
                  </w14:solidFill>
                </w14:textFill>
              </w:rPr>
              <w:drawing>
                <wp:inline distT="0" distB="0" distL="114300" distR="114300">
                  <wp:extent cx="2149475" cy="749300"/>
                  <wp:effectExtent l="0" t="0" r="3175" b="12700"/>
                  <wp:docPr id="76" name="图片 9" descr="1554715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9" descr="1554715046"/>
                          <pic:cNvPicPr>
                            <a:picLocks noChangeAspect="1"/>
                          </pic:cNvPicPr>
                        </pic:nvPicPr>
                        <pic:blipFill>
                          <a:blip r:embed="rId29">
                            <a:lum/>
                          </a:blip>
                          <a:stretch>
                            <a:fillRect/>
                          </a:stretch>
                        </pic:blipFill>
                        <pic:spPr>
                          <a:xfrm>
                            <a:off x="0" y="0"/>
                            <a:ext cx="2149475" cy="749300"/>
                          </a:xfrm>
                          <a:prstGeom prst="rect">
                            <a:avLst/>
                          </a:prstGeom>
                          <a:noFill/>
                          <a:ln>
                            <a:noFill/>
                          </a:ln>
                        </pic:spPr>
                      </pic:pic>
                    </a:graphicData>
                  </a:graphic>
                </wp:inline>
              </w:drawing>
            </w:r>
          </w:p>
          <w:p w14:paraId="4F3E1469">
            <w:pPr>
              <w:pStyle w:val="21"/>
              <w:keepNext w:val="0"/>
              <w:keepLines w:val="0"/>
              <w:suppressLineNumbers w:val="0"/>
              <w:spacing w:before="0" w:beforeAutospacing="0" w:after="0" w:afterAutospacing="0" w:line="360" w:lineRule="auto"/>
              <w:ind w:left="0" w:leftChars="0" w:right="0" w:firstLine="480" w:firstLineChars="200"/>
              <w:rPr>
                <w:rFonts w:hint="default" w:ascii="Times New Roman" w:hAnsi="Times New Roman" w:eastAsia="宋体" w:cs="Times New Roman"/>
                <w:color w:val="000000" w:themeColor="text1"/>
                <w:sz w:val="24"/>
                <w:highlight w:val="none"/>
                <w:u w:val="none"/>
                <w14:textFill>
                  <w14:solidFill>
                    <w14:schemeClr w14:val="tx1"/>
                  </w14:solidFill>
                </w14:textFill>
              </w:rPr>
            </w:pPr>
            <w:r>
              <w:rPr>
                <w:rFonts w:hint="default" w:ascii="Times New Roman" w:hAnsi="Times New Roman" w:eastAsia="宋体" w:cs="Times New Roman"/>
                <w:color w:val="000000" w:themeColor="text1"/>
                <w:sz w:val="24"/>
                <w:highlight w:val="none"/>
                <w:u w:val="none"/>
                <w14:textFill>
                  <w14:solidFill>
                    <w14:schemeClr w14:val="tx1"/>
                  </w14:solidFill>
                </w14:textFill>
              </w:rPr>
              <w:t>式中：E</w:t>
            </w:r>
            <w:r>
              <w:rPr>
                <w:rFonts w:hint="default" w:ascii="Times New Roman" w:hAnsi="Times New Roman" w:eastAsia="宋体" w:cs="Times New Roman"/>
                <w:color w:val="000000" w:themeColor="text1"/>
                <w:sz w:val="24"/>
                <w:highlight w:val="none"/>
                <w:u w:val="none"/>
                <w:vertAlign w:val="subscript"/>
                <w14:textFill>
                  <w14:solidFill>
                    <w14:schemeClr w14:val="tx1"/>
                  </w14:solidFill>
                </w14:textFill>
              </w:rPr>
              <w:t>A</w:t>
            </w:r>
            <w:r>
              <w:rPr>
                <w:rFonts w:hint="default" w:ascii="Times New Roman" w:hAnsi="Times New Roman" w:eastAsia="宋体" w:cs="Times New Roman"/>
                <w:color w:val="000000" w:themeColor="text1"/>
                <w:sz w:val="24"/>
                <w:highlight w:val="none"/>
                <w:u w:val="none"/>
                <w14:textFill>
                  <w14:solidFill>
                    <w14:schemeClr w14:val="tx1"/>
                  </w14:solidFill>
                </w14:textFill>
              </w:rPr>
              <w:t>—核算时段内颗粒物（烟尘）排放量，t；</w:t>
            </w:r>
          </w:p>
          <w:p w14:paraId="62D9297C">
            <w:pPr>
              <w:pStyle w:val="21"/>
              <w:keepNext w:val="0"/>
              <w:keepLines w:val="0"/>
              <w:suppressLineNumbers w:val="0"/>
              <w:spacing w:before="0" w:beforeAutospacing="0" w:after="0" w:afterAutospacing="0" w:line="360" w:lineRule="auto"/>
              <w:ind w:left="0" w:leftChars="0" w:right="0" w:firstLine="480" w:firstLineChars="200"/>
              <w:rPr>
                <w:rFonts w:hint="default" w:ascii="Times New Roman" w:hAnsi="Times New Roman" w:eastAsia="宋体" w:cs="Times New Roman"/>
                <w:color w:val="000000" w:themeColor="text1"/>
                <w:sz w:val="24"/>
                <w:highlight w:val="none"/>
                <w:u w:val="none"/>
                <w14:textFill>
                  <w14:solidFill>
                    <w14:schemeClr w14:val="tx1"/>
                  </w14:solidFill>
                </w14:textFill>
              </w:rPr>
            </w:pPr>
            <w:r>
              <w:rPr>
                <w:rFonts w:hint="default" w:ascii="Times New Roman" w:hAnsi="Times New Roman" w:eastAsia="宋体" w:cs="Times New Roman"/>
                <w:color w:val="000000" w:themeColor="text1"/>
                <w:sz w:val="24"/>
                <w:highlight w:val="none"/>
                <w:u w:val="none"/>
                <w14:textFill>
                  <w14:solidFill>
                    <w14:schemeClr w14:val="tx1"/>
                  </w14:solidFill>
                </w14:textFill>
              </w:rPr>
              <w:t>R—核算时段内燃料耗量，t；</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为2507.74t/a</w:t>
            </w:r>
            <w:r>
              <w:rPr>
                <w:rFonts w:hint="default" w:ascii="Times New Roman" w:hAnsi="Times New Roman" w:eastAsia="宋体" w:cs="Times New Roman"/>
                <w:color w:val="000000" w:themeColor="text1"/>
                <w:sz w:val="24"/>
                <w:highlight w:val="none"/>
                <w:u w:val="none"/>
                <w14:textFill>
                  <w14:solidFill>
                    <w14:schemeClr w14:val="tx1"/>
                  </w14:solidFill>
                </w14:textFill>
              </w:rPr>
              <w:t>；</w:t>
            </w:r>
          </w:p>
          <w:p w14:paraId="44617EF2">
            <w:pPr>
              <w:pStyle w:val="21"/>
              <w:keepNext w:val="0"/>
              <w:keepLines w:val="0"/>
              <w:suppressLineNumbers w:val="0"/>
              <w:spacing w:before="0" w:beforeAutospacing="0" w:after="0" w:afterAutospacing="0" w:line="360" w:lineRule="auto"/>
              <w:ind w:right="0"/>
              <w:rPr>
                <w:rFonts w:hint="default" w:ascii="Times New Roman" w:hAnsi="Times New Roman" w:eastAsia="宋体" w:cs="Times New Roman"/>
                <w:color w:val="000000" w:themeColor="text1"/>
                <w:sz w:val="24"/>
                <w:highlight w:val="none"/>
                <w:u w:val="none"/>
                <w14:textFill>
                  <w14:solidFill>
                    <w14:schemeClr w14:val="tx1"/>
                  </w14:solidFill>
                </w14:textFill>
              </w:rPr>
            </w:pPr>
            <w:r>
              <w:rPr>
                <w:rFonts w:hint="default" w:ascii="Times New Roman" w:hAnsi="Times New Roman" w:eastAsia="宋体" w:cs="Times New Roman"/>
                <w:color w:val="000000" w:themeColor="text1"/>
                <w:sz w:val="24"/>
                <w:highlight w:val="none"/>
                <w:u w:val="none"/>
                <w14:textFill>
                  <w14:solidFill>
                    <w14:schemeClr w14:val="tx1"/>
                  </w14:solidFill>
                </w14:textFill>
              </w:rPr>
              <w:t xml:space="preserve"> Aar—收到基灰分的质量分数，</w:t>
            </w:r>
            <w:r>
              <w:rPr>
                <w:rFonts w:hint="eastAsia" w:cs="Times New Roman"/>
                <w:color w:val="000000" w:themeColor="text1"/>
                <w:sz w:val="24"/>
                <w:highlight w:val="none"/>
                <w:u w:val="none"/>
                <w:lang w:val="en-US" w:eastAsia="zh-CN"/>
                <w14:textFill>
                  <w14:solidFill>
                    <w14:schemeClr w14:val="tx1"/>
                  </w14:solidFill>
                </w14:textFill>
              </w:rPr>
              <w:t>4.65</w:t>
            </w:r>
            <w:r>
              <w:rPr>
                <w:rFonts w:hint="default" w:ascii="Times New Roman" w:hAnsi="Times New Roman" w:eastAsia="宋体" w:cs="Times New Roman"/>
                <w:color w:val="000000" w:themeColor="text1"/>
                <w:sz w:val="24"/>
                <w:highlight w:val="none"/>
                <w:u w:val="none"/>
                <w14:textFill>
                  <w14:solidFill>
                    <w14:schemeClr w14:val="tx1"/>
                  </w14:solidFill>
                </w14:textFill>
              </w:rPr>
              <w:t>%；</w:t>
            </w:r>
          </w:p>
          <w:p w14:paraId="4639ACB5">
            <w:pPr>
              <w:pStyle w:val="21"/>
              <w:keepNext w:val="0"/>
              <w:keepLines w:val="0"/>
              <w:suppressLineNumbers w:val="0"/>
              <w:spacing w:before="0" w:beforeAutospacing="0" w:after="0" w:afterAutospacing="0" w:line="360" w:lineRule="auto"/>
              <w:ind w:left="0" w:leftChars="0" w:right="0" w:firstLine="480" w:firstLineChars="200"/>
              <w:rPr>
                <w:rFonts w:hint="default" w:ascii="Times New Roman" w:hAnsi="Times New Roman" w:eastAsia="宋体" w:cs="Times New Roman"/>
                <w:color w:val="000000" w:themeColor="text1"/>
                <w:sz w:val="24"/>
                <w:highlight w:val="none"/>
                <w:u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u w:val="none"/>
                <w14:textFill>
                  <w14:solidFill>
                    <w14:schemeClr w14:val="tx1"/>
                  </w14:solidFill>
                </w14:textFill>
              </w:rPr>
              <w:t>d</w:t>
            </w:r>
            <w:r>
              <w:rPr>
                <w:rFonts w:hint="default" w:ascii="Times New Roman" w:hAnsi="Times New Roman" w:eastAsia="宋体" w:cs="Times New Roman"/>
                <w:color w:val="000000" w:themeColor="text1"/>
                <w:sz w:val="24"/>
                <w:highlight w:val="none"/>
                <w:u w:val="none"/>
                <w:vertAlign w:val="subscript"/>
                <w14:textFill>
                  <w14:solidFill>
                    <w14:schemeClr w14:val="tx1"/>
                  </w14:solidFill>
                </w14:textFill>
              </w:rPr>
              <w:t>fh</w:t>
            </w:r>
            <w:r>
              <w:rPr>
                <w:rFonts w:hint="default" w:ascii="Times New Roman" w:hAnsi="Times New Roman" w:eastAsia="宋体" w:cs="Times New Roman"/>
                <w:color w:val="000000" w:themeColor="text1"/>
                <w:sz w:val="24"/>
                <w:highlight w:val="none"/>
                <w:u w:val="none"/>
                <w14:textFill>
                  <w14:solidFill>
                    <w14:schemeClr w14:val="tx1"/>
                  </w14:solidFill>
                </w14:textFill>
              </w:rPr>
              <w:t>—锅炉烟气带出的</w:t>
            </w:r>
            <w:r>
              <w:rPr>
                <w:rFonts w:hint="default" w:ascii="Times New Roman" w:hAnsi="Times New Roman" w:eastAsia="宋体" w:cs="Times New Roman"/>
                <w:color w:val="000000" w:themeColor="text1"/>
                <w:sz w:val="24"/>
                <w:highlight w:val="none"/>
                <w:u w:val="none"/>
                <w:lang w:eastAsia="zh-CN"/>
                <w14:textFill>
                  <w14:solidFill>
                    <w14:schemeClr w14:val="tx1"/>
                  </w14:solidFill>
                </w14:textFill>
              </w:rPr>
              <w:t>除尘灰</w:t>
            </w:r>
            <w:r>
              <w:rPr>
                <w:rFonts w:hint="default" w:ascii="Times New Roman" w:hAnsi="Times New Roman" w:eastAsia="宋体" w:cs="Times New Roman"/>
                <w:color w:val="000000" w:themeColor="text1"/>
                <w:sz w:val="24"/>
                <w:highlight w:val="none"/>
                <w:u w:val="none"/>
                <w14:textFill>
                  <w14:solidFill>
                    <w14:schemeClr w14:val="tx1"/>
                  </w14:solidFill>
                </w14:textFill>
              </w:rPr>
              <w:t>份额，%；燃用</w:t>
            </w:r>
            <w:r>
              <w:rPr>
                <w:rFonts w:hint="default" w:ascii="Times New Roman" w:hAnsi="Times New Roman" w:eastAsia="宋体" w:cs="Times New Roman"/>
                <w:color w:val="000000" w:themeColor="text1"/>
                <w:sz w:val="24"/>
                <w:highlight w:val="none"/>
                <w:u w:val="none"/>
                <w:lang w:eastAsia="zh-CN"/>
                <w14:textFill>
                  <w14:solidFill>
                    <w14:schemeClr w14:val="tx1"/>
                  </w14:solidFill>
                </w14:textFill>
              </w:rPr>
              <w:t>生物质</w:t>
            </w:r>
            <w:r>
              <w:rPr>
                <w:rFonts w:hint="default" w:ascii="Times New Roman" w:hAnsi="Times New Roman" w:eastAsia="宋体" w:cs="Times New Roman"/>
                <w:color w:val="000000" w:themeColor="text1"/>
                <w:sz w:val="24"/>
                <w:highlight w:val="none"/>
                <w:u w:val="none"/>
                <w14:textFill>
                  <w14:solidFill>
                    <w14:schemeClr w14:val="tx1"/>
                  </w14:solidFill>
                </w14:textFill>
              </w:rPr>
              <w:t>燃料</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飞灰份额加30%，</w:t>
            </w:r>
            <w:r>
              <w:rPr>
                <w:rFonts w:hint="default" w:ascii="Times New Roman" w:hAnsi="Times New Roman" w:eastAsia="宋体" w:cs="Times New Roman"/>
                <w:color w:val="000000" w:themeColor="text1"/>
                <w:sz w:val="24"/>
                <w:highlight w:val="none"/>
                <w:u w:val="none"/>
                <w14:textFill>
                  <w14:solidFill>
                    <w14:schemeClr w14:val="tx1"/>
                  </w14:solidFill>
                </w14:textFill>
              </w:rPr>
              <w:t>故取</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45%</w:t>
            </w:r>
            <w:r>
              <w:rPr>
                <w:rFonts w:hint="default" w:ascii="Times New Roman" w:hAnsi="Times New Roman" w:eastAsia="宋体" w:cs="Times New Roman"/>
                <w:color w:val="000000" w:themeColor="text1"/>
                <w:sz w:val="24"/>
                <w:highlight w:val="none"/>
                <w:u w:val="none"/>
                <w14:textFill>
                  <w14:solidFill>
                    <w14:schemeClr w14:val="tx1"/>
                  </w14:solidFill>
                </w14:textFill>
              </w:rPr>
              <w:t>；</w:t>
            </w:r>
          </w:p>
          <w:p w14:paraId="368A89A6">
            <w:pPr>
              <w:pStyle w:val="21"/>
              <w:keepNext w:val="0"/>
              <w:keepLines w:val="0"/>
              <w:suppressLineNumbers w:val="0"/>
              <w:spacing w:before="0" w:beforeAutospacing="0" w:after="0" w:afterAutospacing="0" w:line="360" w:lineRule="auto"/>
              <w:ind w:left="0" w:leftChars="0" w:right="0" w:firstLine="480" w:firstLineChars="200"/>
              <w:rPr>
                <w:rFonts w:hint="default" w:ascii="Times New Roman" w:hAnsi="Times New Roman" w:eastAsia="宋体" w:cs="Times New Roman"/>
                <w:color w:val="000000" w:themeColor="text1"/>
                <w:sz w:val="24"/>
                <w:highlight w:val="none"/>
                <w:u w:val="none"/>
                <w14:textFill>
                  <w14:solidFill>
                    <w14:schemeClr w14:val="tx1"/>
                  </w14:solidFill>
                </w14:textFill>
              </w:rPr>
            </w:pPr>
            <w:r>
              <w:rPr>
                <w:rFonts w:hint="default" w:ascii="Times New Roman" w:hAnsi="Times New Roman" w:eastAsia="宋体" w:cs="Times New Roman"/>
                <w:color w:val="000000" w:themeColor="text1"/>
                <w:sz w:val="24"/>
                <w:highlight w:val="none"/>
                <w:u w:val="none"/>
                <w14:textFill>
                  <w14:solidFill>
                    <w14:schemeClr w14:val="tx1"/>
                  </w14:solidFill>
                </w14:textFill>
              </w:rPr>
              <w:t>ηc—综合除尘效率，%；本项目除尘效率为</w:t>
            </w:r>
            <w:r>
              <w:rPr>
                <w:rFonts w:hint="eastAsia" w:cs="Times New Roman"/>
                <w:color w:val="000000" w:themeColor="text1"/>
                <w:sz w:val="24"/>
                <w:highlight w:val="none"/>
                <w:u w:val="none"/>
                <w:lang w:eastAsia="zh-CN"/>
                <w14:textFill>
                  <w14:solidFill>
                    <w14:schemeClr w14:val="tx1"/>
                  </w14:solidFill>
                </w14:textFill>
              </w:rPr>
              <w:t>99.5%</w:t>
            </w:r>
            <w:r>
              <w:rPr>
                <w:rFonts w:hint="default" w:ascii="Times New Roman" w:hAnsi="Times New Roman" w:eastAsia="宋体" w:cs="Times New Roman"/>
                <w:color w:val="000000" w:themeColor="text1"/>
                <w:sz w:val="24"/>
                <w:highlight w:val="none"/>
                <w:u w:val="none"/>
                <w14:textFill>
                  <w14:solidFill>
                    <w14:schemeClr w14:val="tx1"/>
                  </w14:solidFill>
                </w14:textFill>
              </w:rPr>
              <w:t>；</w:t>
            </w:r>
          </w:p>
          <w:p w14:paraId="784BFF8C">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C</w:t>
            </w:r>
            <w:r>
              <w:rPr>
                <w:rFonts w:hint="default" w:ascii="Times New Roman" w:hAnsi="Times New Roman" w:cs="Times New Roman"/>
                <w:color w:val="auto"/>
                <w:sz w:val="24"/>
                <w:szCs w:val="24"/>
                <w:highlight w:val="none"/>
                <w:vertAlign w:val="subscript"/>
              </w:rPr>
              <w:t>fh</w:t>
            </w:r>
            <w:r>
              <w:rPr>
                <w:rFonts w:hint="default" w:ascii="Times New Roman" w:hAnsi="Times New Roman" w:cs="Times New Roman"/>
                <w:color w:val="auto"/>
                <w:sz w:val="24"/>
                <w:szCs w:val="24"/>
                <w:highlight w:val="none"/>
              </w:rPr>
              <w:t>——飞灰中的可燃物含量，%，本次取值</w:t>
            </w:r>
            <w:r>
              <w:rPr>
                <w:rFonts w:hint="default" w:ascii="Times New Roman" w:hAnsi="Times New Roman" w:cs="Times New Roman"/>
                <w:color w:val="auto"/>
                <w:sz w:val="24"/>
                <w:szCs w:val="24"/>
                <w:highlight w:val="none"/>
                <w:lang w:val="en-US" w:eastAsia="zh-CN"/>
              </w:rPr>
              <w:t>10</w:t>
            </w:r>
            <w:r>
              <w:rPr>
                <w:rFonts w:hint="default" w:ascii="Times New Roman" w:hAnsi="Times New Roman" w:cs="Times New Roman"/>
                <w:color w:val="auto"/>
                <w:sz w:val="24"/>
                <w:szCs w:val="24"/>
                <w:highlight w:val="none"/>
              </w:rPr>
              <w:t>；</w:t>
            </w:r>
          </w:p>
          <w:p w14:paraId="2AEF30D0">
            <w:pPr>
              <w:pStyle w:val="21"/>
              <w:keepNext w:val="0"/>
              <w:keepLines w:val="0"/>
              <w:suppressLineNumbers w:val="0"/>
              <w:spacing w:before="0" w:beforeAutospacing="0" w:after="0" w:afterAutospacing="0" w:line="360" w:lineRule="auto"/>
              <w:ind w:left="0" w:leftChars="0" w:right="0" w:firstLine="480" w:firstLineChars="200"/>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u w:val="none"/>
                <w14:textFill>
                  <w14:solidFill>
                    <w14:schemeClr w14:val="tx1"/>
                  </w14:solidFill>
                </w14:textFill>
              </w:rPr>
              <w:t>颗粒物</w:t>
            </w:r>
            <w:r>
              <w:rPr>
                <w:rFonts w:hint="default" w:ascii="Times New Roman" w:hAnsi="Times New Roman" w:eastAsia="宋体" w:cs="Times New Roman"/>
                <w:color w:val="000000" w:themeColor="text1"/>
                <w:sz w:val="24"/>
                <w:highlight w:val="none"/>
                <w:u w:val="none"/>
                <w:lang w:eastAsia="zh-CN"/>
                <w14:textFill>
                  <w14:solidFill>
                    <w14:schemeClr w14:val="tx1"/>
                  </w14:solidFill>
                </w14:textFill>
              </w:rPr>
              <w:t>排放量</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=【2507.74×4.65/100×45/100×（1-0.9</w:t>
            </w:r>
            <w:r>
              <w:rPr>
                <w:rFonts w:hint="eastAsia" w:cs="Times New Roman"/>
                <w:color w:val="000000" w:themeColor="text1"/>
                <w:sz w:val="24"/>
                <w:highlight w:val="none"/>
                <w:u w:val="none"/>
                <w:lang w:val="en-US" w:eastAsia="zh-CN"/>
                <w14:textFill>
                  <w14:solidFill>
                    <w14:schemeClr w14:val="tx1"/>
                  </w14:solidFill>
                </w14:textFill>
              </w:rPr>
              <w:t>9</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5）】/1-0.1=0.</w:t>
            </w:r>
            <w:r>
              <w:rPr>
                <w:rFonts w:hint="eastAsia" w:cs="Times New Roman"/>
                <w:color w:val="000000" w:themeColor="text1"/>
                <w:sz w:val="24"/>
                <w:highlight w:val="none"/>
                <w:u w:val="none"/>
                <w:lang w:val="en-US" w:eastAsia="zh-CN"/>
                <w14:textFill>
                  <w14:solidFill>
                    <w14:schemeClr w14:val="tx1"/>
                  </w14:solidFill>
                </w14:textFill>
              </w:rPr>
              <w:t>29</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t/a</w:t>
            </w:r>
          </w:p>
          <w:p w14:paraId="7B78FE60">
            <w:pPr>
              <w:pStyle w:val="21"/>
              <w:keepNext w:val="0"/>
              <w:keepLines w:val="0"/>
              <w:suppressLineNumbers w:val="0"/>
              <w:spacing w:before="0" w:beforeAutospacing="0" w:after="0" w:afterAutospacing="0" w:line="360" w:lineRule="auto"/>
              <w:ind w:left="0" w:leftChars="0" w:right="0" w:firstLine="480" w:firstLineChars="200"/>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排放浓度=0.</w:t>
            </w:r>
            <w:r>
              <w:rPr>
                <w:rFonts w:hint="eastAsia" w:cs="Times New Roman"/>
                <w:color w:val="000000" w:themeColor="text1"/>
                <w:sz w:val="24"/>
                <w:highlight w:val="none"/>
                <w:u w:val="none"/>
                <w:lang w:val="en-US" w:eastAsia="zh-CN"/>
                <w14:textFill>
                  <w14:solidFill>
                    <w14:schemeClr w14:val="tx1"/>
                  </w14:solidFill>
                </w14:textFill>
              </w:rPr>
              <w:t>29</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×10</w:t>
            </w:r>
            <w:r>
              <w:rPr>
                <w:rFonts w:hint="default" w:ascii="Times New Roman" w:hAnsi="Times New Roman" w:eastAsia="宋体" w:cs="Times New Roman"/>
                <w:color w:val="000000" w:themeColor="text1"/>
                <w:sz w:val="24"/>
                <w:highlight w:val="none"/>
                <w:u w:val="none"/>
                <w:vertAlign w:val="superscript"/>
                <w:lang w:val="en-US" w:eastAsia="zh-CN"/>
                <w14:textFill>
                  <w14:solidFill>
                    <w14:schemeClr w14:val="tx1"/>
                  </w14:solidFill>
                </w14:textFill>
              </w:rPr>
              <w:t>9</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w:t>
            </w:r>
            <w:r>
              <w:rPr>
                <w:rFonts w:hint="eastAsia" w:cs="Times New Roman"/>
                <w:color w:val="000000" w:themeColor="text1"/>
                <w:sz w:val="24"/>
                <w:highlight w:val="none"/>
                <w:u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bidi="ar-SA"/>
                <w14:textFill>
                  <w14:solidFill>
                    <w14:schemeClr w14:val="tx1"/>
                  </w14:solidFill>
                </w14:textFill>
              </w:rPr>
              <w:t>1.18</w:t>
            </w:r>
            <w:r>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t>×10</w:t>
            </w:r>
            <w:r>
              <w:rPr>
                <w:rFonts w:hint="default" w:ascii="Times New Roman" w:hAnsi="Times New Roman" w:eastAsia="宋体" w:cs="Times New Roman"/>
                <w:color w:val="000000" w:themeColor="text1"/>
                <w:sz w:val="24"/>
                <w:szCs w:val="24"/>
                <w:highlight w:val="none"/>
                <w:vertAlign w:val="superscript"/>
                <w:lang w:val="en-US" w:eastAsia="zh-CN" w:bidi="ar-SA"/>
                <w14:textFill>
                  <w14:solidFill>
                    <w14:schemeClr w14:val="tx1"/>
                  </w14:solidFill>
                </w14:textFill>
              </w:rPr>
              <w:t>7</w:t>
            </w:r>
            <w:r>
              <w:rPr>
                <w:rFonts w:hint="eastAsia" w:cs="Times New Roman"/>
                <w:color w:val="000000" w:themeColor="text1"/>
                <w:sz w:val="24"/>
                <w:highlight w:val="none"/>
                <w:u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w:t>
            </w:r>
            <w:r>
              <w:rPr>
                <w:rFonts w:hint="eastAsia" w:cs="Times New Roman"/>
                <w:color w:val="000000" w:themeColor="text1"/>
                <w:sz w:val="24"/>
                <w:highlight w:val="none"/>
                <w:u w:val="none"/>
                <w:lang w:val="en-US" w:eastAsia="zh-CN"/>
                <w14:textFill>
                  <w14:solidFill>
                    <w14:schemeClr w14:val="tx1"/>
                  </w14:solidFill>
                </w14:textFill>
              </w:rPr>
              <w:t>24.58</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mg/m</w:t>
            </w:r>
            <w:r>
              <w:rPr>
                <w:rFonts w:hint="default" w:ascii="Times New Roman" w:hAnsi="Times New Roman" w:eastAsia="宋体" w:cs="Times New Roman"/>
                <w:color w:val="000000" w:themeColor="text1"/>
                <w:sz w:val="24"/>
                <w:highlight w:val="none"/>
                <w:u w:val="none"/>
                <w:vertAlign w:val="superscript"/>
                <w:lang w:val="en-US" w:eastAsia="zh-CN"/>
                <w14:textFill>
                  <w14:solidFill>
                    <w14:schemeClr w14:val="tx1"/>
                  </w14:solidFill>
                </w14:textFill>
              </w:rPr>
              <w:t>3</w:t>
            </w:r>
          </w:p>
          <w:p w14:paraId="5CDF9E01">
            <w:pPr>
              <w:pStyle w:val="21"/>
              <w:keepNext w:val="0"/>
              <w:keepLines w:val="0"/>
              <w:suppressLineNumbers w:val="0"/>
              <w:spacing w:before="0" w:beforeAutospacing="0" w:after="0" w:afterAutospacing="0" w:line="360" w:lineRule="auto"/>
              <w:ind w:left="0" w:leftChars="0" w:right="0" w:firstLine="480" w:firstLineChars="200"/>
              <w:rPr>
                <w:rFonts w:hint="default" w:cs="Times New Roman"/>
                <w:color w:val="000000" w:themeColor="text1"/>
                <w:sz w:val="24"/>
                <w:highlight w:val="none"/>
                <w:u w:val="none"/>
                <w:lang w:val="en-US" w:eastAsia="zh-CN"/>
                <w14:textFill>
                  <w14:solidFill>
                    <w14:schemeClr w14:val="tx1"/>
                  </w14:solidFill>
                </w14:textFill>
              </w:rPr>
            </w:pPr>
            <w:r>
              <w:rPr>
                <w:rFonts w:hint="eastAsia" w:cs="Times New Roman"/>
                <w:color w:val="000000" w:themeColor="text1"/>
                <w:sz w:val="24"/>
                <w:highlight w:val="none"/>
                <w:u w:val="none"/>
                <w:lang w:val="en-US" w:eastAsia="zh-CN"/>
                <w14:textFill>
                  <w14:solidFill>
                    <w14:schemeClr w14:val="tx1"/>
                  </w14:solidFill>
                </w14:textFill>
              </w:rPr>
              <w:t>排放速率</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=0.</w:t>
            </w:r>
            <w:r>
              <w:rPr>
                <w:rFonts w:hint="eastAsia" w:cs="Times New Roman"/>
                <w:color w:val="000000" w:themeColor="text1"/>
                <w:sz w:val="24"/>
                <w:highlight w:val="none"/>
                <w:u w:val="none"/>
                <w:lang w:val="en-US" w:eastAsia="zh-CN"/>
                <w14:textFill>
                  <w14:solidFill>
                    <w14:schemeClr w14:val="tx1"/>
                  </w14:solidFill>
                </w14:textFill>
              </w:rPr>
              <w:t>29</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×10</w:t>
            </w:r>
            <w:r>
              <w:rPr>
                <w:rFonts w:hint="eastAsia" w:ascii="Times New Roman" w:hAnsi="Times New Roman" w:eastAsia="宋体" w:cs="Times New Roman"/>
                <w:color w:val="000000" w:themeColor="text1"/>
                <w:sz w:val="24"/>
                <w:highlight w:val="none"/>
                <w:u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w:t>
            </w:r>
            <w:r>
              <w:rPr>
                <w:rFonts w:hint="eastAsia" w:cs="Times New Roman"/>
                <w:color w:val="000000" w:themeColor="text1"/>
                <w:sz w:val="24"/>
                <w:highlight w:val="none"/>
                <w:u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bidi="ar-SA"/>
                <w14:textFill>
                  <w14:solidFill>
                    <w14:schemeClr w14:val="tx1"/>
                  </w14:solidFill>
                </w14:textFill>
              </w:rPr>
              <w:t>60×24</w:t>
            </w:r>
            <w:r>
              <w:rPr>
                <w:rFonts w:hint="eastAsia" w:cs="Times New Roman"/>
                <w:color w:val="000000" w:themeColor="text1"/>
                <w:sz w:val="24"/>
                <w:highlight w:val="none"/>
                <w:u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w:t>
            </w:r>
            <w:r>
              <w:rPr>
                <w:rFonts w:hint="eastAsia" w:cs="Times New Roman"/>
                <w:color w:val="000000" w:themeColor="text1"/>
                <w:sz w:val="24"/>
                <w:highlight w:val="none"/>
                <w:u w:val="none"/>
                <w:lang w:val="en-US" w:eastAsia="zh-CN"/>
                <w14:textFill>
                  <w14:solidFill>
                    <w14:schemeClr w14:val="tx1"/>
                  </w14:solidFill>
                </w14:textFill>
              </w:rPr>
              <w:t>0.20</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kg/h</w:t>
            </w:r>
          </w:p>
          <w:p w14:paraId="2A278A88">
            <w:pPr>
              <w:pStyle w:val="21"/>
              <w:keepNext w:val="0"/>
              <w:keepLines w:val="0"/>
              <w:suppressLineNumbers w:val="0"/>
              <w:spacing w:before="0" w:beforeAutospacing="0" w:after="0" w:afterAutospacing="0" w:line="360" w:lineRule="auto"/>
              <w:ind w:left="0" w:leftChars="0" w:right="0" w:firstLine="480" w:firstLineChars="200"/>
              <w:rPr>
                <w:rFonts w:hint="default" w:ascii="Times New Roman" w:hAnsi="Times New Roman" w:eastAsia="宋体" w:cs="Times New Roman"/>
                <w:color w:val="000000" w:themeColor="text1"/>
                <w:sz w:val="24"/>
                <w:highlight w:val="none"/>
                <w:u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u w:val="none"/>
                <w14:textFill>
                  <w14:solidFill>
                    <w14:schemeClr w14:val="tx1"/>
                  </w14:solidFill>
                </w14:textFill>
              </w:rPr>
              <w:t>经计算，E</w:t>
            </w:r>
            <w:r>
              <w:rPr>
                <w:rFonts w:hint="default" w:ascii="Times New Roman" w:hAnsi="Times New Roman" w:eastAsia="宋体" w:cs="Times New Roman"/>
                <w:color w:val="000000" w:themeColor="text1"/>
                <w:sz w:val="24"/>
                <w:highlight w:val="none"/>
                <w:u w:val="none"/>
                <w:vertAlign w:val="subscript"/>
                <w14:textFill>
                  <w14:solidFill>
                    <w14:schemeClr w14:val="tx1"/>
                  </w14:solidFill>
                </w14:textFill>
              </w:rPr>
              <w:t>A</w:t>
            </w:r>
            <w:r>
              <w:rPr>
                <w:rFonts w:hint="default" w:ascii="Times New Roman" w:hAnsi="Times New Roman" w:eastAsia="宋体" w:cs="Times New Roman"/>
                <w:color w:val="000000" w:themeColor="text1"/>
                <w:sz w:val="24"/>
                <w:highlight w:val="none"/>
                <w:u w:val="none"/>
                <w14:textFill>
                  <w14:solidFill>
                    <w14:schemeClr w14:val="tx1"/>
                  </w14:solidFill>
                </w14:textFill>
              </w:rPr>
              <w:t>=</w:t>
            </w:r>
            <w:r>
              <w:rPr>
                <w:rFonts w:hint="eastAsia" w:cs="Times New Roman"/>
                <w:color w:val="000000" w:themeColor="text1"/>
                <w:sz w:val="24"/>
                <w:highlight w:val="none"/>
                <w:u w:val="none"/>
                <w:lang w:val="en-US" w:eastAsia="zh-CN"/>
                <w14:textFill>
                  <w14:solidFill>
                    <w14:schemeClr w14:val="tx1"/>
                  </w14:solidFill>
                </w14:textFill>
              </w:rPr>
              <w:t>0.29</w:t>
            </w:r>
            <w:r>
              <w:rPr>
                <w:rFonts w:hint="default" w:ascii="Times New Roman" w:hAnsi="Times New Roman" w:eastAsia="宋体" w:cs="Times New Roman"/>
                <w:color w:val="000000" w:themeColor="text1"/>
                <w:sz w:val="24"/>
                <w:szCs w:val="24"/>
                <w:highlight w:val="none"/>
                <w14:textFill>
                  <w14:solidFill>
                    <w14:schemeClr w14:val="tx1"/>
                  </w14:solidFill>
                </w14:textFill>
              </w:rPr>
              <w:t>t</w:t>
            </w:r>
            <w:r>
              <w:rPr>
                <w:rFonts w:hint="default" w:ascii="Times New Roman" w:hAnsi="Times New Roman" w:eastAsia="宋体" w:cs="Times New Roman"/>
                <w:color w:val="000000" w:themeColor="text1"/>
                <w:sz w:val="24"/>
                <w:highlight w:val="none"/>
                <w:u w:val="none"/>
                <w14:textFill>
                  <w14:solidFill>
                    <w14:schemeClr w14:val="tx1"/>
                  </w14:solidFill>
                </w14:textFill>
              </w:rPr>
              <w:t>，即</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热风炉</w:t>
            </w:r>
            <w:r>
              <w:rPr>
                <w:rFonts w:hint="default" w:ascii="Times New Roman" w:hAnsi="Times New Roman" w:eastAsia="宋体" w:cs="Times New Roman"/>
                <w:color w:val="000000" w:themeColor="text1"/>
                <w:sz w:val="24"/>
                <w:highlight w:val="none"/>
                <w:u w:val="none"/>
                <w14:textFill>
                  <w14:solidFill>
                    <w14:schemeClr w14:val="tx1"/>
                  </w14:solidFill>
                </w14:textFill>
              </w:rPr>
              <w:t>烟尘排放量为</w:t>
            </w:r>
            <w:r>
              <w:rPr>
                <w:rFonts w:hint="eastAsia" w:cs="Times New Roman"/>
                <w:color w:val="000000" w:themeColor="text1"/>
                <w:sz w:val="24"/>
                <w:highlight w:val="none"/>
                <w:u w:val="none"/>
                <w:lang w:val="en-US" w:eastAsia="zh-CN"/>
                <w14:textFill>
                  <w14:solidFill>
                    <w14:schemeClr w14:val="tx1"/>
                  </w14:solidFill>
                </w14:textFill>
              </w:rPr>
              <w:t>0.29</w:t>
            </w:r>
            <w:r>
              <w:rPr>
                <w:rFonts w:hint="default" w:ascii="Times New Roman" w:hAnsi="Times New Roman" w:eastAsia="宋体" w:cs="Times New Roman"/>
                <w:color w:val="000000" w:themeColor="text1"/>
                <w:sz w:val="24"/>
                <w:szCs w:val="24"/>
                <w:highlight w:val="none"/>
                <w14:textFill>
                  <w14:solidFill>
                    <w14:schemeClr w14:val="tx1"/>
                  </w14:solidFill>
                </w14:textFill>
              </w:rPr>
              <w:t>t/a</w:t>
            </w:r>
            <w:r>
              <w:rPr>
                <w:rFonts w:hint="default" w:ascii="Times New Roman" w:hAnsi="Times New Roman" w:eastAsia="宋体" w:cs="Times New Roman"/>
                <w:color w:val="000000" w:themeColor="text1"/>
                <w:sz w:val="24"/>
                <w:highlight w:val="none"/>
                <w:u w:val="none"/>
                <w14:textFill>
                  <w14:solidFill>
                    <w14:schemeClr w14:val="tx1"/>
                  </w14:solidFill>
                </w14:textFill>
              </w:rPr>
              <w:t>，</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排放速率为</w:t>
            </w:r>
            <w:r>
              <w:rPr>
                <w:rFonts w:hint="eastAsia" w:cs="Times New Roman"/>
                <w:color w:val="000000" w:themeColor="text1"/>
                <w:sz w:val="24"/>
                <w:highlight w:val="none"/>
                <w:u w:val="none"/>
                <w:lang w:val="en-US" w:eastAsia="zh-CN"/>
                <w14:textFill>
                  <w14:solidFill>
                    <w14:schemeClr w14:val="tx1"/>
                  </w14:solidFill>
                </w14:textFill>
              </w:rPr>
              <w:t>0.20</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kg/h，排</w:t>
            </w:r>
            <w:r>
              <w:rPr>
                <w:rFonts w:hint="default" w:ascii="Times New Roman" w:hAnsi="Times New Roman" w:eastAsia="宋体" w:cs="Times New Roman"/>
                <w:color w:val="000000" w:themeColor="text1"/>
                <w:sz w:val="24"/>
                <w:highlight w:val="none"/>
                <w:u w:val="none"/>
                <w14:textFill>
                  <w14:solidFill>
                    <w14:schemeClr w14:val="tx1"/>
                  </w14:solidFill>
                </w14:textFill>
              </w:rPr>
              <w:t>放浓度为</w:t>
            </w:r>
            <w:r>
              <w:rPr>
                <w:rFonts w:hint="eastAsia" w:cs="Times New Roman"/>
                <w:color w:val="000000" w:themeColor="text1"/>
                <w:sz w:val="24"/>
                <w:highlight w:val="none"/>
                <w:u w:val="none"/>
                <w:lang w:val="en-US" w:eastAsia="zh-CN"/>
                <w14:textFill>
                  <w14:solidFill>
                    <w14:schemeClr w14:val="tx1"/>
                  </w14:solidFill>
                </w14:textFill>
              </w:rPr>
              <w:t>24.58</w:t>
            </w:r>
            <w:r>
              <w:rPr>
                <w:rFonts w:hint="default" w:ascii="Times New Roman" w:hAnsi="Times New Roman" w:eastAsia="宋体" w:cs="Times New Roman"/>
                <w:color w:val="000000" w:themeColor="text1"/>
                <w:sz w:val="24"/>
                <w:highlight w:val="none"/>
                <w:u w:val="none"/>
                <w14:textFill>
                  <w14:solidFill>
                    <w14:schemeClr w14:val="tx1"/>
                  </w14:solidFill>
                </w14:textFill>
              </w:rPr>
              <w:t>mg/m</w:t>
            </w:r>
            <w:r>
              <w:rPr>
                <w:rFonts w:hint="default" w:ascii="Times New Roman" w:hAnsi="Times New Roman" w:eastAsia="宋体" w:cs="Times New Roman"/>
                <w:color w:val="000000" w:themeColor="text1"/>
                <w:sz w:val="24"/>
                <w:highlight w:val="none"/>
                <w:u w:val="none"/>
                <w:vertAlign w:val="superscript"/>
                <w14:textFill>
                  <w14:solidFill>
                    <w14:schemeClr w14:val="tx1"/>
                  </w14:solidFill>
                </w14:textFill>
              </w:rPr>
              <w:t>3</w:t>
            </w:r>
            <w:r>
              <w:rPr>
                <w:rFonts w:hint="default" w:ascii="Times New Roman" w:hAnsi="Times New Roman" w:eastAsia="宋体" w:cs="Times New Roman"/>
                <w:color w:val="000000" w:themeColor="text1"/>
                <w:sz w:val="24"/>
                <w:highlight w:val="none"/>
                <w:u w:val="none"/>
                <w:lang w:eastAsia="zh-CN"/>
                <w14:textFill>
                  <w14:solidFill>
                    <w14:schemeClr w14:val="tx1"/>
                  </w14:solidFill>
                </w14:textFill>
              </w:rPr>
              <w:t>。</w:t>
            </w:r>
          </w:p>
          <w:p w14:paraId="7BBFCDC2">
            <w:pPr>
              <w:pStyle w:val="21"/>
              <w:keepNext w:val="0"/>
              <w:keepLines w:val="0"/>
              <w:suppressLineNumbers w:val="0"/>
              <w:spacing w:before="0" w:beforeAutospacing="0" w:after="0" w:afterAutospacing="0" w:line="360" w:lineRule="auto"/>
              <w:ind w:left="0" w:leftChars="0" w:right="0" w:firstLine="480" w:firstLineChars="200"/>
              <w:rPr>
                <w:rFonts w:hint="default" w:ascii="Times New Roman" w:hAnsi="Times New Roman" w:eastAsia="宋体" w:cs="Times New Roman"/>
                <w:color w:val="000000" w:themeColor="text1"/>
                <w:kern w:val="0"/>
                <w:sz w:val="24"/>
                <w:highlight w:val="none"/>
                <w:u w:val="none"/>
                <w:vertAlign w:val="subscript"/>
                <w14:textFill>
                  <w14:solidFill>
                    <w14:schemeClr w14:val="tx1"/>
                  </w14:solidFill>
                </w14:textFill>
              </w:rPr>
            </w:pPr>
            <w:r>
              <w:rPr>
                <w:rFonts w:hint="default" w:ascii="Times New Roman" w:hAnsi="Times New Roman" w:eastAsia="宋体" w:cs="Times New Roman"/>
                <w:color w:val="000000" w:themeColor="text1"/>
                <w:kern w:val="0"/>
                <w:sz w:val="24"/>
                <w:highlight w:val="none"/>
                <w:u w:val="none"/>
                <w:lang w:val="en-US" w:eastAsia="zh-CN"/>
                <w14:textFill>
                  <w14:solidFill>
                    <w14:schemeClr w14:val="tx1"/>
                  </w14:solidFill>
                </w14:textFill>
              </w:rPr>
              <w:t>②</w:t>
            </w:r>
            <w:r>
              <w:rPr>
                <w:rFonts w:hint="default" w:ascii="Times New Roman" w:hAnsi="Times New Roman" w:eastAsia="宋体" w:cs="Times New Roman"/>
                <w:color w:val="000000" w:themeColor="text1"/>
                <w:kern w:val="0"/>
                <w:sz w:val="24"/>
                <w:highlight w:val="none"/>
                <w:u w:val="none"/>
                <w14:textFill>
                  <w14:solidFill>
                    <w14:schemeClr w14:val="tx1"/>
                  </w14:solidFill>
                </w14:textFill>
              </w:rPr>
              <w:t>SO</w:t>
            </w:r>
            <w:r>
              <w:rPr>
                <w:rFonts w:hint="default" w:ascii="Times New Roman" w:hAnsi="Times New Roman" w:eastAsia="宋体" w:cs="Times New Roman"/>
                <w:color w:val="000000" w:themeColor="text1"/>
                <w:kern w:val="0"/>
                <w:sz w:val="24"/>
                <w:highlight w:val="none"/>
                <w:u w:val="none"/>
                <w:vertAlign w:val="subscript"/>
                <w14:textFill>
                  <w14:solidFill>
                    <w14:schemeClr w14:val="tx1"/>
                  </w14:solidFill>
                </w14:textFill>
              </w:rPr>
              <w:t>2</w:t>
            </w:r>
          </w:p>
          <w:p w14:paraId="6C993704">
            <w:pPr>
              <w:keepNext w:val="0"/>
              <w:keepLines w:val="0"/>
              <w:suppressLineNumbers w:val="0"/>
              <w:autoSpaceDE w:val="0"/>
              <w:autoSpaceDN w:val="0"/>
              <w:adjustRightInd w:val="0"/>
              <w:spacing w:before="0" w:beforeAutospacing="0" w:after="0" w:afterAutospacing="0" w:line="240" w:lineRule="auto"/>
              <w:ind w:left="523" w:right="0"/>
              <w:jc w:val="center"/>
              <w:textAlignment w:val="baseline"/>
              <w:rPr>
                <w:rFonts w:hint="default" w:ascii="Times New Roman" w:hAnsi="Times New Roman" w:eastAsia="宋体" w:cs="Times New Roman"/>
                <w:color w:val="000000" w:themeColor="text1"/>
                <w:kern w:val="0"/>
                <w:sz w:val="24"/>
                <w:szCs w:val="32"/>
                <w:highlight w:val="none"/>
                <w:u w:val="none"/>
                <w:vertAlign w:val="subscript"/>
                <w14:textFill>
                  <w14:solidFill>
                    <w14:schemeClr w14:val="tx1"/>
                  </w14:solidFill>
                </w14:textFill>
              </w:rPr>
            </w:pPr>
            <w:r>
              <w:rPr>
                <w:rFonts w:hint="default" w:ascii="Times New Roman" w:hAnsi="Times New Roman" w:eastAsia="宋体" w:cs="Times New Roman"/>
                <w:color w:val="000000" w:themeColor="text1"/>
                <w:kern w:val="0"/>
                <w:sz w:val="24"/>
                <w:szCs w:val="32"/>
                <w:highlight w:val="none"/>
                <w:u w:val="none"/>
                <w:vertAlign w:val="subscript"/>
                <w:lang w:val="en-US" w:eastAsia="zh-CN" w:bidi="ar-SA"/>
                <w14:textFill>
                  <w14:solidFill>
                    <w14:schemeClr w14:val="tx1"/>
                  </w14:solidFill>
                </w14:textFill>
              </w:rPr>
              <w:drawing>
                <wp:inline distT="0" distB="0" distL="114300" distR="114300">
                  <wp:extent cx="2519045" cy="492125"/>
                  <wp:effectExtent l="0" t="0" r="14605" b="3175"/>
                  <wp:docPr id="77" name="图片 10" descr="15547184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0" descr="1554718402(1)"/>
                          <pic:cNvPicPr>
                            <a:picLocks noChangeAspect="1"/>
                          </pic:cNvPicPr>
                        </pic:nvPicPr>
                        <pic:blipFill>
                          <a:blip r:embed="rId30">
                            <a:lum/>
                          </a:blip>
                          <a:stretch>
                            <a:fillRect/>
                          </a:stretch>
                        </pic:blipFill>
                        <pic:spPr>
                          <a:xfrm>
                            <a:off x="0" y="0"/>
                            <a:ext cx="2519045" cy="492125"/>
                          </a:xfrm>
                          <a:prstGeom prst="rect">
                            <a:avLst/>
                          </a:prstGeom>
                          <a:noFill/>
                          <a:ln>
                            <a:noFill/>
                          </a:ln>
                        </pic:spPr>
                      </pic:pic>
                    </a:graphicData>
                  </a:graphic>
                </wp:inline>
              </w:drawing>
            </w:r>
          </w:p>
          <w:p w14:paraId="4D444CB6">
            <w:pPr>
              <w:keepNext w:val="0"/>
              <w:keepLines w:val="0"/>
              <w:suppressLineNumbers w:val="0"/>
              <w:autoSpaceDE w:val="0"/>
              <w:autoSpaceDN w:val="0"/>
              <w:adjustRightInd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t>式中：E</w:t>
            </w:r>
            <w:r>
              <w:rPr>
                <w:rFonts w:hint="default" w:ascii="Times New Roman" w:hAnsi="Times New Roman" w:eastAsia="宋体" w:cs="Times New Roman"/>
                <w:color w:val="000000" w:themeColor="text1"/>
                <w:kern w:val="0"/>
                <w:sz w:val="24"/>
                <w:szCs w:val="32"/>
                <w:highlight w:val="none"/>
                <w:u w:val="none"/>
                <w:vertAlign w:val="subscript"/>
                <w14:textFill>
                  <w14:solidFill>
                    <w14:schemeClr w14:val="tx1"/>
                  </w14:solidFill>
                </w14:textFill>
              </w:rPr>
              <w:t xml:space="preserve">SO2 </w:t>
            </w:r>
            <w:r>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t>—核算时段内SO</w:t>
            </w:r>
            <w:r>
              <w:rPr>
                <w:rFonts w:hint="default" w:ascii="Times New Roman" w:hAnsi="Times New Roman" w:eastAsia="宋体" w:cs="Times New Roman"/>
                <w:color w:val="000000" w:themeColor="text1"/>
                <w:kern w:val="0"/>
                <w:sz w:val="24"/>
                <w:szCs w:val="32"/>
                <w:highlight w:val="none"/>
                <w:u w:val="none"/>
                <w:vertAlign w:val="subscript"/>
                <w14:textFill>
                  <w14:solidFill>
                    <w14:schemeClr w14:val="tx1"/>
                  </w14:solidFill>
                </w14:textFill>
              </w:rPr>
              <w:t>2</w:t>
            </w:r>
            <w:r>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t>排放量，t；</w:t>
            </w:r>
          </w:p>
          <w:p w14:paraId="7748067B">
            <w:pPr>
              <w:keepNext w:val="0"/>
              <w:keepLines w:val="0"/>
              <w:suppressLineNumbers w:val="0"/>
              <w:autoSpaceDE w:val="0"/>
              <w:autoSpaceDN w:val="0"/>
              <w:adjustRightInd w:val="0"/>
              <w:spacing w:before="0" w:beforeAutospacing="0" w:after="0" w:afterAutospacing="0" w:line="360" w:lineRule="auto"/>
              <w:ind w:left="0" w:right="0"/>
              <w:textAlignment w:val="baseline"/>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t xml:space="preserve">    R—核算时段内锅炉燃料耗量，t；</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为2507.74t/a</w:t>
            </w:r>
            <w:r>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t>；</w:t>
            </w:r>
          </w:p>
          <w:p w14:paraId="7A551C66">
            <w:pPr>
              <w:keepNext w:val="0"/>
              <w:keepLines w:val="0"/>
              <w:suppressLineNumbers w:val="0"/>
              <w:autoSpaceDE w:val="0"/>
              <w:autoSpaceDN w:val="0"/>
              <w:adjustRightInd w:val="0"/>
              <w:spacing w:before="0" w:beforeAutospacing="0" w:after="0" w:afterAutospacing="0" w:line="360" w:lineRule="auto"/>
              <w:ind w:left="0" w:right="0"/>
              <w:textAlignment w:val="baseline"/>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t xml:space="preserve">    Sar—收到基硫分的质量分数，</w:t>
            </w:r>
            <w:r>
              <w:rPr>
                <w:rFonts w:hint="eastAsia" w:cs="Times New Roman"/>
                <w:color w:val="000000" w:themeColor="text1"/>
                <w:kern w:val="0"/>
                <w:sz w:val="24"/>
                <w:szCs w:val="32"/>
                <w:highlight w:val="none"/>
                <w:u w:val="none"/>
                <w:lang w:val="en-US" w:eastAsia="zh-CN"/>
                <w14:textFill>
                  <w14:solidFill>
                    <w14:schemeClr w14:val="tx1"/>
                  </w14:solidFill>
                </w14:textFill>
              </w:rPr>
              <w:t>0.05</w:t>
            </w:r>
            <w:r>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t>%；</w:t>
            </w:r>
          </w:p>
          <w:p w14:paraId="242D5A05">
            <w:pPr>
              <w:keepNext w:val="0"/>
              <w:keepLines w:val="0"/>
              <w:suppressLineNumbers w:val="0"/>
              <w:autoSpaceDE w:val="0"/>
              <w:autoSpaceDN w:val="0"/>
              <w:adjustRightInd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t>q4—锅炉机械不完全燃烧热损失，</w:t>
            </w:r>
            <w:r>
              <w:rPr>
                <w:rFonts w:hint="default" w:ascii="Times New Roman" w:hAnsi="Times New Roman" w:eastAsia="宋体" w:cs="Times New Roman"/>
                <w:color w:val="000000" w:themeColor="text1"/>
                <w:kern w:val="0"/>
                <w:sz w:val="24"/>
                <w:szCs w:val="32"/>
                <w:highlight w:val="none"/>
                <w:u w:val="none"/>
                <w:lang w:val="en-US" w:eastAsia="zh-CN"/>
                <w14:textFill>
                  <w14:solidFill>
                    <w14:schemeClr w14:val="tx1"/>
                  </w14:solidFill>
                </w14:textFill>
              </w:rPr>
              <w:t>对照</w:t>
            </w:r>
            <w:r>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t>本项目</w:t>
            </w:r>
            <w:r>
              <w:rPr>
                <w:rFonts w:hint="default" w:ascii="Times New Roman" w:hAnsi="Times New Roman" w:eastAsia="宋体" w:cs="Times New Roman"/>
                <w:color w:val="000000" w:themeColor="text1"/>
                <w:kern w:val="0"/>
                <w:sz w:val="24"/>
                <w:szCs w:val="32"/>
                <w:highlight w:val="none"/>
                <w:u w:val="none"/>
                <w:lang w:eastAsia="zh-CN"/>
                <w14:textFill>
                  <w14:solidFill>
                    <w14:schemeClr w14:val="tx1"/>
                  </w14:solidFill>
                </w14:textFill>
              </w:rPr>
              <w:t>生物质</w:t>
            </w:r>
            <w:r>
              <w:rPr>
                <w:rFonts w:hint="default" w:ascii="Times New Roman" w:hAnsi="Times New Roman" w:eastAsia="宋体" w:cs="Times New Roman"/>
                <w:color w:val="000000" w:themeColor="text1"/>
                <w:kern w:val="0"/>
                <w:sz w:val="24"/>
                <w:szCs w:val="32"/>
                <w:highlight w:val="none"/>
                <w:u w:val="none"/>
                <w:lang w:val="en-US" w:eastAsia="zh-CN"/>
                <w14:textFill>
                  <w14:solidFill>
                    <w14:schemeClr w14:val="tx1"/>
                  </w14:solidFill>
                </w14:textFill>
              </w:rPr>
              <w:t>热风炉</w:t>
            </w:r>
            <w:r>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t>机械不完全燃烧热损失取值为</w:t>
            </w:r>
            <w:r>
              <w:rPr>
                <w:rFonts w:hint="eastAsia" w:cs="Times New Roman"/>
                <w:color w:val="000000" w:themeColor="text1"/>
                <w:kern w:val="0"/>
                <w:sz w:val="24"/>
                <w:szCs w:val="32"/>
                <w:highlight w:val="none"/>
                <w:u w:val="none"/>
                <w:lang w:val="en-US" w:eastAsia="zh-CN"/>
                <w14:textFill>
                  <w14:solidFill>
                    <w14:schemeClr w14:val="tx1"/>
                  </w14:solidFill>
                </w14:textFill>
              </w:rPr>
              <w:t>15</w:t>
            </w:r>
            <w:r>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t>%；</w:t>
            </w:r>
          </w:p>
          <w:p w14:paraId="471EAF5C">
            <w:pPr>
              <w:keepNext w:val="0"/>
              <w:keepLines w:val="0"/>
              <w:suppressLineNumbers w:val="0"/>
              <w:autoSpaceDE w:val="0"/>
              <w:autoSpaceDN w:val="0"/>
              <w:adjustRightInd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t>ηs—脱硫效率，%；本项目</w:t>
            </w:r>
            <w:r>
              <w:rPr>
                <w:rFonts w:hint="default" w:ascii="Times New Roman" w:hAnsi="Times New Roman" w:eastAsia="宋体" w:cs="Times New Roman"/>
                <w:color w:val="000000" w:themeColor="text1"/>
                <w:kern w:val="0"/>
                <w:sz w:val="24"/>
                <w:szCs w:val="32"/>
                <w:highlight w:val="none"/>
                <w:u w:val="none"/>
                <w:lang w:val="en-US" w:eastAsia="zh-CN"/>
                <w14:textFill>
                  <w14:solidFill>
                    <w14:schemeClr w14:val="tx1"/>
                  </w14:solidFill>
                </w14:textFill>
              </w:rPr>
              <w:t>为0%</w:t>
            </w:r>
            <w:r>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t>；</w:t>
            </w:r>
          </w:p>
          <w:p w14:paraId="1E820FFC">
            <w:pPr>
              <w:keepNext w:val="0"/>
              <w:keepLines w:val="0"/>
              <w:suppressLineNumbers w:val="0"/>
              <w:autoSpaceDE w:val="0"/>
              <w:autoSpaceDN w:val="0"/>
              <w:adjustRightInd w:val="0"/>
              <w:spacing w:before="0" w:beforeAutospacing="0" w:after="0" w:afterAutospacing="0" w:line="360" w:lineRule="auto"/>
              <w:ind w:left="0" w:right="0"/>
              <w:textAlignment w:val="baseline"/>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pPr>
            <w:r>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t xml:space="preserve">    K—燃料中硫燃烧后氧化成SO</w:t>
            </w:r>
            <w:r>
              <w:rPr>
                <w:rFonts w:hint="default" w:ascii="Times New Roman" w:hAnsi="Times New Roman" w:eastAsia="宋体" w:cs="Times New Roman"/>
                <w:color w:val="000000" w:themeColor="text1"/>
                <w:kern w:val="0"/>
                <w:sz w:val="24"/>
                <w:szCs w:val="32"/>
                <w:highlight w:val="none"/>
                <w:u w:val="none"/>
                <w:vertAlign w:val="subscript"/>
                <w14:textFill>
                  <w14:solidFill>
                    <w14:schemeClr w14:val="tx1"/>
                  </w14:solidFill>
                </w14:textFill>
              </w:rPr>
              <w:t>2</w:t>
            </w:r>
            <w:r>
              <w:rPr>
                <w:rFonts w:hint="default" w:ascii="Times New Roman" w:hAnsi="Times New Roman" w:eastAsia="宋体" w:cs="Times New Roman"/>
                <w:color w:val="000000" w:themeColor="text1"/>
                <w:kern w:val="0"/>
                <w:sz w:val="24"/>
                <w:szCs w:val="32"/>
                <w:highlight w:val="none"/>
                <w:u w:val="none"/>
                <w14:textFill>
                  <w14:solidFill>
                    <w14:schemeClr w14:val="tx1"/>
                  </w14:solidFill>
                </w14:textFill>
              </w:rPr>
              <w:t>的份额，K取最大值0.5。</w:t>
            </w:r>
          </w:p>
          <w:p w14:paraId="366B81FA">
            <w:pPr>
              <w:pStyle w:val="21"/>
              <w:keepNext w:val="0"/>
              <w:keepLines w:val="0"/>
              <w:suppressLineNumbers w:val="0"/>
              <w:spacing w:before="0" w:beforeAutospacing="0" w:after="0" w:afterAutospacing="0" w:line="360" w:lineRule="auto"/>
              <w:ind w:left="0" w:leftChars="0" w:right="0" w:firstLine="480" w:firstLineChars="200"/>
              <w:rPr>
                <w:rFonts w:hint="eastAsia" w:cs="Times New Roman"/>
                <w:color w:val="000000" w:themeColor="text1"/>
                <w:sz w:val="24"/>
                <w:highlight w:val="none"/>
                <w:u w:val="none"/>
                <w:lang w:val="en-US" w:eastAsia="zh-CN"/>
                <w14:textFill>
                  <w14:solidFill>
                    <w14:schemeClr w14:val="tx1"/>
                  </w14:solidFill>
                </w14:textFill>
              </w:rPr>
            </w:pPr>
            <w:r>
              <w:rPr>
                <w:rFonts w:hint="eastAsia" w:cs="Times New Roman"/>
                <w:color w:val="000000" w:themeColor="text1"/>
                <w:sz w:val="24"/>
                <w:highlight w:val="none"/>
                <w:u w:val="none"/>
                <w:lang w:val="en-US" w:eastAsia="zh-CN"/>
                <w14:textFill>
                  <w14:solidFill>
                    <w14:schemeClr w14:val="tx1"/>
                  </w14:solidFill>
                </w14:textFill>
              </w:rPr>
              <w:t>二氧化硫排放量=2×</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2507.74</w:t>
            </w:r>
            <w:r>
              <w:rPr>
                <w:rFonts w:hint="eastAsia" w:cs="Times New Roman"/>
                <w:color w:val="000000" w:themeColor="text1"/>
                <w:sz w:val="24"/>
                <w:highlight w:val="none"/>
                <w:u w:val="none"/>
                <w:lang w:val="en-US" w:eastAsia="zh-CN"/>
                <w14:textFill>
                  <w14:solidFill>
                    <w14:schemeClr w14:val="tx1"/>
                  </w14:solidFill>
                </w14:textFill>
              </w:rPr>
              <w:t>×0.05/100×（1-0.15）×（1-0）×0.5=1.07t/a</w:t>
            </w:r>
          </w:p>
          <w:p w14:paraId="6D367194">
            <w:pPr>
              <w:pStyle w:val="21"/>
              <w:keepNext w:val="0"/>
              <w:keepLines w:val="0"/>
              <w:suppressLineNumbers w:val="0"/>
              <w:spacing w:before="0" w:beforeAutospacing="0" w:after="0" w:afterAutospacing="0" w:line="360" w:lineRule="auto"/>
              <w:ind w:left="0" w:leftChars="0" w:right="0" w:firstLine="480" w:firstLineChars="200"/>
              <w:rPr>
                <w:rFonts w:hint="eastAsia" w:cs="Times New Roman"/>
                <w:color w:val="000000" w:themeColor="text1"/>
                <w:sz w:val="24"/>
                <w:highlight w:val="none"/>
                <w:u w:val="none"/>
                <w:lang w:val="en-US" w:eastAsia="zh-CN"/>
                <w14:textFill>
                  <w14:solidFill>
                    <w14:schemeClr w14:val="tx1"/>
                  </w14:solidFill>
                </w14:textFill>
              </w:rPr>
            </w:pPr>
            <w:r>
              <w:rPr>
                <w:rFonts w:hint="eastAsia" w:cs="Times New Roman"/>
                <w:color w:val="000000" w:themeColor="text1"/>
                <w:sz w:val="24"/>
                <w:highlight w:val="none"/>
                <w:u w:val="none"/>
                <w:lang w:val="en-US" w:eastAsia="zh-CN"/>
                <w14:textFill>
                  <w14:solidFill>
                    <w14:schemeClr w14:val="tx1"/>
                  </w14:solidFill>
                </w14:textFill>
              </w:rPr>
              <w:t>排放浓度=1.07×10</w:t>
            </w:r>
            <w:r>
              <w:rPr>
                <w:rFonts w:hint="eastAsia" w:cs="Times New Roman"/>
                <w:color w:val="000000" w:themeColor="text1"/>
                <w:sz w:val="24"/>
                <w:highlight w:val="none"/>
                <w:u w:val="none"/>
                <w:vertAlign w:val="superscript"/>
                <w:lang w:val="en-US" w:eastAsia="zh-CN"/>
                <w14:textFill>
                  <w14:solidFill>
                    <w14:schemeClr w14:val="tx1"/>
                  </w14:solidFill>
                </w14:textFill>
              </w:rPr>
              <w:t>9</w:t>
            </w:r>
            <w:r>
              <w:rPr>
                <w:rFonts w:hint="eastAsia" w:cs="Times New Roman"/>
                <w:color w:val="000000" w:themeColor="text1"/>
                <w:sz w:val="24"/>
                <w:highlight w:val="none"/>
                <w:u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bidi="ar-SA"/>
                <w14:textFill>
                  <w14:solidFill>
                    <w14:schemeClr w14:val="tx1"/>
                  </w14:solidFill>
                </w14:textFill>
              </w:rPr>
              <w:t>1.18</w:t>
            </w:r>
            <w:r>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t>×10</w:t>
            </w:r>
            <w:r>
              <w:rPr>
                <w:rFonts w:hint="default" w:ascii="Times New Roman" w:hAnsi="Times New Roman" w:eastAsia="宋体" w:cs="Times New Roman"/>
                <w:color w:val="000000" w:themeColor="text1"/>
                <w:sz w:val="24"/>
                <w:szCs w:val="24"/>
                <w:highlight w:val="none"/>
                <w:vertAlign w:val="superscript"/>
                <w:lang w:val="en-US" w:eastAsia="zh-CN" w:bidi="ar-SA"/>
                <w14:textFill>
                  <w14:solidFill>
                    <w14:schemeClr w14:val="tx1"/>
                  </w14:solidFill>
                </w14:textFill>
              </w:rPr>
              <w:t>7</w:t>
            </w:r>
            <w:r>
              <w:rPr>
                <w:rFonts w:hint="eastAsia" w:cs="Times New Roman"/>
                <w:color w:val="000000" w:themeColor="text1"/>
                <w:sz w:val="24"/>
                <w:highlight w:val="none"/>
                <w:u w:val="none"/>
                <w:lang w:val="en-US" w:eastAsia="zh-CN"/>
                <w14:textFill>
                  <w14:solidFill>
                    <w14:schemeClr w14:val="tx1"/>
                  </w14:solidFill>
                </w14:textFill>
              </w:rPr>
              <w:t>）=90.68mg/m</w:t>
            </w:r>
            <w:r>
              <w:rPr>
                <w:rFonts w:hint="eastAsia" w:cs="Times New Roman"/>
                <w:color w:val="000000" w:themeColor="text1"/>
                <w:sz w:val="24"/>
                <w:highlight w:val="none"/>
                <w:u w:val="none"/>
                <w:vertAlign w:val="superscript"/>
                <w:lang w:val="en-US" w:eastAsia="zh-CN"/>
                <w14:textFill>
                  <w14:solidFill>
                    <w14:schemeClr w14:val="tx1"/>
                  </w14:solidFill>
                </w14:textFill>
              </w:rPr>
              <w:t>3</w:t>
            </w:r>
          </w:p>
          <w:p w14:paraId="33EC9902">
            <w:pPr>
              <w:pStyle w:val="21"/>
              <w:keepNext w:val="0"/>
              <w:keepLines w:val="0"/>
              <w:suppressLineNumbers w:val="0"/>
              <w:spacing w:before="0" w:beforeAutospacing="0" w:after="0" w:afterAutospacing="0" w:line="360" w:lineRule="auto"/>
              <w:ind w:left="0" w:leftChars="0" w:right="0" w:firstLine="480" w:firstLineChars="200"/>
              <w:rPr>
                <w:rFonts w:hint="default" w:cs="Times New Roman"/>
                <w:color w:val="000000" w:themeColor="text1"/>
                <w:sz w:val="24"/>
                <w:highlight w:val="none"/>
                <w:u w:val="none"/>
                <w:lang w:val="en-US" w:eastAsia="zh-CN"/>
                <w14:textFill>
                  <w14:solidFill>
                    <w14:schemeClr w14:val="tx1"/>
                  </w14:solidFill>
                </w14:textFill>
              </w:rPr>
            </w:pPr>
            <w:r>
              <w:rPr>
                <w:rFonts w:hint="eastAsia" w:cs="Times New Roman"/>
                <w:color w:val="000000" w:themeColor="text1"/>
                <w:sz w:val="24"/>
                <w:highlight w:val="none"/>
                <w:u w:val="none"/>
                <w:lang w:val="en-US" w:eastAsia="zh-CN"/>
                <w14:textFill>
                  <w14:solidFill>
                    <w14:schemeClr w14:val="tx1"/>
                  </w14:solidFill>
                </w14:textFill>
              </w:rPr>
              <w:t>排放速率</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highlight w:val="none"/>
                <w:u w:val="none"/>
                <w:lang w:val="en-US" w:eastAsia="zh-CN"/>
                <w14:textFill>
                  <w14:solidFill>
                    <w14:schemeClr w14:val="tx1"/>
                  </w14:solidFill>
                </w14:textFill>
              </w:rPr>
              <w:t>1.07</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×10</w:t>
            </w:r>
            <w:r>
              <w:rPr>
                <w:rFonts w:hint="eastAsia" w:ascii="Times New Roman" w:hAnsi="Times New Roman" w:eastAsia="宋体" w:cs="Times New Roman"/>
                <w:color w:val="000000" w:themeColor="text1"/>
                <w:sz w:val="24"/>
                <w:highlight w:val="none"/>
                <w:u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w:t>
            </w:r>
            <w:r>
              <w:rPr>
                <w:rFonts w:hint="eastAsia" w:cs="Times New Roman"/>
                <w:color w:val="000000" w:themeColor="text1"/>
                <w:sz w:val="24"/>
                <w:highlight w:val="none"/>
                <w:u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bidi="ar-SA"/>
                <w14:textFill>
                  <w14:solidFill>
                    <w14:schemeClr w14:val="tx1"/>
                  </w14:solidFill>
                </w14:textFill>
              </w:rPr>
              <w:t>60×24</w:t>
            </w:r>
            <w:r>
              <w:rPr>
                <w:rFonts w:hint="eastAsia" w:cs="Times New Roman"/>
                <w:color w:val="000000" w:themeColor="text1"/>
                <w:sz w:val="24"/>
                <w:highlight w:val="none"/>
                <w:u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w:t>
            </w:r>
            <w:r>
              <w:rPr>
                <w:rFonts w:hint="eastAsia" w:cs="Times New Roman"/>
                <w:color w:val="000000" w:themeColor="text1"/>
                <w:sz w:val="24"/>
                <w:highlight w:val="none"/>
                <w:u w:val="none"/>
                <w:lang w:val="en-US" w:eastAsia="zh-CN"/>
                <w14:textFill>
                  <w14:solidFill>
                    <w14:schemeClr w14:val="tx1"/>
                  </w14:solidFill>
                </w14:textFill>
              </w:rPr>
              <w:t>0.74</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kg/h</w:t>
            </w:r>
          </w:p>
          <w:p w14:paraId="1950DC4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
                <w:color w:val="000000" w:themeColor="text1"/>
                <w:highlight w:val="none"/>
                <w:u w:val="none"/>
                <w:lang w:eastAsia="zh-CN"/>
                <w14:textFill>
                  <w14:solidFill>
                    <w14:schemeClr w14:val="tx1"/>
                  </w14:solidFill>
                </w14:textFill>
              </w:rPr>
            </w:pPr>
            <w:r>
              <w:rPr>
                <w:rFonts w:hint="default" w:ascii="Times New Roman" w:hAnsi="Times New Roman" w:eastAsia="宋体" w:cs="Times New Roman"/>
                <w:color w:val="000000" w:themeColor="text1"/>
                <w:sz w:val="24"/>
                <w:szCs w:val="32"/>
                <w:highlight w:val="none"/>
                <w:u w:val="none"/>
                <w14:textFill>
                  <w14:solidFill>
                    <w14:schemeClr w14:val="tx1"/>
                  </w14:solidFill>
                </w14:textFill>
              </w:rPr>
              <w:t>经计算，E</w:t>
            </w:r>
            <w:r>
              <w:rPr>
                <w:rFonts w:hint="default" w:ascii="Times New Roman" w:hAnsi="Times New Roman" w:eastAsia="宋体" w:cs="Times New Roman"/>
                <w:color w:val="000000" w:themeColor="text1"/>
                <w:sz w:val="24"/>
                <w:szCs w:val="32"/>
                <w:highlight w:val="none"/>
                <w:u w:val="none"/>
                <w:vertAlign w:val="subscript"/>
                <w14:textFill>
                  <w14:solidFill>
                    <w14:schemeClr w14:val="tx1"/>
                  </w14:solidFill>
                </w14:textFill>
              </w:rPr>
              <w:t>SO2</w:t>
            </w:r>
            <w:r>
              <w:rPr>
                <w:rFonts w:hint="default" w:ascii="Times New Roman" w:hAnsi="Times New Roman" w:eastAsia="宋体" w:cs="Times New Roman"/>
                <w:color w:val="000000" w:themeColor="text1"/>
                <w:sz w:val="24"/>
                <w:szCs w:val="32"/>
                <w:highlight w:val="none"/>
                <w:u w:val="none"/>
                <w14:textFill>
                  <w14:solidFill>
                    <w14:schemeClr w14:val="tx1"/>
                  </w14:solidFill>
                </w14:textFill>
              </w:rPr>
              <w:t>=</w:t>
            </w:r>
            <w:r>
              <w:rPr>
                <w:rFonts w:hint="default" w:ascii="Times New Roman" w:hAnsi="Times New Roman" w:eastAsia="宋体" w:cs="Times New Roman"/>
                <w:color w:val="000000" w:themeColor="text1"/>
                <w:sz w:val="24"/>
                <w:szCs w:val="32"/>
                <w:highlight w:val="none"/>
                <w:u w:val="none"/>
                <w:lang w:val="en-US" w:eastAsia="zh-CN"/>
                <w14:textFill>
                  <w14:solidFill>
                    <w14:schemeClr w14:val="tx1"/>
                  </w14:solidFill>
                </w14:textFill>
              </w:rPr>
              <w:t>1.</w:t>
            </w:r>
            <w:r>
              <w:rPr>
                <w:rFonts w:hint="eastAsia" w:cs="Times New Roman"/>
                <w:color w:val="000000" w:themeColor="text1"/>
                <w:sz w:val="24"/>
                <w:szCs w:val="32"/>
                <w:highlight w:val="none"/>
                <w:u w:val="none"/>
                <w:lang w:val="en-US" w:eastAsia="zh-CN"/>
                <w14:textFill>
                  <w14:solidFill>
                    <w14:schemeClr w14:val="tx1"/>
                  </w14:solidFill>
                </w14:textFill>
              </w:rPr>
              <w:t>07</w:t>
            </w:r>
            <w:r>
              <w:rPr>
                <w:rFonts w:hint="default" w:ascii="Times New Roman" w:hAnsi="Times New Roman" w:eastAsia="宋体" w:cs="Times New Roman"/>
                <w:color w:val="000000" w:themeColor="text1"/>
                <w:sz w:val="24"/>
                <w:szCs w:val="24"/>
                <w:highlight w:val="none"/>
                <w14:textFill>
                  <w14:solidFill>
                    <w14:schemeClr w14:val="tx1"/>
                  </w14:solidFill>
                </w14:textFill>
              </w:rPr>
              <w:t>t</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u w:val="none"/>
                <w14:textFill>
                  <w14:solidFill>
                    <w14:schemeClr w14:val="tx1"/>
                  </w14:solidFill>
                </w14:textFill>
              </w:rPr>
              <w:t>即</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热风炉</w:t>
            </w:r>
            <w:r>
              <w:rPr>
                <w:rFonts w:hint="default" w:ascii="Times New Roman" w:hAnsi="Times New Roman" w:eastAsia="宋体" w:cs="Times New Roman"/>
                <w:color w:val="000000" w:themeColor="text1"/>
                <w:kern w:val="0"/>
                <w:sz w:val="24"/>
                <w:highlight w:val="none"/>
                <w:u w:val="none"/>
                <w14:textFill>
                  <w14:solidFill>
                    <w14:schemeClr w14:val="tx1"/>
                  </w14:solidFill>
                </w14:textFill>
              </w:rPr>
              <w:t>SO</w:t>
            </w:r>
            <w:r>
              <w:rPr>
                <w:rFonts w:hint="default" w:ascii="Times New Roman" w:hAnsi="Times New Roman" w:eastAsia="宋体" w:cs="Times New Roman"/>
                <w:color w:val="000000" w:themeColor="text1"/>
                <w:kern w:val="0"/>
                <w:sz w:val="24"/>
                <w:highlight w:val="none"/>
                <w:u w:val="none"/>
                <w:vertAlign w:val="subscript"/>
                <w14:textFill>
                  <w14:solidFill>
                    <w14:schemeClr w14:val="tx1"/>
                  </w14:solidFill>
                </w14:textFill>
              </w:rPr>
              <w:t>2</w:t>
            </w:r>
            <w:r>
              <w:rPr>
                <w:rFonts w:hint="default" w:ascii="Times New Roman" w:hAnsi="Times New Roman" w:eastAsia="宋体" w:cs="Times New Roman"/>
                <w:color w:val="000000" w:themeColor="text1"/>
                <w:sz w:val="24"/>
                <w:highlight w:val="none"/>
                <w:u w:val="none"/>
                <w14:textFill>
                  <w14:solidFill>
                    <w14:schemeClr w14:val="tx1"/>
                  </w14:solidFill>
                </w14:textFill>
              </w:rPr>
              <w:t>排放量为</w:t>
            </w:r>
            <w:r>
              <w:rPr>
                <w:rFonts w:hint="eastAsia" w:cs="Times New Roman"/>
                <w:color w:val="000000" w:themeColor="text1"/>
                <w:sz w:val="24"/>
                <w:highlight w:val="none"/>
                <w:u w:val="none"/>
                <w:lang w:val="en-US" w:eastAsia="zh-CN"/>
                <w14:textFill>
                  <w14:solidFill>
                    <w14:schemeClr w14:val="tx1"/>
                  </w14:solidFill>
                </w14:textFill>
              </w:rPr>
              <w:t>1.07</w:t>
            </w:r>
            <w:r>
              <w:rPr>
                <w:rFonts w:hint="default" w:ascii="Times New Roman" w:hAnsi="Times New Roman" w:eastAsia="宋体" w:cs="Times New Roman"/>
                <w:color w:val="000000" w:themeColor="text1"/>
                <w:sz w:val="24"/>
                <w:szCs w:val="24"/>
                <w:highlight w:val="none"/>
                <w14:textFill>
                  <w14:solidFill>
                    <w14:schemeClr w14:val="tx1"/>
                  </w14:solidFill>
                </w14:textFill>
              </w:rPr>
              <w:t>t/a</w:t>
            </w:r>
            <w:r>
              <w:rPr>
                <w:rFonts w:hint="default" w:ascii="Times New Roman" w:hAnsi="Times New Roman" w:eastAsia="宋体" w:cs="Times New Roman"/>
                <w:color w:val="000000" w:themeColor="text1"/>
                <w:sz w:val="24"/>
                <w:highlight w:val="none"/>
                <w:u w:val="none"/>
                <w14:textFill>
                  <w14:solidFill>
                    <w14:schemeClr w14:val="tx1"/>
                  </w14:solidFill>
                </w14:textFill>
              </w:rPr>
              <w:t>，</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排放速率为</w:t>
            </w:r>
            <w:r>
              <w:rPr>
                <w:rFonts w:hint="eastAsia" w:cs="Times New Roman"/>
                <w:color w:val="000000" w:themeColor="text1"/>
                <w:sz w:val="24"/>
                <w:highlight w:val="none"/>
                <w:u w:val="none"/>
                <w:lang w:val="en-US" w:eastAsia="zh-CN"/>
                <w14:textFill>
                  <w14:solidFill>
                    <w14:schemeClr w14:val="tx1"/>
                  </w14:solidFill>
                </w14:textFill>
              </w:rPr>
              <w:t>0.74</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kg/h，排</w:t>
            </w:r>
            <w:r>
              <w:rPr>
                <w:rFonts w:hint="default" w:ascii="Times New Roman" w:hAnsi="Times New Roman" w:eastAsia="宋体" w:cs="Times New Roman"/>
                <w:color w:val="000000" w:themeColor="text1"/>
                <w:sz w:val="24"/>
                <w:highlight w:val="none"/>
                <w:u w:val="none"/>
                <w14:textFill>
                  <w14:solidFill>
                    <w14:schemeClr w14:val="tx1"/>
                  </w14:solidFill>
                </w14:textFill>
              </w:rPr>
              <w:t>放浓度为</w:t>
            </w:r>
            <w:r>
              <w:rPr>
                <w:rFonts w:hint="eastAsia" w:cs="Times New Roman"/>
                <w:color w:val="000000" w:themeColor="text1"/>
                <w:sz w:val="24"/>
                <w:highlight w:val="none"/>
                <w:u w:val="none"/>
                <w:lang w:val="en-US" w:eastAsia="zh-CN"/>
                <w14:textFill>
                  <w14:solidFill>
                    <w14:schemeClr w14:val="tx1"/>
                  </w14:solidFill>
                </w14:textFill>
              </w:rPr>
              <w:t>90.68</w:t>
            </w:r>
            <w:r>
              <w:rPr>
                <w:rFonts w:hint="default" w:ascii="Times New Roman" w:hAnsi="Times New Roman" w:eastAsia="宋体" w:cs="Times New Roman"/>
                <w:color w:val="000000" w:themeColor="text1"/>
                <w:sz w:val="24"/>
                <w:highlight w:val="none"/>
                <w:u w:val="none"/>
                <w14:textFill>
                  <w14:solidFill>
                    <w14:schemeClr w14:val="tx1"/>
                  </w14:solidFill>
                </w14:textFill>
              </w:rPr>
              <w:t>mg/m</w:t>
            </w:r>
            <w:r>
              <w:rPr>
                <w:rFonts w:hint="default" w:ascii="Times New Roman" w:hAnsi="Times New Roman" w:eastAsia="宋体" w:cs="Times New Roman"/>
                <w:color w:val="000000" w:themeColor="text1"/>
                <w:sz w:val="24"/>
                <w:highlight w:val="none"/>
                <w:u w:val="none"/>
                <w:vertAlign w:val="superscript"/>
                <w14:textFill>
                  <w14:solidFill>
                    <w14:schemeClr w14:val="tx1"/>
                  </w14:solidFill>
                </w14:textFill>
              </w:rPr>
              <w:t>3</w:t>
            </w:r>
          </w:p>
          <w:p w14:paraId="35E0F79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u w:val="none"/>
                <w14:textFill>
                  <w14:solidFill>
                    <w14:schemeClr w14:val="tx1"/>
                  </w14:solidFill>
                </w14:textFill>
              </w:rPr>
            </w:pP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③</w:t>
            </w:r>
            <w:r>
              <w:rPr>
                <w:rFonts w:hint="default" w:ascii="Times New Roman" w:hAnsi="Times New Roman" w:eastAsia="宋体" w:cs="Times New Roman"/>
                <w:color w:val="000000" w:themeColor="text1"/>
                <w:sz w:val="24"/>
                <w:highlight w:val="none"/>
                <w:u w:val="none"/>
                <w14:textFill>
                  <w14:solidFill>
                    <w14:schemeClr w14:val="tx1"/>
                  </w14:solidFill>
                </w14:textFill>
              </w:rPr>
              <w:t>NO</w:t>
            </w:r>
            <w:r>
              <w:rPr>
                <w:rFonts w:hint="default" w:ascii="Times New Roman" w:hAnsi="Times New Roman" w:eastAsia="宋体" w:cs="Times New Roman"/>
                <w:color w:val="000000" w:themeColor="text1"/>
                <w:sz w:val="24"/>
                <w:highlight w:val="none"/>
                <w:u w:val="none"/>
                <w:vertAlign w:val="subscript"/>
                <w14:textFill>
                  <w14:solidFill>
                    <w14:schemeClr w14:val="tx1"/>
                  </w14:solidFill>
                </w14:textFill>
              </w:rPr>
              <w:t>X</w:t>
            </w:r>
            <w:r>
              <w:rPr>
                <w:rFonts w:hint="default" w:ascii="Times New Roman" w:hAnsi="Times New Roman" w:eastAsia="宋体" w:cs="Times New Roman"/>
                <w:color w:val="000000" w:themeColor="text1"/>
                <w:sz w:val="24"/>
                <w:highlight w:val="none"/>
                <w:u w:val="none"/>
                <w14:textFill>
                  <w14:solidFill>
                    <w14:schemeClr w14:val="tx1"/>
                  </w14:solidFill>
                </w14:textFill>
              </w:rPr>
              <w:t xml:space="preserve"> </w:t>
            </w:r>
          </w:p>
          <w:p w14:paraId="3F8A1F11">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在《排污许可证申请与核发技术规范 工业炉窑》（HJ1121-2020）中氮氧化物没有物料衡算法，</w:t>
            </w:r>
            <w:r>
              <w:rPr>
                <w:rFonts w:hint="default" w:ascii="Times New Roman" w:hAnsi="Times New Roman" w:eastAsia="宋体" w:cs="Times New Roman"/>
                <w:color w:val="auto"/>
                <w:sz w:val="24"/>
                <w:szCs w:val="24"/>
                <w:highlight w:val="none"/>
                <w:lang w:val="en-US" w:eastAsia="zh-CN"/>
              </w:rPr>
              <w:t>本项目氮氧化物排放量采用产排污系数法。</w:t>
            </w:r>
            <w:r>
              <w:rPr>
                <w:rFonts w:hint="default" w:ascii="Times New Roman" w:hAnsi="Times New Roman" w:eastAsia="宋体" w:cs="Times New Roman"/>
                <w:color w:val="auto"/>
                <w:sz w:val="24"/>
                <w:szCs w:val="24"/>
                <w:highlight w:val="none"/>
              </w:rPr>
              <w:t>根据《排污许可证申请与核发技术规范 锅炉》（HJ 953-2018）中附录F.4燃生物质工业锅炉的废气产排污系数，可知</w:t>
            </w:r>
            <w:r>
              <w:rPr>
                <w:rFonts w:hint="eastAsia" w:cs="Times New Roman"/>
                <w:color w:val="auto"/>
                <w:sz w:val="24"/>
                <w:szCs w:val="24"/>
                <w:highlight w:val="none"/>
                <w:lang w:val="en-US" w:eastAsia="zh-CN"/>
              </w:rPr>
              <w:t>氮氧化物直排产污系数为1.02</w:t>
            </w:r>
            <w:r>
              <w:rPr>
                <w:rFonts w:hint="default" w:ascii="Times New Roman" w:hAnsi="Times New Roman" w:eastAsia="宋体" w:cs="Times New Roman"/>
                <w:color w:val="auto"/>
                <w:sz w:val="24"/>
                <w:szCs w:val="24"/>
                <w:highlight w:val="none"/>
              </w:rPr>
              <w:t>千克/吨</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燃料</w:t>
            </w:r>
            <w:r>
              <w:rPr>
                <w:rFonts w:hint="eastAsia" w:cs="Times New Roman"/>
                <w:color w:val="auto"/>
                <w:sz w:val="24"/>
                <w:szCs w:val="24"/>
                <w:highlight w:val="none"/>
                <w:lang w:eastAsia="zh-CN"/>
              </w:rPr>
              <w:t>。</w:t>
            </w:r>
          </w:p>
          <w:p w14:paraId="5202FB44">
            <w:pPr>
              <w:pStyle w:val="21"/>
              <w:keepNext w:val="0"/>
              <w:keepLines w:val="0"/>
              <w:suppressLineNumbers w:val="0"/>
              <w:spacing w:before="0" w:beforeAutospacing="0" w:after="0" w:afterAutospacing="0" w:line="360" w:lineRule="auto"/>
              <w:ind w:left="0" w:leftChars="0" w:right="0" w:firstLine="480" w:firstLineChars="200"/>
              <w:rPr>
                <w:rFonts w:hint="eastAsia" w:cs="Times New Roman"/>
                <w:color w:val="000000" w:themeColor="text1"/>
                <w:sz w:val="24"/>
                <w:highlight w:val="none"/>
                <w:u w:val="none"/>
                <w:lang w:val="en-US" w:eastAsia="zh-CN"/>
                <w14:textFill>
                  <w14:solidFill>
                    <w14:schemeClr w14:val="tx1"/>
                  </w14:solidFill>
                </w14:textFill>
              </w:rPr>
            </w:pPr>
            <w:r>
              <w:rPr>
                <w:rFonts w:hint="eastAsia" w:cs="Times New Roman"/>
                <w:color w:val="000000" w:themeColor="text1"/>
                <w:sz w:val="24"/>
                <w:highlight w:val="none"/>
                <w:u w:val="none"/>
                <w:lang w:val="en-US" w:eastAsia="zh-CN"/>
                <w14:textFill>
                  <w14:solidFill>
                    <w14:schemeClr w14:val="tx1"/>
                  </w14:solidFill>
                </w14:textFill>
              </w:rPr>
              <w:t>氮氧化物排放量=</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2507.74</w:t>
            </w:r>
            <w:r>
              <w:rPr>
                <w:rFonts w:hint="eastAsia" w:cs="Times New Roman"/>
                <w:color w:val="000000" w:themeColor="text1"/>
                <w:sz w:val="24"/>
                <w:highlight w:val="none"/>
                <w:u w:val="none"/>
                <w:lang w:val="en-US" w:eastAsia="zh-CN"/>
                <w14:textFill>
                  <w14:solidFill>
                    <w14:schemeClr w14:val="tx1"/>
                  </w14:solidFill>
                </w14:textFill>
              </w:rPr>
              <w:t>×1.02×10</w:t>
            </w:r>
            <w:r>
              <w:rPr>
                <w:rFonts w:hint="eastAsia" w:cs="Times New Roman"/>
                <w:color w:val="000000" w:themeColor="text1"/>
                <w:sz w:val="24"/>
                <w:highlight w:val="none"/>
                <w:u w:val="none"/>
                <w:vertAlign w:val="superscript"/>
                <w:lang w:val="en-US" w:eastAsia="zh-CN"/>
                <w14:textFill>
                  <w14:solidFill>
                    <w14:schemeClr w14:val="tx1"/>
                  </w14:solidFill>
                </w14:textFill>
              </w:rPr>
              <w:t>-3</w:t>
            </w:r>
            <w:r>
              <w:rPr>
                <w:rFonts w:hint="eastAsia" w:cs="Times New Roman"/>
                <w:color w:val="000000" w:themeColor="text1"/>
                <w:sz w:val="24"/>
                <w:highlight w:val="none"/>
                <w:u w:val="none"/>
                <w:lang w:val="en-US" w:eastAsia="zh-CN"/>
                <w14:textFill>
                  <w14:solidFill>
                    <w14:schemeClr w14:val="tx1"/>
                  </w14:solidFill>
                </w14:textFill>
              </w:rPr>
              <w:t>=2.56t/a</w:t>
            </w:r>
          </w:p>
          <w:p w14:paraId="69552135">
            <w:pPr>
              <w:pStyle w:val="21"/>
              <w:keepNext w:val="0"/>
              <w:keepLines w:val="0"/>
              <w:suppressLineNumbers w:val="0"/>
              <w:spacing w:before="0" w:beforeAutospacing="0" w:after="0" w:afterAutospacing="0" w:line="360" w:lineRule="auto"/>
              <w:ind w:left="0" w:leftChars="0" w:right="0" w:firstLine="480" w:firstLineChars="200"/>
              <w:rPr>
                <w:rFonts w:hint="eastAsia" w:cs="Times New Roman"/>
                <w:color w:val="000000" w:themeColor="text1"/>
                <w:sz w:val="24"/>
                <w:highlight w:val="none"/>
                <w:u w:val="none"/>
                <w:lang w:val="en-US" w:eastAsia="zh-CN"/>
                <w14:textFill>
                  <w14:solidFill>
                    <w14:schemeClr w14:val="tx1"/>
                  </w14:solidFill>
                </w14:textFill>
              </w:rPr>
            </w:pPr>
            <w:r>
              <w:rPr>
                <w:rFonts w:hint="eastAsia" w:cs="Times New Roman"/>
                <w:color w:val="000000" w:themeColor="text1"/>
                <w:sz w:val="24"/>
                <w:highlight w:val="none"/>
                <w:u w:val="none"/>
                <w:lang w:val="en-US" w:eastAsia="zh-CN"/>
                <w14:textFill>
                  <w14:solidFill>
                    <w14:schemeClr w14:val="tx1"/>
                  </w14:solidFill>
                </w14:textFill>
              </w:rPr>
              <w:t>排放浓度=2.56×10</w:t>
            </w:r>
            <w:r>
              <w:rPr>
                <w:rFonts w:hint="eastAsia" w:cs="Times New Roman"/>
                <w:color w:val="000000" w:themeColor="text1"/>
                <w:sz w:val="24"/>
                <w:highlight w:val="none"/>
                <w:u w:val="none"/>
                <w:vertAlign w:val="superscript"/>
                <w:lang w:val="en-US" w:eastAsia="zh-CN"/>
                <w14:textFill>
                  <w14:solidFill>
                    <w14:schemeClr w14:val="tx1"/>
                  </w14:solidFill>
                </w14:textFill>
              </w:rPr>
              <w:t>9</w:t>
            </w:r>
            <w:r>
              <w:rPr>
                <w:rFonts w:hint="eastAsia" w:cs="Times New Roman"/>
                <w:color w:val="000000" w:themeColor="text1"/>
                <w:sz w:val="24"/>
                <w:highlight w:val="none"/>
                <w:u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bidi="ar-SA"/>
                <w14:textFill>
                  <w14:solidFill>
                    <w14:schemeClr w14:val="tx1"/>
                  </w14:solidFill>
                </w14:textFill>
              </w:rPr>
              <w:t>1.18</w:t>
            </w:r>
            <w:r>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t>×10</w:t>
            </w:r>
            <w:r>
              <w:rPr>
                <w:rFonts w:hint="default" w:ascii="Times New Roman" w:hAnsi="Times New Roman" w:eastAsia="宋体" w:cs="Times New Roman"/>
                <w:color w:val="000000" w:themeColor="text1"/>
                <w:sz w:val="24"/>
                <w:szCs w:val="24"/>
                <w:highlight w:val="none"/>
                <w:vertAlign w:val="superscript"/>
                <w:lang w:val="en-US" w:eastAsia="zh-CN" w:bidi="ar-SA"/>
                <w14:textFill>
                  <w14:solidFill>
                    <w14:schemeClr w14:val="tx1"/>
                  </w14:solidFill>
                </w14:textFill>
              </w:rPr>
              <w:t>7</w:t>
            </w:r>
            <w:r>
              <w:rPr>
                <w:rFonts w:hint="eastAsia" w:cs="Times New Roman"/>
                <w:color w:val="000000" w:themeColor="text1"/>
                <w:sz w:val="24"/>
                <w:highlight w:val="none"/>
                <w:u w:val="none"/>
                <w:lang w:val="en-US" w:eastAsia="zh-CN"/>
                <w14:textFill>
                  <w14:solidFill>
                    <w14:schemeClr w14:val="tx1"/>
                  </w14:solidFill>
                </w14:textFill>
              </w:rPr>
              <w:t>）=216.95mg/m</w:t>
            </w:r>
            <w:r>
              <w:rPr>
                <w:rFonts w:hint="eastAsia" w:cs="Times New Roman"/>
                <w:color w:val="000000" w:themeColor="text1"/>
                <w:sz w:val="24"/>
                <w:highlight w:val="none"/>
                <w:u w:val="none"/>
                <w:vertAlign w:val="superscript"/>
                <w:lang w:val="en-US" w:eastAsia="zh-CN"/>
                <w14:textFill>
                  <w14:solidFill>
                    <w14:schemeClr w14:val="tx1"/>
                  </w14:solidFill>
                </w14:textFill>
              </w:rPr>
              <w:t>3</w:t>
            </w:r>
          </w:p>
          <w:p w14:paraId="2BCF2D97">
            <w:pPr>
              <w:pStyle w:val="21"/>
              <w:keepNext w:val="0"/>
              <w:keepLines w:val="0"/>
              <w:suppressLineNumbers w:val="0"/>
              <w:spacing w:before="0" w:beforeAutospacing="0" w:after="0" w:afterAutospacing="0" w:line="360" w:lineRule="auto"/>
              <w:ind w:left="0" w:leftChars="0" w:right="0" w:firstLine="480" w:firstLineChars="200"/>
              <w:rPr>
                <w:rFonts w:hint="default" w:cs="Times New Roman"/>
                <w:color w:val="000000" w:themeColor="text1"/>
                <w:sz w:val="24"/>
                <w:highlight w:val="none"/>
                <w:u w:val="none"/>
                <w:lang w:val="en-US" w:eastAsia="zh-CN"/>
                <w14:textFill>
                  <w14:solidFill>
                    <w14:schemeClr w14:val="tx1"/>
                  </w14:solidFill>
                </w14:textFill>
              </w:rPr>
            </w:pPr>
            <w:r>
              <w:rPr>
                <w:rFonts w:hint="eastAsia" w:cs="Times New Roman"/>
                <w:color w:val="000000" w:themeColor="text1"/>
                <w:sz w:val="24"/>
                <w:highlight w:val="none"/>
                <w:u w:val="none"/>
                <w:lang w:val="en-US" w:eastAsia="zh-CN"/>
                <w14:textFill>
                  <w14:solidFill>
                    <w14:schemeClr w14:val="tx1"/>
                  </w14:solidFill>
                </w14:textFill>
              </w:rPr>
              <w:t>排放速率</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w:t>
            </w:r>
            <w:r>
              <w:rPr>
                <w:rFonts w:hint="eastAsia" w:cs="Times New Roman"/>
                <w:color w:val="000000" w:themeColor="text1"/>
                <w:sz w:val="24"/>
                <w:highlight w:val="none"/>
                <w:u w:val="none"/>
                <w:lang w:val="en-US" w:eastAsia="zh-CN"/>
                <w14:textFill>
                  <w14:solidFill>
                    <w14:schemeClr w14:val="tx1"/>
                  </w14:solidFill>
                </w14:textFill>
              </w:rPr>
              <w:t>2.56</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×10</w:t>
            </w:r>
            <w:r>
              <w:rPr>
                <w:rFonts w:hint="eastAsia" w:ascii="Times New Roman" w:hAnsi="Times New Roman" w:eastAsia="宋体" w:cs="Times New Roman"/>
                <w:color w:val="000000" w:themeColor="text1"/>
                <w:sz w:val="24"/>
                <w:highlight w:val="none"/>
                <w:u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w:t>
            </w:r>
            <w:r>
              <w:rPr>
                <w:rFonts w:hint="eastAsia" w:cs="Times New Roman"/>
                <w:color w:val="000000" w:themeColor="text1"/>
                <w:sz w:val="24"/>
                <w:highlight w:val="none"/>
                <w:u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bidi="ar-SA"/>
                <w14:textFill>
                  <w14:solidFill>
                    <w14:schemeClr w14:val="tx1"/>
                  </w14:solidFill>
                </w14:textFill>
              </w:rPr>
              <w:t>60×24</w:t>
            </w:r>
            <w:r>
              <w:rPr>
                <w:rFonts w:hint="eastAsia" w:cs="Times New Roman"/>
                <w:color w:val="000000" w:themeColor="text1"/>
                <w:sz w:val="24"/>
                <w:highlight w:val="none"/>
                <w:u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w:t>
            </w:r>
            <w:r>
              <w:rPr>
                <w:rFonts w:hint="eastAsia" w:cs="Times New Roman"/>
                <w:color w:val="000000" w:themeColor="text1"/>
                <w:sz w:val="24"/>
                <w:highlight w:val="none"/>
                <w:u w:val="none"/>
                <w:lang w:val="en-US" w:eastAsia="zh-CN"/>
                <w14:textFill>
                  <w14:solidFill>
                    <w14:schemeClr w14:val="tx1"/>
                  </w14:solidFill>
                </w14:textFill>
              </w:rPr>
              <w:t>1.78</w:t>
            </w:r>
            <w:r>
              <w:rPr>
                <w:rFonts w:hint="default" w:ascii="Times New Roman" w:hAnsi="Times New Roman" w:eastAsia="宋体" w:cs="Times New Roman"/>
                <w:color w:val="000000" w:themeColor="text1"/>
                <w:sz w:val="24"/>
                <w:highlight w:val="none"/>
                <w:u w:val="none"/>
                <w:lang w:val="en-US" w:eastAsia="zh-CN"/>
                <w14:textFill>
                  <w14:solidFill>
                    <w14:schemeClr w14:val="tx1"/>
                  </w14:solidFill>
                </w14:textFill>
              </w:rPr>
              <w:t>kg/h</w:t>
            </w:r>
          </w:p>
          <w:p w14:paraId="5CC758B1">
            <w:pPr>
              <w:keepNext w:val="0"/>
              <w:keepLines w:val="0"/>
              <w:suppressLineNumbers w:val="0"/>
              <w:spacing w:before="0" w:beforeAutospacing="0" w:after="0" w:afterAutospacing="0" w:line="360" w:lineRule="auto"/>
              <w:ind w:left="0" w:right="0" w:firstLine="480" w:firstLineChars="200"/>
              <w:contextualSpacing/>
              <w:rPr>
                <w:rFonts w:hint="default"/>
                <w:color w:val="000000" w:themeColor="text1"/>
                <w:sz w:val="24"/>
                <w:highlight w:val="none"/>
                <w14:textFill>
                  <w14:solidFill>
                    <w14:schemeClr w14:val="tx1"/>
                  </w14:solidFill>
                </w14:textFill>
              </w:rPr>
            </w:pPr>
            <w:r>
              <w:rPr>
                <w:rFonts w:hint="default" w:ascii="Times New Roman" w:hAnsi="Times New Roman" w:eastAsia="宋体" w:cs="Times New Roman"/>
                <w:bCs/>
                <w:color w:val="000000" w:themeColor="text1"/>
                <w:sz w:val="24"/>
                <w:highlight w:val="none"/>
                <w14:textFill>
                  <w14:solidFill>
                    <w14:schemeClr w14:val="tx1"/>
                  </w14:solidFill>
                </w14:textFill>
              </w:rPr>
              <w:t>由计算可得出NO</w:t>
            </w:r>
            <w:r>
              <w:rPr>
                <w:rFonts w:hint="default" w:ascii="Times New Roman" w:hAnsi="Times New Roman" w:eastAsia="宋体" w:cs="Times New Roman"/>
                <w:bCs/>
                <w:color w:val="000000" w:themeColor="text1"/>
                <w:sz w:val="24"/>
                <w:highlight w:val="none"/>
                <w:vertAlign w:val="subscript"/>
                <w14:textFill>
                  <w14:solidFill>
                    <w14:schemeClr w14:val="tx1"/>
                  </w14:solidFill>
                </w14:textFill>
              </w:rPr>
              <w:t>X</w:t>
            </w:r>
            <w:r>
              <w:rPr>
                <w:rFonts w:hint="default" w:ascii="Times New Roman" w:hAnsi="Times New Roman" w:eastAsia="宋体" w:cs="Times New Roman"/>
                <w:bCs/>
                <w:color w:val="000000" w:themeColor="text1"/>
                <w:sz w:val="24"/>
                <w:highlight w:val="none"/>
                <w14:textFill>
                  <w14:solidFill>
                    <w14:schemeClr w14:val="tx1"/>
                  </w14:solidFill>
                </w14:textFill>
              </w:rPr>
              <w:t>排放量为</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2.</w:t>
            </w:r>
            <w:r>
              <w:rPr>
                <w:rFonts w:hint="eastAsia" w:cs="Times New Roman"/>
                <w:bCs/>
                <w:color w:val="000000" w:themeColor="text1"/>
                <w:sz w:val="24"/>
                <w:highlight w:val="none"/>
                <w:lang w:val="en-US" w:eastAsia="zh-CN"/>
                <w14:textFill>
                  <w14:solidFill>
                    <w14:schemeClr w14:val="tx1"/>
                  </w14:solidFill>
                </w14:textFill>
              </w:rPr>
              <w:t>56</w:t>
            </w:r>
            <w:r>
              <w:rPr>
                <w:rFonts w:hint="default" w:ascii="Times New Roman" w:hAnsi="Times New Roman" w:eastAsia="宋体" w:cs="Times New Roman"/>
                <w:bCs/>
                <w:color w:val="000000" w:themeColor="text1"/>
                <w:sz w:val="24"/>
                <w:highlight w:val="none"/>
                <w14:textFill>
                  <w14:solidFill>
                    <w14:schemeClr w14:val="tx1"/>
                  </w14:solidFill>
                </w14:textFill>
              </w:rPr>
              <w:t>t/a，</w:t>
            </w:r>
            <w:r>
              <w:rPr>
                <w:rFonts w:hint="eastAsia" w:cs="Times New Roman"/>
                <w:bCs/>
                <w:color w:val="000000" w:themeColor="text1"/>
                <w:sz w:val="24"/>
                <w:highlight w:val="none"/>
                <w:lang w:val="en-US" w:eastAsia="zh-CN"/>
                <w14:textFill>
                  <w14:solidFill>
                    <w14:schemeClr w14:val="tx1"/>
                  </w14:solidFill>
                </w14:textFill>
              </w:rPr>
              <w:t>1.78</w:t>
            </w:r>
            <w:r>
              <w:rPr>
                <w:rFonts w:hint="default" w:ascii="Times New Roman" w:hAnsi="Times New Roman" w:eastAsia="宋体" w:cs="Times New Roman"/>
                <w:bCs/>
                <w:color w:val="000000" w:themeColor="text1"/>
                <w:sz w:val="24"/>
                <w:highlight w:val="none"/>
                <w14:textFill>
                  <w14:solidFill>
                    <w14:schemeClr w14:val="tx1"/>
                  </w14:solidFill>
                </w14:textFill>
              </w:rPr>
              <w:t>kg/h，排放浓度</w:t>
            </w:r>
            <w:r>
              <w:rPr>
                <w:rFonts w:hint="eastAsia" w:cs="Times New Roman"/>
                <w:bCs/>
                <w:color w:val="000000" w:themeColor="text1"/>
                <w:sz w:val="24"/>
                <w:highlight w:val="none"/>
                <w:lang w:val="en-US" w:eastAsia="zh-CN"/>
                <w14:textFill>
                  <w14:solidFill>
                    <w14:schemeClr w14:val="tx1"/>
                  </w14:solidFill>
                </w14:textFill>
              </w:rPr>
              <w:t>216.95</w:t>
            </w:r>
            <w:r>
              <w:rPr>
                <w:rFonts w:hint="default" w:ascii="Times New Roman" w:hAnsi="Times New Roman" w:eastAsia="宋体" w:cs="Times New Roman"/>
                <w:bCs/>
                <w:color w:val="000000" w:themeColor="text1"/>
                <w:sz w:val="24"/>
                <w:highlight w:val="none"/>
                <w14:textFill>
                  <w14:solidFill>
                    <w14:schemeClr w14:val="tx1"/>
                  </w14:solidFill>
                </w14:textFill>
              </w:rPr>
              <w:t>mg/m</w:t>
            </w:r>
            <w:r>
              <w:rPr>
                <w:rFonts w:hint="default" w:ascii="Times New Roman" w:hAnsi="Times New Roman" w:eastAsia="宋体" w:cs="Times New Roman"/>
                <w:bCs/>
                <w:color w:val="000000" w:themeColor="text1"/>
                <w:sz w:val="24"/>
                <w:highlight w:val="none"/>
                <w:vertAlign w:val="superscript"/>
                <w14:textFill>
                  <w14:solidFill>
                    <w14:schemeClr w14:val="tx1"/>
                  </w14:solidFill>
                </w14:textFill>
              </w:rPr>
              <w:t>3</w:t>
            </w:r>
            <w:r>
              <w:rPr>
                <w:rFonts w:hint="default" w:ascii="Times New Roman" w:hAnsi="Times New Roman" w:eastAsia="宋体" w:cs="Times New Roman"/>
                <w:bCs/>
                <w:color w:val="000000" w:themeColor="text1"/>
                <w:sz w:val="24"/>
                <w:highlight w:val="none"/>
                <w14:textFill>
                  <w14:solidFill>
                    <w14:schemeClr w14:val="tx1"/>
                  </w14:solidFill>
                </w14:textFill>
              </w:rPr>
              <w:t>。</w:t>
            </w:r>
          </w:p>
          <w:p w14:paraId="044A9D5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40" w:firstLineChars="200"/>
              <w:rPr>
                <w:rFonts w:hint="default" w:ascii="Times New Roman" w:hAnsi="Times New Roman" w:eastAsia="宋体" w:cs="Times New Roman"/>
                <w:bCs/>
                <w:color w:val="000000" w:themeColor="text1"/>
                <w:spacing w:val="-10"/>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pacing w:val="-10"/>
                <w:kern w:val="2"/>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bCs/>
                <w:color w:val="000000" w:themeColor="text1"/>
                <w:spacing w:val="-10"/>
                <w:kern w:val="2"/>
                <w:sz w:val="24"/>
                <w:szCs w:val="24"/>
                <w:highlight w:val="none"/>
                <w:lang w:val="en-US" w:eastAsia="zh-CN" w:bidi="ar-SA"/>
                <w14:textFill>
                  <w14:solidFill>
                    <w14:schemeClr w14:val="tx1"/>
                  </w14:solidFill>
                </w14:textFill>
              </w:rPr>
              <w:t>7</w:t>
            </w:r>
            <w:r>
              <w:rPr>
                <w:rFonts w:hint="default" w:ascii="Times New Roman" w:hAnsi="Times New Roman" w:eastAsia="宋体" w:cs="Times New Roman"/>
                <w:bCs/>
                <w:color w:val="000000" w:themeColor="text1"/>
                <w:spacing w:val="-10"/>
                <w:kern w:val="2"/>
                <w:sz w:val="24"/>
                <w:szCs w:val="24"/>
                <w:highlight w:val="none"/>
                <w:lang w:val="en-US" w:eastAsia="zh-CN" w:bidi="ar-SA"/>
                <w14:textFill>
                  <w14:solidFill>
                    <w14:schemeClr w14:val="tx1"/>
                  </w14:solidFill>
                </w14:textFill>
              </w:rPr>
              <w:t>）灰渣储存转运粉尘</w:t>
            </w:r>
          </w:p>
          <w:p w14:paraId="3D02CC1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40" w:firstLineChars="200"/>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bCs/>
                <w:color w:val="000000" w:themeColor="text1"/>
                <w:spacing w:val="-10"/>
                <w:kern w:val="2"/>
                <w:sz w:val="24"/>
                <w:szCs w:val="24"/>
                <w:highlight w:val="none"/>
                <w:lang w:val="en-US" w:eastAsia="zh-CN" w:bidi="ar-SA"/>
                <w14:textFill>
                  <w14:solidFill>
                    <w14:schemeClr w14:val="tx1"/>
                  </w14:solidFill>
                </w14:textFill>
              </w:rPr>
              <w:t>本项目灰渣储存转运</w:t>
            </w:r>
            <w:r>
              <w:rPr>
                <w:rFonts w:hint="default" w:ascii="Times New Roman" w:hAnsi="Times New Roman" w:eastAsia="宋体" w:cs="Times New Roman"/>
                <w:bCs/>
                <w:color w:val="000000" w:themeColor="text1"/>
                <w:spacing w:val="-10"/>
                <w:sz w:val="24"/>
                <w:szCs w:val="24"/>
                <w:highlight w:val="none"/>
                <w:lang w:val="en-US" w:eastAsia="zh-CN"/>
                <w14:textFill>
                  <w14:solidFill>
                    <w14:schemeClr w14:val="tx1"/>
                  </w14:solidFill>
                </w14:textFill>
              </w:rPr>
              <w:t>过程中会有粉尘产生</w:t>
            </w:r>
            <w:r>
              <w:rPr>
                <w:rFonts w:hint="default" w:ascii="Times New Roman" w:hAnsi="Times New Roman" w:eastAsia="宋体" w:cs="Times New Roman"/>
                <w:bCs/>
                <w:color w:val="000000" w:themeColor="text1"/>
                <w:spacing w:val="-10"/>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根据《逸散性工业粉尘控制技术》中第四章发电厂，</w:t>
            </w:r>
            <w:r>
              <w:rPr>
                <w:rFonts w:hint="default" w:ascii="Times New Roman" w:hAnsi="Times New Roman" w:eastAsia="宋体" w:cs="Times New Roman"/>
                <w:bCs/>
                <w:color w:val="000000" w:themeColor="text1"/>
                <w:spacing w:val="-10"/>
                <w:kern w:val="2"/>
                <w:sz w:val="24"/>
                <w:szCs w:val="24"/>
                <w:highlight w:val="none"/>
                <w:lang w:val="en-US" w:eastAsia="zh-CN" w:bidi="ar-SA"/>
                <w14:textFill>
                  <w14:solidFill>
                    <w14:schemeClr w14:val="tx1"/>
                  </w14:solidFill>
                </w14:textFill>
              </w:rPr>
              <w:t>转运和运输过程中粉尘产生</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系数</w:t>
            </w:r>
            <w:r>
              <w:rPr>
                <w:rFonts w:hint="default" w:ascii="Times New Roman" w:hAnsi="Times New Roman" w:eastAsia="宋体" w:cs="Times New Roman"/>
                <w:bCs/>
                <w:color w:val="000000" w:themeColor="text1"/>
                <w:spacing w:val="-10"/>
                <w:kern w:val="2"/>
                <w:sz w:val="24"/>
                <w:szCs w:val="24"/>
                <w:highlight w:val="none"/>
                <w:lang w:val="en-US" w:eastAsia="zh-CN" w:bidi="ar-SA"/>
                <w14:textFill>
                  <w14:solidFill>
                    <w14:schemeClr w14:val="tx1"/>
                  </w14:solidFill>
                </w14:textFill>
              </w:rPr>
              <w:t>为0.02～0.5kg/t（储存转运量），本项目以0.5kg/t估算。本项目灰渣储存转运量为</w:t>
            </w:r>
            <w:r>
              <w:rPr>
                <w:rFonts w:hint="eastAsia" w:cs="Times New Roman"/>
                <w:color w:val="000000" w:themeColor="text1"/>
                <w:sz w:val="24"/>
                <w:szCs w:val="22"/>
                <w:highlight w:val="none"/>
                <w:lang w:val="en-US" w:eastAsia="zh-CN"/>
                <w14:textFill>
                  <w14:solidFill>
                    <w14:schemeClr w14:val="tx1"/>
                  </w14:solidFill>
                </w14:textFill>
              </w:rPr>
              <w:t>58.47</w:t>
            </w:r>
            <w:r>
              <w:rPr>
                <w:rFonts w:hint="default" w:ascii="Times New Roman" w:hAnsi="Times New Roman" w:eastAsia="宋体" w:cs="Times New Roman"/>
                <w:bCs/>
                <w:color w:val="000000" w:themeColor="text1"/>
                <w:spacing w:val="-10"/>
                <w:kern w:val="2"/>
                <w:sz w:val="24"/>
                <w:szCs w:val="24"/>
                <w:highlight w:val="none"/>
                <w:lang w:val="en-US" w:eastAsia="zh-CN" w:bidi="ar-SA"/>
                <w14:textFill>
                  <w14:solidFill>
                    <w14:schemeClr w14:val="tx1"/>
                  </w14:solidFill>
                </w14:textFill>
              </w:rPr>
              <w:t>t/a，灰渣储存转运</w:t>
            </w:r>
            <w:r>
              <w:rPr>
                <w:rFonts w:hint="default" w:ascii="Times New Roman" w:hAnsi="Times New Roman" w:eastAsia="宋体" w:cs="Times New Roman"/>
                <w:bCs/>
                <w:color w:val="000000" w:themeColor="text1"/>
                <w:spacing w:val="-10"/>
                <w:sz w:val="24"/>
                <w:szCs w:val="24"/>
                <w:highlight w:val="none"/>
                <w:lang w:val="en-US" w:eastAsia="zh-CN"/>
                <w14:textFill>
                  <w14:solidFill>
                    <w14:schemeClr w14:val="tx1"/>
                  </w14:solidFill>
                </w14:textFill>
              </w:rPr>
              <w:t>过程</w:t>
            </w:r>
            <w:r>
              <w:rPr>
                <w:rFonts w:hint="default" w:ascii="Times New Roman" w:hAnsi="Times New Roman" w:eastAsia="宋体" w:cs="Times New Roman"/>
                <w:bCs/>
                <w:color w:val="000000" w:themeColor="text1"/>
                <w:spacing w:val="-10"/>
                <w:kern w:val="2"/>
                <w:sz w:val="24"/>
                <w:szCs w:val="24"/>
                <w:highlight w:val="none"/>
                <w:lang w:val="en-US" w:eastAsia="zh-CN" w:bidi="ar-SA"/>
                <w14:textFill>
                  <w14:solidFill>
                    <w14:schemeClr w14:val="tx1"/>
                  </w14:solidFill>
                </w14:textFill>
              </w:rPr>
              <w:t>中粉尘产生量为0.</w:t>
            </w:r>
            <w:r>
              <w:rPr>
                <w:rFonts w:hint="eastAsia" w:cs="Times New Roman"/>
                <w:bCs/>
                <w:color w:val="000000" w:themeColor="text1"/>
                <w:spacing w:val="-10"/>
                <w:kern w:val="2"/>
                <w:sz w:val="24"/>
                <w:szCs w:val="24"/>
                <w:highlight w:val="none"/>
                <w:lang w:val="en-US" w:eastAsia="zh-CN" w:bidi="ar-SA"/>
                <w14:textFill>
                  <w14:solidFill>
                    <w14:schemeClr w14:val="tx1"/>
                  </w14:solidFill>
                </w14:textFill>
              </w:rPr>
              <w:t>029</w:t>
            </w:r>
            <w:r>
              <w:rPr>
                <w:rFonts w:hint="default" w:ascii="Times New Roman" w:hAnsi="Times New Roman" w:eastAsia="宋体" w:cs="Times New Roman"/>
                <w:bCs/>
                <w:color w:val="000000" w:themeColor="text1"/>
                <w:spacing w:val="-10"/>
                <w:kern w:val="2"/>
                <w:sz w:val="24"/>
                <w:szCs w:val="24"/>
                <w:highlight w:val="none"/>
                <w:lang w:val="en-US" w:eastAsia="zh-CN" w:bidi="ar-SA"/>
                <w14:textFill>
                  <w14:solidFill>
                    <w14:schemeClr w14:val="tx1"/>
                  </w14:solidFill>
                </w14:textFill>
              </w:rPr>
              <w:t>t/a</w:t>
            </w:r>
            <w:r>
              <w:rPr>
                <w:rFonts w:hint="default" w:ascii="Times New Roman" w:hAnsi="Times New Roman" w:eastAsia="宋体" w:cs="Times New Roman"/>
                <w:bCs/>
                <w:color w:val="000000" w:themeColor="text1"/>
                <w:spacing w:val="-10"/>
                <w:sz w:val="24"/>
                <w:szCs w:val="24"/>
                <w:highlight w:val="none"/>
                <w:lang w:val="en-US" w:eastAsia="zh-CN"/>
                <w14:textFill>
                  <w14:solidFill>
                    <w14:schemeClr w14:val="tx1"/>
                  </w14:solidFill>
                </w14:textFill>
              </w:rPr>
              <w:t>，</w:t>
            </w:r>
            <w:r>
              <w:rPr>
                <w:rFonts w:hint="eastAsia" w:cs="Times New Roman"/>
                <w:bCs/>
                <w:color w:val="000000" w:themeColor="text1"/>
                <w:spacing w:val="-10"/>
                <w:sz w:val="24"/>
                <w:szCs w:val="24"/>
                <w:highlight w:val="none"/>
                <w:lang w:val="en-US" w:eastAsia="zh-CN"/>
                <w14:textFill>
                  <w14:solidFill>
                    <w14:schemeClr w14:val="tx1"/>
                  </w14:solidFill>
                </w14:textFill>
              </w:rPr>
              <w:t>0.02</w:t>
            </w:r>
            <w:r>
              <w:rPr>
                <w:rFonts w:hint="default" w:ascii="Times New Roman" w:hAnsi="Times New Roman" w:eastAsia="宋体" w:cs="Times New Roman"/>
                <w:bCs/>
                <w:color w:val="000000" w:themeColor="text1"/>
                <w:spacing w:val="-10"/>
                <w:sz w:val="24"/>
                <w:szCs w:val="24"/>
                <w:highlight w:val="none"/>
                <w:lang w:val="en-US" w:eastAsia="zh-CN"/>
                <w14:textFill>
                  <w14:solidFill>
                    <w14:schemeClr w14:val="tx1"/>
                  </w14:solidFill>
                </w14:textFill>
              </w:rPr>
              <w:t>kg/h</w:t>
            </w:r>
            <w:r>
              <w:rPr>
                <w:rFonts w:hint="default" w:ascii="Times New Roman" w:hAnsi="Times New Roman" w:eastAsia="宋体" w:cs="Times New Roman"/>
                <w:bCs/>
                <w:color w:val="000000" w:themeColor="text1"/>
                <w:spacing w:val="-10"/>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Cs/>
                <w:color w:val="000000" w:themeColor="text1"/>
                <w:spacing w:val="-10"/>
                <w:kern w:val="2"/>
                <w:sz w:val="24"/>
                <w:szCs w:val="24"/>
                <w:highlight w:val="none"/>
                <w:lang w:val="en-US" w:eastAsia="zh-CN" w:bidi="ar-SA"/>
                <w14:textFill>
                  <w14:solidFill>
                    <w14:schemeClr w14:val="tx1"/>
                  </w14:solidFill>
                </w14:textFill>
              </w:rPr>
              <w:t>本项目灰渣袋装收集暂存灰渣储存间，为全封闭结构，定期由封闭汽车外运，</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根据《排放源统计调查产排污核算方法和系数手册》“附表2固体物料堆存颗粒物产排污核算系数手册”中“附录5：堆场类型控制效率，密闭式控制效率为99%”，则灰渣储存转运过程无组织粉尘排放量为0.00</w:t>
            </w:r>
            <w:r>
              <w:rPr>
                <w:rFonts w:hint="eastAsia" w:cs="Times New Roman"/>
                <w:color w:val="000000" w:themeColor="text1"/>
                <w:kern w:val="0"/>
                <w:sz w:val="24"/>
                <w:szCs w:val="24"/>
                <w:highlight w:val="none"/>
                <w:lang w:val="en-US" w:eastAsia="zh-CN" w:bidi="ar"/>
                <w14:textFill>
                  <w14:solidFill>
                    <w14:schemeClr w14:val="tx1"/>
                  </w14:solidFill>
                </w14:textFill>
              </w:rPr>
              <w:t>03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t/a，</w:t>
            </w:r>
            <w:r>
              <w:rPr>
                <w:rFonts w:hint="eastAsia" w:cs="Times New Roman"/>
                <w:bCs/>
                <w:color w:val="000000" w:themeColor="text1"/>
                <w:spacing w:val="-10"/>
                <w:sz w:val="24"/>
                <w:szCs w:val="24"/>
                <w:highlight w:val="none"/>
                <w:lang w:val="en-US" w:eastAsia="zh-CN"/>
                <w14:textFill>
                  <w14:solidFill>
                    <w14:schemeClr w14:val="tx1"/>
                  </w14:solidFill>
                </w14:textFill>
              </w:rPr>
              <w:t>0.0002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kg/h。</w:t>
            </w:r>
          </w:p>
          <w:p w14:paraId="69F4094A">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40" w:firstLineChars="200"/>
              <w:rPr>
                <w:rFonts w:hint="default" w:ascii="Times New Roman" w:hAnsi="Times New Roman" w:eastAsia="宋体" w:cs="Times New Roman"/>
                <w:bCs/>
                <w:color w:val="000000" w:themeColor="text1"/>
                <w:spacing w:val="-10"/>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pacing w:val="-10"/>
                <w:kern w:val="2"/>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bCs/>
                <w:color w:val="000000" w:themeColor="text1"/>
                <w:spacing w:val="-10"/>
                <w:kern w:val="2"/>
                <w:sz w:val="24"/>
                <w:szCs w:val="24"/>
                <w:highlight w:val="none"/>
                <w:lang w:val="en-US" w:eastAsia="zh-CN" w:bidi="ar-SA"/>
                <w14:textFill>
                  <w14:solidFill>
                    <w14:schemeClr w14:val="tx1"/>
                  </w14:solidFill>
                </w14:textFill>
              </w:rPr>
              <w:t>8</w:t>
            </w:r>
            <w:r>
              <w:rPr>
                <w:rFonts w:hint="default" w:ascii="Times New Roman" w:hAnsi="Times New Roman" w:eastAsia="宋体" w:cs="Times New Roman"/>
                <w:bCs/>
                <w:color w:val="000000" w:themeColor="text1"/>
                <w:spacing w:val="-10"/>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燃料储存粉尘</w:t>
            </w:r>
          </w:p>
          <w:p w14:paraId="6A919463">
            <w:pPr>
              <w:keepNext w:val="0"/>
              <w:keepLines w:val="0"/>
              <w:pageBreakBefore w:val="0"/>
              <w:widowControl w:val="0"/>
              <w:suppressLineNumbers w:val="0"/>
              <w:kinsoku/>
              <w:wordWrap/>
              <w:overflowPunct w:val="0"/>
              <w:topLinePunct w:val="0"/>
              <w:autoSpaceDE w:val="0"/>
              <w:autoSpaceDN w:val="0"/>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本项目燃料</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间</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采用全封闭布置，根据《污染源源强核算技术指南 锅炉》（HJ991-2018），料/堆场采用全封闭型式、储罐采用密闭容器的，废气无组织源强可忽略不计。故本次评价不考虑封闭燃料库</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储存</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的无组织粉尘。</w:t>
            </w:r>
          </w:p>
          <w:p w14:paraId="1A547563">
            <w:pPr>
              <w:pStyle w:val="66"/>
              <w:keepNext w:val="0"/>
              <w:keepLines w:val="0"/>
              <w:suppressLineNumbers w:val="0"/>
              <w:spacing w:before="0" w:beforeLines="0" w:beforeAutospacing="0" w:after="0" w:afterLines="0" w:afterAutospacing="0" w:line="360" w:lineRule="auto"/>
              <w:ind w:left="0" w:right="0" w:firstLine="480"/>
              <w:jc w:val="left"/>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正常工况下废气源强核算结果见表4-</w:t>
            </w:r>
            <w:r>
              <w:rPr>
                <w:rFonts w:hint="default" w:ascii="Times New Roman" w:hAnsi="Times New Roman" w:eastAsia="宋体" w:cs="Times New Roman"/>
                <w:color w:val="000000" w:themeColor="text1"/>
                <w:highlight w:val="none"/>
                <w:lang w:val="en-US" w:eastAsia="zh-CN"/>
                <w14:textFill>
                  <w14:solidFill>
                    <w14:schemeClr w14:val="tx1"/>
                  </w14:solidFill>
                </w14:textFill>
              </w:rPr>
              <w:t>1</w:t>
            </w:r>
            <w:r>
              <w:rPr>
                <w:rFonts w:hint="default" w:ascii="Times New Roman" w:hAnsi="Times New Roman" w:eastAsia="宋体" w:cs="Times New Roman"/>
                <w:bCs/>
                <w:color w:val="000000" w:themeColor="text1"/>
                <w:highlight w:val="none"/>
                <w14:textFill>
                  <w14:solidFill>
                    <w14:schemeClr w14:val="tx1"/>
                  </w14:solidFill>
                </w14:textFill>
              </w:rPr>
              <w:t>。</w:t>
            </w:r>
          </w:p>
          <w:p w14:paraId="718A6D04">
            <w:pPr>
              <w:pStyle w:val="65"/>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表4-</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14:textFill>
                  <w14:solidFill>
                    <w14:schemeClr w14:val="tx1"/>
                  </w14:solidFill>
                </w14:textFill>
              </w:rPr>
              <w:t>正常工况下废气源强核算</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表</w:t>
            </w:r>
          </w:p>
          <w:tbl>
            <w:tblPr>
              <w:tblStyle w:val="35"/>
              <w:tblW w:w="795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368"/>
              <w:gridCol w:w="480"/>
              <w:gridCol w:w="613"/>
              <w:gridCol w:w="538"/>
              <w:gridCol w:w="791"/>
              <w:gridCol w:w="976"/>
              <w:gridCol w:w="829"/>
              <w:gridCol w:w="633"/>
              <w:gridCol w:w="644"/>
              <w:gridCol w:w="866"/>
              <w:gridCol w:w="728"/>
              <w:gridCol w:w="490"/>
            </w:tblGrid>
            <w:tr w14:paraId="732A6F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9" w:hRule="atLeast"/>
                <w:jc w:val="center"/>
              </w:trPr>
              <w:tc>
                <w:tcPr>
                  <w:tcW w:w="368" w:type="dxa"/>
                  <w:vMerge w:val="restart"/>
                  <w:vAlign w:val="center"/>
                </w:tcPr>
                <w:p w14:paraId="032C8ACC">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类型</w:t>
                  </w:r>
                </w:p>
              </w:tc>
              <w:tc>
                <w:tcPr>
                  <w:tcW w:w="480" w:type="dxa"/>
                  <w:vMerge w:val="restart"/>
                  <w:vAlign w:val="center"/>
                </w:tcPr>
                <w:p w14:paraId="4B3175D2">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排放源</w:t>
                  </w:r>
                </w:p>
              </w:tc>
              <w:tc>
                <w:tcPr>
                  <w:tcW w:w="613" w:type="dxa"/>
                  <w:vMerge w:val="restart"/>
                  <w:vAlign w:val="center"/>
                </w:tcPr>
                <w:p w14:paraId="43F87FFE">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污染物</w:t>
                  </w:r>
                </w:p>
              </w:tc>
              <w:tc>
                <w:tcPr>
                  <w:tcW w:w="2305" w:type="dxa"/>
                  <w:gridSpan w:val="3"/>
                  <w:vAlign w:val="center"/>
                </w:tcPr>
                <w:p w14:paraId="5B630E6C">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污染物产生</w:t>
                  </w:r>
                </w:p>
              </w:tc>
              <w:tc>
                <w:tcPr>
                  <w:tcW w:w="1462" w:type="dxa"/>
                  <w:gridSpan w:val="2"/>
                  <w:vAlign w:val="center"/>
                </w:tcPr>
                <w:p w14:paraId="21BF1482">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治理措施</w:t>
                  </w:r>
                </w:p>
              </w:tc>
              <w:tc>
                <w:tcPr>
                  <w:tcW w:w="2238" w:type="dxa"/>
                  <w:gridSpan w:val="3"/>
                  <w:vAlign w:val="center"/>
                </w:tcPr>
                <w:p w14:paraId="1E786E58">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污染物排放</w:t>
                  </w:r>
                </w:p>
              </w:tc>
              <w:tc>
                <w:tcPr>
                  <w:tcW w:w="490" w:type="dxa"/>
                  <w:vMerge w:val="restart"/>
                  <w:vAlign w:val="center"/>
                </w:tcPr>
                <w:p w14:paraId="7D8F565C">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排放</w:t>
                  </w:r>
                </w:p>
                <w:p w14:paraId="4AE4D89C">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时间</w:t>
                  </w:r>
                </w:p>
                <w:p w14:paraId="355E859E">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(h/a)</w:t>
                  </w:r>
                </w:p>
              </w:tc>
            </w:tr>
            <w:tr w14:paraId="0E07D0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368" w:type="dxa"/>
                  <w:vMerge w:val="continue"/>
                  <w:vAlign w:val="center"/>
                </w:tcPr>
                <w:p w14:paraId="73C6F58A">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480" w:type="dxa"/>
                  <w:vMerge w:val="continue"/>
                  <w:vAlign w:val="center"/>
                </w:tcPr>
                <w:p w14:paraId="0E212F41">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613" w:type="dxa"/>
                  <w:vMerge w:val="continue"/>
                  <w:vAlign w:val="center"/>
                </w:tcPr>
                <w:p w14:paraId="28DE9B7A">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538" w:type="dxa"/>
                  <w:vAlign w:val="center"/>
                </w:tcPr>
                <w:p w14:paraId="4D8FFDD6">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核算</w:t>
                  </w:r>
                </w:p>
                <w:p w14:paraId="16EFF1A5">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方法</w:t>
                  </w:r>
                </w:p>
              </w:tc>
              <w:tc>
                <w:tcPr>
                  <w:tcW w:w="791" w:type="dxa"/>
                  <w:vAlign w:val="center"/>
                </w:tcPr>
                <w:p w14:paraId="53E1237B">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产生浓度</w:t>
                  </w:r>
                </w:p>
                <w:p w14:paraId="3C4B3A7E">
                  <w:pPr>
                    <w:pStyle w:val="69"/>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（mg/m</w:t>
                  </w:r>
                  <w:r>
                    <w:rPr>
                      <w:rFonts w:hint="default" w:ascii="Times New Roman" w:hAnsi="Times New Roman" w:eastAsia="宋体" w:cs="Times New Roman"/>
                      <w:color w:val="000000" w:themeColor="text1"/>
                      <w:sz w:val="18"/>
                      <w:szCs w:val="18"/>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976" w:type="dxa"/>
                  <w:vAlign w:val="center"/>
                </w:tcPr>
                <w:p w14:paraId="52FDE5C2">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产生量</w:t>
                  </w:r>
                </w:p>
                <w:p w14:paraId="12680BD2">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（kg/h）</w:t>
                  </w:r>
                </w:p>
              </w:tc>
              <w:tc>
                <w:tcPr>
                  <w:tcW w:w="829" w:type="dxa"/>
                  <w:vAlign w:val="center"/>
                </w:tcPr>
                <w:p w14:paraId="4514364F">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工艺</w:t>
                  </w:r>
                </w:p>
              </w:tc>
              <w:tc>
                <w:tcPr>
                  <w:tcW w:w="633" w:type="dxa"/>
                  <w:vAlign w:val="center"/>
                </w:tcPr>
                <w:p w14:paraId="68815107">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效率</w:t>
                  </w:r>
                </w:p>
                <w:p w14:paraId="57D36542">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644" w:type="dxa"/>
                  <w:vAlign w:val="center"/>
                </w:tcPr>
                <w:p w14:paraId="3C234E20">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核算</w:t>
                  </w:r>
                </w:p>
                <w:p w14:paraId="32A1AEB1">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方法</w:t>
                  </w:r>
                </w:p>
              </w:tc>
              <w:tc>
                <w:tcPr>
                  <w:tcW w:w="866" w:type="dxa"/>
                  <w:vAlign w:val="center"/>
                </w:tcPr>
                <w:p w14:paraId="5AE744DA">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排放浓度</w:t>
                  </w:r>
                </w:p>
                <w:p w14:paraId="56173597">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（mg/m</w:t>
                  </w:r>
                  <w:r>
                    <w:rPr>
                      <w:rFonts w:hint="default" w:ascii="Times New Roman" w:hAnsi="Times New Roman" w:eastAsia="宋体" w:cs="Times New Roman"/>
                      <w:color w:val="000000" w:themeColor="text1"/>
                      <w:sz w:val="18"/>
                      <w:szCs w:val="18"/>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728" w:type="dxa"/>
                  <w:vAlign w:val="center"/>
                </w:tcPr>
                <w:p w14:paraId="78ADF693">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排放量</w:t>
                  </w:r>
                </w:p>
                <w:p w14:paraId="1C32ED59">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（kg/h）</w:t>
                  </w:r>
                </w:p>
              </w:tc>
              <w:tc>
                <w:tcPr>
                  <w:tcW w:w="490" w:type="dxa"/>
                  <w:vMerge w:val="continue"/>
                  <w:vAlign w:val="center"/>
                </w:tcPr>
                <w:p w14:paraId="50C842D2">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p>
              </w:tc>
            </w:tr>
            <w:tr w14:paraId="62ED68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368" w:type="dxa"/>
                  <w:vMerge w:val="restart"/>
                  <w:vAlign w:val="center"/>
                </w:tcPr>
                <w:p w14:paraId="46DCC7D3">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有组织排放</w:t>
                  </w:r>
                </w:p>
              </w:tc>
              <w:tc>
                <w:tcPr>
                  <w:tcW w:w="480" w:type="dxa"/>
                  <w:vMerge w:val="restart"/>
                  <w:vAlign w:val="center"/>
                </w:tcPr>
                <w:p w14:paraId="17A7A323">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热风炉</w:t>
                  </w:r>
                </w:p>
              </w:tc>
              <w:tc>
                <w:tcPr>
                  <w:tcW w:w="613" w:type="dxa"/>
                  <w:vAlign w:val="center"/>
                </w:tcPr>
                <w:p w14:paraId="452919B1">
                  <w:pPr>
                    <w:pStyle w:val="60"/>
                    <w:keepNext w:val="0"/>
                    <w:keepLines w:val="0"/>
                    <w:suppressLineNumbers w:val="0"/>
                    <w:spacing w:before="31" w:beforeAutospacing="0" w:after="31" w:afterAutospacing="0" w:line="240" w:lineRule="auto"/>
                    <w:ind w:left="0" w:right="0"/>
                    <w:rPr>
                      <w:rFonts w:hint="default" w:ascii="Times New Roman" w:hAnsi="Times New Roman" w:eastAsia="宋体" w:cs="Times New Roman"/>
                      <w:b w:val="0"/>
                      <w:bCs w:val="0"/>
                      <w:color w:val="000000" w:themeColor="text1"/>
                      <w:sz w:val="18"/>
                      <w:szCs w:val="18"/>
                      <w:highlight w:val="none"/>
                      <w14:textFill>
                        <w14:solidFill>
                          <w14:schemeClr w14:val="tx1"/>
                        </w14:solidFill>
                      </w14:textFill>
                    </w:rPr>
                  </w:pPr>
                  <w:bookmarkStart w:id="12" w:name="_Toc5519"/>
                  <w:r>
                    <w:rPr>
                      <w:rFonts w:hint="default" w:ascii="Times New Roman" w:hAnsi="Times New Roman" w:eastAsia="宋体" w:cs="Times New Roman"/>
                      <w:b w:val="0"/>
                      <w:bCs w:val="0"/>
                      <w:color w:val="000000" w:themeColor="text1"/>
                      <w:sz w:val="18"/>
                      <w:szCs w:val="18"/>
                      <w:highlight w:val="none"/>
                      <w14:textFill>
                        <w14:solidFill>
                          <w14:schemeClr w14:val="tx1"/>
                        </w14:solidFill>
                      </w14:textFill>
                    </w:rPr>
                    <w:t>烟尘</w:t>
                  </w:r>
                  <w:bookmarkEnd w:id="12"/>
                </w:p>
              </w:tc>
              <w:tc>
                <w:tcPr>
                  <w:tcW w:w="538" w:type="dxa"/>
                  <w:vMerge w:val="restart"/>
                  <w:vAlign w:val="center"/>
                </w:tcPr>
                <w:p w14:paraId="5A2C8EDD">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物料</w:t>
                  </w:r>
                  <w:r>
                    <w:rPr>
                      <w:rFonts w:hint="eastAsia" w:eastAsia="宋体" w:cs="Times New Roman"/>
                      <w:color w:val="000000" w:themeColor="text1"/>
                      <w:sz w:val="18"/>
                      <w:szCs w:val="18"/>
                      <w:highlight w:val="none"/>
                      <w:lang w:val="en-US" w:eastAsia="zh-CN"/>
                      <w14:textFill>
                        <w14:solidFill>
                          <w14:schemeClr w14:val="tx1"/>
                        </w14:solidFill>
                      </w14:textFill>
                    </w:rPr>
                    <w:t>衡</w:t>
                  </w:r>
                  <w:r>
                    <w:rPr>
                      <w:rFonts w:hint="default" w:ascii="Times New Roman" w:hAnsi="Times New Roman" w:eastAsia="宋体" w:cs="Times New Roman"/>
                      <w:color w:val="000000" w:themeColor="text1"/>
                      <w:sz w:val="18"/>
                      <w:szCs w:val="18"/>
                      <w:highlight w:val="none"/>
                      <w14:textFill>
                        <w14:solidFill>
                          <w14:schemeClr w14:val="tx1"/>
                        </w14:solidFill>
                      </w14:textFill>
                    </w:rPr>
                    <w:t>算法</w:t>
                  </w:r>
                </w:p>
              </w:tc>
              <w:tc>
                <w:tcPr>
                  <w:tcW w:w="791" w:type="dxa"/>
                  <w:vAlign w:val="center"/>
                </w:tcPr>
                <w:p w14:paraId="386CDF7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cs="Times New Roman"/>
                      <w:color w:val="000000" w:themeColor="text1"/>
                      <w:sz w:val="18"/>
                      <w:szCs w:val="18"/>
                      <w:highlight w:val="none"/>
                      <w:lang w:val="en-US" w:eastAsia="zh-CN"/>
                      <w14:textFill>
                        <w14:solidFill>
                          <w14:schemeClr w14:val="tx1"/>
                        </w14:solidFill>
                      </w14:textFill>
                    </w:rPr>
                    <w:t>4916</w:t>
                  </w:r>
                </w:p>
              </w:tc>
              <w:tc>
                <w:tcPr>
                  <w:tcW w:w="976" w:type="dxa"/>
                  <w:vAlign w:val="center"/>
                </w:tcPr>
                <w:p w14:paraId="0FA06C11">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40</w:t>
                  </w:r>
                </w:p>
              </w:tc>
              <w:tc>
                <w:tcPr>
                  <w:tcW w:w="829" w:type="dxa"/>
                  <w:vAlign w:val="center"/>
                </w:tcPr>
                <w:p w14:paraId="28156E27">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布袋除尘器</w:t>
                  </w: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w:t>
                  </w:r>
                  <w:r>
                    <w:rPr>
                      <w:rFonts w:hint="eastAsia" w:eastAsia="宋体" w:cs="Times New Roman"/>
                      <w:color w:val="000000" w:themeColor="text1"/>
                      <w:sz w:val="18"/>
                      <w:szCs w:val="18"/>
                      <w:highlight w:val="none"/>
                      <w:lang w:val="en-US" w:eastAsia="zh-CN"/>
                      <w14:textFill>
                        <w14:solidFill>
                          <w14:schemeClr w14:val="tx1"/>
                        </w14:solidFill>
                      </w14:textFill>
                    </w:rPr>
                    <w:t>15</w:t>
                  </w: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m烟囱</w:t>
                  </w:r>
                </w:p>
              </w:tc>
              <w:tc>
                <w:tcPr>
                  <w:tcW w:w="633" w:type="dxa"/>
                  <w:vAlign w:val="center"/>
                </w:tcPr>
                <w:p w14:paraId="6A2FD97C">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9</w:t>
                  </w: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9</w:t>
                  </w:r>
                  <w:r>
                    <w:rPr>
                      <w:rFonts w:hint="eastAsia" w:eastAsia="宋体" w:cs="Times New Roman"/>
                      <w:color w:val="000000" w:themeColor="text1"/>
                      <w:sz w:val="18"/>
                      <w:szCs w:val="18"/>
                      <w:highlight w:val="none"/>
                      <w:lang w:val="en-US" w:eastAsia="zh-CN"/>
                      <w14:textFill>
                        <w14:solidFill>
                          <w14:schemeClr w14:val="tx1"/>
                        </w14:solidFill>
                      </w14:textFill>
                    </w:rPr>
                    <w:t>.5</w:t>
                  </w:r>
                </w:p>
              </w:tc>
              <w:tc>
                <w:tcPr>
                  <w:tcW w:w="644" w:type="dxa"/>
                  <w:vMerge w:val="restart"/>
                  <w:vAlign w:val="center"/>
                </w:tcPr>
                <w:p w14:paraId="7BB6FC57">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物料</w:t>
                  </w:r>
                  <w:r>
                    <w:rPr>
                      <w:rFonts w:hint="eastAsia" w:eastAsia="宋体" w:cs="Times New Roman"/>
                      <w:color w:val="000000" w:themeColor="text1"/>
                      <w:sz w:val="18"/>
                      <w:szCs w:val="18"/>
                      <w:highlight w:val="none"/>
                      <w:lang w:val="en-US" w:eastAsia="zh-CN"/>
                      <w14:textFill>
                        <w14:solidFill>
                          <w14:schemeClr w14:val="tx1"/>
                        </w14:solidFill>
                      </w14:textFill>
                    </w:rPr>
                    <w:t>衡</w:t>
                  </w:r>
                  <w:r>
                    <w:rPr>
                      <w:rFonts w:hint="default" w:ascii="Times New Roman" w:hAnsi="Times New Roman" w:eastAsia="宋体" w:cs="Times New Roman"/>
                      <w:color w:val="000000" w:themeColor="text1"/>
                      <w:sz w:val="18"/>
                      <w:szCs w:val="18"/>
                      <w:highlight w:val="none"/>
                      <w14:textFill>
                        <w14:solidFill>
                          <w14:schemeClr w14:val="tx1"/>
                        </w14:solidFill>
                      </w14:textFill>
                    </w:rPr>
                    <w:t>算法</w:t>
                  </w:r>
                </w:p>
              </w:tc>
              <w:tc>
                <w:tcPr>
                  <w:tcW w:w="866" w:type="dxa"/>
                  <w:vAlign w:val="center"/>
                </w:tcPr>
                <w:p w14:paraId="0858A65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18"/>
                      <w:szCs w:val="18"/>
                      <w:highlight w:val="none"/>
                      <w:lang w:val="en-US"/>
                      <w14:textFill>
                        <w14:solidFill>
                          <w14:schemeClr w14:val="tx1"/>
                        </w14:solidFill>
                      </w14:textFill>
                    </w:rPr>
                  </w:pPr>
                  <w:r>
                    <w:rPr>
                      <w:rFonts w:hint="eastAsia" w:cs="Times New Roman"/>
                      <w:color w:val="000000" w:themeColor="text1"/>
                      <w:sz w:val="18"/>
                      <w:szCs w:val="18"/>
                      <w:highlight w:val="none"/>
                      <w:lang w:val="en-US" w:eastAsia="zh-CN"/>
                      <w14:textFill>
                        <w14:solidFill>
                          <w14:schemeClr w14:val="tx1"/>
                        </w14:solidFill>
                      </w14:textFill>
                    </w:rPr>
                    <w:t>24.58</w:t>
                  </w:r>
                </w:p>
              </w:tc>
              <w:tc>
                <w:tcPr>
                  <w:tcW w:w="728" w:type="dxa"/>
                  <w:vAlign w:val="center"/>
                </w:tcPr>
                <w:p w14:paraId="5F856CC3">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0.</w:t>
                  </w:r>
                  <w:r>
                    <w:rPr>
                      <w:rFonts w:hint="eastAsia" w:eastAsia="宋体" w:cs="Times New Roman"/>
                      <w:color w:val="000000" w:themeColor="text1"/>
                      <w:sz w:val="18"/>
                      <w:szCs w:val="18"/>
                      <w:highlight w:val="none"/>
                      <w:lang w:val="en-US" w:eastAsia="zh-CN"/>
                      <w14:textFill>
                        <w14:solidFill>
                          <w14:schemeClr w14:val="tx1"/>
                        </w14:solidFill>
                      </w14:textFill>
                    </w:rPr>
                    <w:t>20</w:t>
                  </w:r>
                </w:p>
              </w:tc>
              <w:tc>
                <w:tcPr>
                  <w:tcW w:w="490" w:type="dxa"/>
                  <w:vMerge w:val="restart"/>
                  <w:vAlign w:val="center"/>
                </w:tcPr>
                <w:p w14:paraId="07EA2419">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1440</w:t>
                  </w:r>
                </w:p>
              </w:tc>
            </w:tr>
            <w:tr w14:paraId="732A78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68" w:type="dxa"/>
                  <w:vMerge w:val="continue"/>
                  <w:vAlign w:val="center"/>
                </w:tcPr>
                <w:p w14:paraId="45A440E5">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480" w:type="dxa"/>
                  <w:vMerge w:val="continue"/>
                  <w:vAlign w:val="center"/>
                </w:tcPr>
                <w:p w14:paraId="203FC1AE">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613" w:type="dxa"/>
                  <w:vAlign w:val="center"/>
                </w:tcPr>
                <w:p w14:paraId="38DBF8D1">
                  <w:pPr>
                    <w:pStyle w:val="60"/>
                    <w:keepNext w:val="0"/>
                    <w:keepLines w:val="0"/>
                    <w:suppressLineNumbers w:val="0"/>
                    <w:spacing w:before="31" w:beforeAutospacing="0" w:after="31" w:afterAutospacing="0" w:line="240" w:lineRule="auto"/>
                    <w:ind w:left="0" w:right="0"/>
                    <w:rPr>
                      <w:rFonts w:hint="default" w:ascii="Times New Roman" w:hAnsi="Times New Roman" w:eastAsia="宋体" w:cs="Times New Roman"/>
                      <w:b w:val="0"/>
                      <w:bCs w:val="0"/>
                      <w:color w:val="000000" w:themeColor="text1"/>
                      <w:sz w:val="18"/>
                      <w:szCs w:val="18"/>
                      <w:highlight w:val="none"/>
                      <w14:textFill>
                        <w14:solidFill>
                          <w14:schemeClr w14:val="tx1"/>
                        </w14:solidFill>
                      </w14:textFill>
                    </w:rPr>
                  </w:pPr>
                  <w:bookmarkStart w:id="13" w:name="_Toc4480"/>
                  <w:r>
                    <w:rPr>
                      <w:rFonts w:hint="default" w:ascii="Times New Roman" w:hAnsi="Times New Roman" w:eastAsia="宋体" w:cs="Times New Roman"/>
                      <w:b w:val="0"/>
                      <w:bCs w:val="0"/>
                      <w:color w:val="000000" w:themeColor="text1"/>
                      <w:sz w:val="18"/>
                      <w:szCs w:val="18"/>
                      <w:highlight w:val="none"/>
                      <w14:textFill>
                        <w14:solidFill>
                          <w14:schemeClr w14:val="tx1"/>
                        </w14:solidFill>
                      </w14:textFill>
                    </w:rPr>
                    <w:t>SO</w:t>
                  </w:r>
                  <w:r>
                    <w:rPr>
                      <w:rFonts w:hint="default" w:ascii="Times New Roman" w:hAnsi="Times New Roman" w:eastAsia="宋体" w:cs="Times New Roman"/>
                      <w:b w:val="0"/>
                      <w:bCs w:val="0"/>
                      <w:color w:val="000000" w:themeColor="text1"/>
                      <w:sz w:val="18"/>
                      <w:szCs w:val="18"/>
                      <w:highlight w:val="none"/>
                      <w:vertAlign w:val="subscript"/>
                      <w14:textFill>
                        <w14:solidFill>
                          <w14:schemeClr w14:val="tx1"/>
                        </w14:solidFill>
                      </w14:textFill>
                    </w:rPr>
                    <w:t>2</w:t>
                  </w:r>
                  <w:bookmarkEnd w:id="13"/>
                </w:p>
              </w:tc>
              <w:tc>
                <w:tcPr>
                  <w:tcW w:w="538" w:type="dxa"/>
                  <w:vMerge w:val="continue"/>
                  <w:vAlign w:val="center"/>
                </w:tcPr>
                <w:p w14:paraId="20575602">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791" w:type="dxa"/>
                  <w:vAlign w:val="center"/>
                </w:tcPr>
                <w:p w14:paraId="2DF19400">
                  <w:pPr>
                    <w:pStyle w:val="69"/>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90.68</w:t>
                  </w:r>
                </w:p>
              </w:tc>
              <w:tc>
                <w:tcPr>
                  <w:tcW w:w="976" w:type="dxa"/>
                  <w:vAlign w:val="center"/>
                </w:tcPr>
                <w:p w14:paraId="771A3DE7">
                  <w:pPr>
                    <w:pStyle w:val="69"/>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0.74</w:t>
                  </w:r>
                </w:p>
              </w:tc>
              <w:tc>
                <w:tcPr>
                  <w:tcW w:w="829" w:type="dxa"/>
                  <w:vAlign w:val="center"/>
                </w:tcPr>
                <w:p w14:paraId="167EABC1">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633" w:type="dxa"/>
                  <w:vAlign w:val="center"/>
                </w:tcPr>
                <w:p w14:paraId="1C401BB5">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644" w:type="dxa"/>
                  <w:vMerge w:val="continue"/>
                  <w:vAlign w:val="center"/>
                </w:tcPr>
                <w:p w14:paraId="33F4D227">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866" w:type="dxa"/>
                  <w:vAlign w:val="center"/>
                </w:tcPr>
                <w:p w14:paraId="455740C4">
                  <w:pPr>
                    <w:pStyle w:val="69"/>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sz w:val="18"/>
                      <w:szCs w:val="18"/>
                      <w:highlight w:val="none"/>
                      <w:lang w:val="en-US"/>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90.68</w:t>
                  </w:r>
                </w:p>
              </w:tc>
              <w:tc>
                <w:tcPr>
                  <w:tcW w:w="728" w:type="dxa"/>
                  <w:vAlign w:val="center"/>
                </w:tcPr>
                <w:p w14:paraId="327B504C">
                  <w:pPr>
                    <w:pStyle w:val="69"/>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sz w:val="18"/>
                      <w:szCs w:val="18"/>
                      <w:highlight w:val="none"/>
                      <w:lang w:val="en-US"/>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0.74</w:t>
                  </w:r>
                </w:p>
              </w:tc>
              <w:tc>
                <w:tcPr>
                  <w:tcW w:w="490" w:type="dxa"/>
                  <w:vMerge w:val="continue"/>
                  <w:vAlign w:val="center"/>
                </w:tcPr>
                <w:p w14:paraId="1AE8176B">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p>
              </w:tc>
            </w:tr>
            <w:tr w14:paraId="61960A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68" w:type="dxa"/>
                  <w:vMerge w:val="continue"/>
                  <w:vAlign w:val="center"/>
                </w:tcPr>
                <w:p w14:paraId="3E7F4409">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480" w:type="dxa"/>
                  <w:vMerge w:val="continue"/>
                  <w:vAlign w:val="center"/>
                </w:tcPr>
                <w:p w14:paraId="579BB510">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613" w:type="dxa"/>
                  <w:vAlign w:val="center"/>
                </w:tcPr>
                <w:p w14:paraId="625E1C08">
                  <w:pPr>
                    <w:pStyle w:val="60"/>
                    <w:keepNext w:val="0"/>
                    <w:keepLines w:val="0"/>
                    <w:suppressLineNumbers w:val="0"/>
                    <w:spacing w:before="31" w:beforeAutospacing="0" w:after="31" w:afterAutospacing="0" w:line="240" w:lineRule="auto"/>
                    <w:ind w:left="0" w:right="0"/>
                    <w:rPr>
                      <w:rFonts w:hint="default" w:ascii="Times New Roman" w:hAnsi="Times New Roman" w:eastAsia="宋体" w:cs="Times New Roman"/>
                      <w:b w:val="0"/>
                      <w:bCs w:val="0"/>
                      <w:color w:val="000000" w:themeColor="text1"/>
                      <w:kern w:val="0"/>
                      <w:sz w:val="18"/>
                      <w:szCs w:val="18"/>
                      <w:highlight w:val="none"/>
                      <w:lang w:val="en-US" w:eastAsia="zh-CN" w:bidi="ar-SA"/>
                      <w14:textFill>
                        <w14:solidFill>
                          <w14:schemeClr w14:val="tx1"/>
                        </w14:solidFill>
                      </w14:textFill>
                    </w:rPr>
                  </w:pPr>
                  <w:bookmarkStart w:id="14" w:name="_Toc10480"/>
                  <w:r>
                    <w:rPr>
                      <w:rFonts w:hint="default" w:ascii="Times New Roman" w:hAnsi="Times New Roman" w:eastAsia="宋体" w:cs="Times New Roman"/>
                      <w:b w:val="0"/>
                      <w:bCs w:val="0"/>
                      <w:color w:val="000000" w:themeColor="text1"/>
                      <w:sz w:val="18"/>
                      <w:szCs w:val="18"/>
                      <w:highlight w:val="none"/>
                      <w14:textFill>
                        <w14:solidFill>
                          <w14:schemeClr w14:val="tx1"/>
                        </w14:solidFill>
                      </w14:textFill>
                    </w:rPr>
                    <w:t>NOx</w:t>
                  </w:r>
                  <w:bookmarkEnd w:id="14"/>
                </w:p>
              </w:tc>
              <w:tc>
                <w:tcPr>
                  <w:tcW w:w="538" w:type="dxa"/>
                  <w:vMerge w:val="continue"/>
                  <w:vAlign w:val="center"/>
                </w:tcPr>
                <w:p w14:paraId="373CC484">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p>
              </w:tc>
              <w:tc>
                <w:tcPr>
                  <w:tcW w:w="791" w:type="dxa"/>
                  <w:vAlign w:val="center"/>
                </w:tcPr>
                <w:p w14:paraId="657F0277">
                  <w:pPr>
                    <w:pStyle w:val="69"/>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216.95</w:t>
                  </w:r>
                </w:p>
              </w:tc>
              <w:tc>
                <w:tcPr>
                  <w:tcW w:w="976" w:type="dxa"/>
                  <w:vAlign w:val="center"/>
                </w:tcPr>
                <w:p w14:paraId="700F7FAC">
                  <w:pPr>
                    <w:pStyle w:val="69"/>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eastAsia="宋体" w:cs="Times New Roman"/>
                      <w:color w:val="000000" w:themeColor="text1"/>
                      <w:kern w:val="2"/>
                      <w:sz w:val="18"/>
                      <w:szCs w:val="18"/>
                      <w:highlight w:val="none"/>
                      <w:lang w:val="en-US" w:eastAsia="zh-CN" w:bidi="ar-SA"/>
                      <w14:textFill>
                        <w14:solidFill>
                          <w14:schemeClr w14:val="tx1"/>
                        </w14:solidFill>
                      </w14:textFill>
                    </w:rPr>
                    <w:t>1.78</w:t>
                  </w:r>
                </w:p>
              </w:tc>
              <w:tc>
                <w:tcPr>
                  <w:tcW w:w="829" w:type="dxa"/>
                  <w:vAlign w:val="center"/>
                </w:tcPr>
                <w:p w14:paraId="59218818">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633" w:type="dxa"/>
                  <w:vAlign w:val="center"/>
                </w:tcPr>
                <w:p w14:paraId="0233BE3E">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644" w:type="dxa"/>
                  <w:vMerge w:val="continue"/>
                  <w:vAlign w:val="center"/>
                </w:tcPr>
                <w:p w14:paraId="6C7BD3B4">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p>
              </w:tc>
              <w:tc>
                <w:tcPr>
                  <w:tcW w:w="866" w:type="dxa"/>
                  <w:vAlign w:val="center"/>
                </w:tcPr>
                <w:p w14:paraId="53ADCCF3">
                  <w:pPr>
                    <w:pStyle w:val="69"/>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216.95</w:t>
                  </w:r>
                </w:p>
              </w:tc>
              <w:tc>
                <w:tcPr>
                  <w:tcW w:w="728" w:type="dxa"/>
                  <w:vAlign w:val="center"/>
                </w:tcPr>
                <w:p w14:paraId="52AEBDFA">
                  <w:pPr>
                    <w:pStyle w:val="69"/>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eastAsia="宋体" w:cs="Times New Roman"/>
                      <w:color w:val="000000" w:themeColor="text1"/>
                      <w:kern w:val="2"/>
                      <w:sz w:val="18"/>
                      <w:szCs w:val="18"/>
                      <w:highlight w:val="none"/>
                      <w:lang w:val="en-US" w:eastAsia="zh-CN" w:bidi="ar-SA"/>
                      <w14:textFill>
                        <w14:solidFill>
                          <w14:schemeClr w14:val="tx1"/>
                        </w14:solidFill>
                      </w14:textFill>
                    </w:rPr>
                    <w:t>1.78</w:t>
                  </w:r>
                </w:p>
              </w:tc>
              <w:tc>
                <w:tcPr>
                  <w:tcW w:w="490" w:type="dxa"/>
                  <w:vMerge w:val="continue"/>
                  <w:vAlign w:val="center"/>
                </w:tcPr>
                <w:p w14:paraId="76AA954B">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p>
              </w:tc>
            </w:tr>
            <w:tr w14:paraId="404FC6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68" w:type="dxa"/>
                  <w:vMerge w:val="continue"/>
                  <w:vAlign w:val="center"/>
                </w:tcPr>
                <w:p w14:paraId="2E09ED1F">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480" w:type="dxa"/>
                  <w:vMerge w:val="continue"/>
                  <w:vAlign w:val="center"/>
                </w:tcPr>
                <w:p w14:paraId="3A8D4A10">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613" w:type="dxa"/>
                  <w:vAlign w:val="center"/>
                </w:tcPr>
                <w:p w14:paraId="5BB280CB">
                  <w:pPr>
                    <w:pStyle w:val="60"/>
                    <w:keepNext w:val="0"/>
                    <w:keepLines w:val="0"/>
                    <w:suppressLineNumbers w:val="0"/>
                    <w:spacing w:before="31" w:beforeAutospacing="0" w:after="31" w:afterAutospacing="0" w:line="240" w:lineRule="auto"/>
                    <w:ind w:left="0" w:right="0"/>
                    <w:rPr>
                      <w:rFonts w:hint="default"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pPr>
                  <w:bookmarkStart w:id="15" w:name="_Toc5959"/>
                  <w:r>
                    <w:rPr>
                      <w:rFonts w:hint="default" w:ascii="Times New Roman" w:hAnsi="Times New Roman" w:eastAsia="宋体" w:cs="Times New Roman"/>
                      <w:b w:val="0"/>
                      <w:bCs w:val="0"/>
                      <w:color w:val="000000" w:themeColor="text1"/>
                      <w:sz w:val="18"/>
                      <w:szCs w:val="18"/>
                      <w:highlight w:val="none"/>
                      <w:lang w:val="en-US" w:eastAsia="zh-CN"/>
                      <w14:textFill>
                        <w14:solidFill>
                          <w14:schemeClr w14:val="tx1"/>
                        </w14:solidFill>
                      </w14:textFill>
                    </w:rPr>
                    <w:t>烟气黑度</w:t>
                  </w:r>
                  <w:bookmarkEnd w:id="15"/>
                </w:p>
              </w:tc>
              <w:tc>
                <w:tcPr>
                  <w:tcW w:w="538" w:type="dxa"/>
                  <w:vAlign w:val="center"/>
                </w:tcPr>
                <w:p w14:paraId="139A35B2">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791" w:type="dxa"/>
                  <w:vAlign w:val="center"/>
                </w:tcPr>
                <w:p w14:paraId="48A67086">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976" w:type="dxa"/>
                  <w:vAlign w:val="center"/>
                </w:tcPr>
                <w:p w14:paraId="0A446DE6">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829" w:type="dxa"/>
                  <w:vAlign w:val="center"/>
                </w:tcPr>
                <w:p w14:paraId="268C5AB9">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633" w:type="dxa"/>
                  <w:vAlign w:val="center"/>
                </w:tcPr>
                <w:p w14:paraId="1E34CD53">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644" w:type="dxa"/>
                  <w:vAlign w:val="center"/>
                </w:tcPr>
                <w:p w14:paraId="177BB993">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866" w:type="dxa"/>
                  <w:vAlign w:val="center"/>
                </w:tcPr>
                <w:p w14:paraId="6B5EB8C3">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&lt;1（级）</w:t>
                  </w:r>
                </w:p>
              </w:tc>
              <w:tc>
                <w:tcPr>
                  <w:tcW w:w="728" w:type="dxa"/>
                  <w:vAlign w:val="center"/>
                </w:tcPr>
                <w:p w14:paraId="7BC9851E">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490" w:type="dxa"/>
                  <w:vMerge w:val="continue"/>
                  <w:vAlign w:val="center"/>
                </w:tcPr>
                <w:p w14:paraId="22055D66">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p>
              </w:tc>
            </w:tr>
            <w:tr w14:paraId="0D88E9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68" w:type="dxa"/>
                  <w:vMerge w:val="restart"/>
                  <w:vAlign w:val="center"/>
                </w:tcPr>
                <w:p w14:paraId="10666528">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无组织排放</w:t>
                  </w:r>
                </w:p>
              </w:tc>
              <w:tc>
                <w:tcPr>
                  <w:tcW w:w="480" w:type="dxa"/>
                  <w:vAlign w:val="center"/>
                </w:tcPr>
                <w:p w14:paraId="4B6CE378">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原粮卸粮</w:t>
                  </w:r>
                </w:p>
              </w:tc>
              <w:tc>
                <w:tcPr>
                  <w:tcW w:w="613" w:type="dxa"/>
                  <w:vAlign w:val="center"/>
                </w:tcPr>
                <w:p w14:paraId="10686578">
                  <w:pPr>
                    <w:pStyle w:val="60"/>
                    <w:keepNext w:val="0"/>
                    <w:keepLines w:val="0"/>
                    <w:suppressLineNumbers w:val="0"/>
                    <w:spacing w:before="31" w:beforeAutospacing="0" w:after="31" w:afterAutospacing="0" w:line="240" w:lineRule="auto"/>
                    <w:ind w:left="0" w:right="0"/>
                    <w:rPr>
                      <w:rFonts w:hint="default" w:ascii="Times New Roman" w:hAnsi="Times New Roman" w:eastAsia="宋体" w:cs="Times New Roman"/>
                      <w:b w:val="0"/>
                      <w:bCs w:val="0"/>
                      <w:color w:val="000000" w:themeColor="text1"/>
                      <w:sz w:val="18"/>
                      <w:szCs w:val="18"/>
                      <w:highlight w:val="none"/>
                      <w14:textFill>
                        <w14:solidFill>
                          <w14:schemeClr w14:val="tx1"/>
                        </w14:solidFill>
                      </w14:textFill>
                    </w:rPr>
                  </w:pPr>
                  <w:bookmarkStart w:id="16" w:name="_Toc27389"/>
                  <w:r>
                    <w:rPr>
                      <w:rFonts w:hint="default" w:ascii="Times New Roman" w:hAnsi="Times New Roman" w:eastAsia="宋体" w:cs="Times New Roman"/>
                      <w:b w:val="0"/>
                      <w:bCs w:val="0"/>
                      <w:color w:val="000000" w:themeColor="text1"/>
                      <w:sz w:val="18"/>
                      <w:szCs w:val="18"/>
                      <w:highlight w:val="none"/>
                      <w14:textFill>
                        <w14:solidFill>
                          <w14:schemeClr w14:val="tx1"/>
                        </w14:solidFill>
                      </w14:textFill>
                    </w:rPr>
                    <w:t>颗粒物</w:t>
                  </w:r>
                  <w:bookmarkEnd w:id="16"/>
                </w:p>
              </w:tc>
              <w:tc>
                <w:tcPr>
                  <w:tcW w:w="538" w:type="dxa"/>
                  <w:vAlign w:val="center"/>
                </w:tcPr>
                <w:p w14:paraId="4FEB91BA">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系数法</w:t>
                  </w:r>
                </w:p>
              </w:tc>
              <w:tc>
                <w:tcPr>
                  <w:tcW w:w="791" w:type="dxa"/>
                  <w:vAlign w:val="center"/>
                </w:tcPr>
                <w:p w14:paraId="5D1D215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976" w:type="dxa"/>
                  <w:vAlign w:val="center"/>
                </w:tcPr>
                <w:p w14:paraId="33CEA646">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12</w:t>
                  </w:r>
                </w:p>
              </w:tc>
              <w:tc>
                <w:tcPr>
                  <w:tcW w:w="829" w:type="dxa"/>
                  <w:vAlign w:val="center"/>
                </w:tcPr>
                <w:p w14:paraId="23F0AF76">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减小装卸高度</w:t>
                  </w:r>
                  <w:r>
                    <w:rPr>
                      <w:rFonts w:hint="default" w:ascii="Times New Roman" w:hAnsi="Times New Roman" w:eastAsia="宋体" w:cs="Times New Roman"/>
                      <w:color w:val="000000" w:themeColor="text1"/>
                      <w:sz w:val="18"/>
                      <w:szCs w:val="18"/>
                      <w:highlight w:val="none"/>
                      <w:lang w:eastAsia="zh-CN"/>
                      <w14:textFill>
                        <w14:solidFill>
                          <w14:schemeClr w14:val="tx1"/>
                        </w14:solidFill>
                      </w14:textFill>
                    </w:rPr>
                    <w:t>、密闭输送</w:t>
                  </w:r>
                </w:p>
              </w:tc>
              <w:tc>
                <w:tcPr>
                  <w:tcW w:w="633" w:type="dxa"/>
                  <w:vAlign w:val="center"/>
                </w:tcPr>
                <w:p w14:paraId="38D4149D">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60</w:t>
                  </w:r>
                </w:p>
              </w:tc>
              <w:tc>
                <w:tcPr>
                  <w:tcW w:w="644" w:type="dxa"/>
                  <w:vAlign w:val="center"/>
                </w:tcPr>
                <w:p w14:paraId="4A126590">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系数法</w:t>
                  </w:r>
                </w:p>
              </w:tc>
              <w:tc>
                <w:tcPr>
                  <w:tcW w:w="866" w:type="dxa"/>
                  <w:vAlign w:val="center"/>
                </w:tcPr>
                <w:p w14:paraId="3681D81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728" w:type="dxa"/>
                  <w:vAlign w:val="center"/>
                </w:tcPr>
                <w:p w14:paraId="2720A941">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4.8</w:t>
                  </w:r>
                </w:p>
              </w:tc>
              <w:tc>
                <w:tcPr>
                  <w:tcW w:w="490" w:type="dxa"/>
                  <w:vAlign w:val="center"/>
                </w:tcPr>
                <w:p w14:paraId="498433C7">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480</w:t>
                  </w:r>
                </w:p>
              </w:tc>
            </w:tr>
            <w:tr w14:paraId="529DA7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368" w:type="dxa"/>
                  <w:vMerge w:val="continue"/>
                  <w:vAlign w:val="center"/>
                </w:tcPr>
                <w:p w14:paraId="5AA03930">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480" w:type="dxa"/>
                  <w:vAlign w:val="center"/>
                </w:tcPr>
                <w:p w14:paraId="3819CBB2">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原粮筛分</w:t>
                  </w:r>
                </w:p>
              </w:tc>
              <w:tc>
                <w:tcPr>
                  <w:tcW w:w="613" w:type="dxa"/>
                  <w:vAlign w:val="center"/>
                </w:tcPr>
                <w:p w14:paraId="3BD60742">
                  <w:pPr>
                    <w:pStyle w:val="60"/>
                    <w:keepNext w:val="0"/>
                    <w:keepLines w:val="0"/>
                    <w:suppressLineNumbers w:val="0"/>
                    <w:spacing w:before="31" w:beforeAutospacing="0" w:after="31" w:afterAutospacing="0" w:line="240" w:lineRule="auto"/>
                    <w:ind w:left="0" w:right="0"/>
                    <w:rPr>
                      <w:rFonts w:hint="default" w:ascii="Times New Roman" w:hAnsi="Times New Roman" w:eastAsia="宋体" w:cs="Times New Roman"/>
                      <w:b w:val="0"/>
                      <w:bCs w:val="0"/>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z w:val="18"/>
                      <w:szCs w:val="18"/>
                      <w:highlight w:val="none"/>
                      <w14:textFill>
                        <w14:solidFill>
                          <w14:schemeClr w14:val="tx1"/>
                        </w14:solidFill>
                      </w14:textFill>
                    </w:rPr>
                    <w:t>颗粒物</w:t>
                  </w:r>
                </w:p>
              </w:tc>
              <w:tc>
                <w:tcPr>
                  <w:tcW w:w="538" w:type="dxa"/>
                  <w:vAlign w:val="center"/>
                </w:tcPr>
                <w:p w14:paraId="5979F165">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系数法</w:t>
                  </w:r>
                </w:p>
              </w:tc>
              <w:tc>
                <w:tcPr>
                  <w:tcW w:w="791" w:type="dxa"/>
                  <w:vAlign w:val="center"/>
                </w:tcPr>
                <w:p w14:paraId="0A4F0B2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976" w:type="dxa"/>
                  <w:vAlign w:val="center"/>
                </w:tcPr>
                <w:p w14:paraId="20B0EC39">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7.5</w:t>
                  </w:r>
                </w:p>
              </w:tc>
              <w:tc>
                <w:tcPr>
                  <w:tcW w:w="829" w:type="dxa"/>
                  <w:vAlign w:val="center"/>
                </w:tcPr>
                <w:p w14:paraId="4770DBE6">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密闭设备</w:t>
                  </w:r>
                </w:p>
              </w:tc>
              <w:tc>
                <w:tcPr>
                  <w:tcW w:w="633" w:type="dxa"/>
                  <w:vAlign w:val="center"/>
                </w:tcPr>
                <w:p w14:paraId="10220A5E">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90</w:t>
                  </w:r>
                </w:p>
              </w:tc>
              <w:tc>
                <w:tcPr>
                  <w:tcW w:w="644" w:type="dxa"/>
                  <w:vAlign w:val="center"/>
                </w:tcPr>
                <w:p w14:paraId="29CA84BB">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系数法</w:t>
                  </w:r>
                </w:p>
              </w:tc>
              <w:tc>
                <w:tcPr>
                  <w:tcW w:w="866" w:type="dxa"/>
                  <w:vAlign w:val="center"/>
                </w:tcPr>
                <w:p w14:paraId="14CB474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728" w:type="dxa"/>
                  <w:vAlign w:val="center"/>
                </w:tcPr>
                <w:p w14:paraId="1F214B72">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0.75</w:t>
                  </w:r>
                </w:p>
              </w:tc>
              <w:tc>
                <w:tcPr>
                  <w:tcW w:w="490" w:type="dxa"/>
                  <w:vAlign w:val="center"/>
                </w:tcPr>
                <w:p w14:paraId="06191720">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480</w:t>
                  </w:r>
                </w:p>
              </w:tc>
            </w:tr>
            <w:tr w14:paraId="00A70C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368" w:type="dxa"/>
                  <w:vMerge w:val="continue"/>
                  <w:vAlign w:val="center"/>
                </w:tcPr>
                <w:p w14:paraId="7D0F01D5">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480" w:type="dxa"/>
                  <w:vAlign w:val="center"/>
                </w:tcPr>
                <w:p w14:paraId="44CFA854">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烘干塔</w:t>
                  </w:r>
                </w:p>
              </w:tc>
              <w:tc>
                <w:tcPr>
                  <w:tcW w:w="613" w:type="dxa"/>
                  <w:vAlign w:val="center"/>
                </w:tcPr>
                <w:p w14:paraId="2A750EC2">
                  <w:pPr>
                    <w:pStyle w:val="60"/>
                    <w:keepNext w:val="0"/>
                    <w:keepLines w:val="0"/>
                    <w:suppressLineNumbers w:val="0"/>
                    <w:spacing w:before="31" w:beforeAutospacing="0" w:after="31" w:afterAutospacing="0" w:line="240" w:lineRule="auto"/>
                    <w:ind w:left="0" w:right="0"/>
                    <w:rPr>
                      <w:rFonts w:hint="default" w:ascii="Times New Roman" w:hAnsi="Times New Roman" w:eastAsia="宋体" w:cs="Times New Roman"/>
                      <w:b w:val="0"/>
                      <w:bCs w:val="0"/>
                      <w:color w:val="000000" w:themeColor="text1"/>
                      <w:sz w:val="18"/>
                      <w:szCs w:val="18"/>
                      <w:highlight w:val="none"/>
                      <w14:textFill>
                        <w14:solidFill>
                          <w14:schemeClr w14:val="tx1"/>
                        </w14:solidFill>
                      </w14:textFill>
                    </w:rPr>
                  </w:pPr>
                  <w:bookmarkStart w:id="17" w:name="_Toc7843"/>
                  <w:r>
                    <w:rPr>
                      <w:rFonts w:hint="default" w:ascii="Times New Roman" w:hAnsi="Times New Roman" w:eastAsia="宋体" w:cs="Times New Roman"/>
                      <w:b w:val="0"/>
                      <w:bCs w:val="0"/>
                      <w:color w:val="000000" w:themeColor="text1"/>
                      <w:sz w:val="18"/>
                      <w:szCs w:val="18"/>
                      <w:highlight w:val="none"/>
                      <w14:textFill>
                        <w14:solidFill>
                          <w14:schemeClr w14:val="tx1"/>
                        </w14:solidFill>
                      </w14:textFill>
                    </w:rPr>
                    <w:t>颗粒物</w:t>
                  </w:r>
                  <w:bookmarkEnd w:id="17"/>
                </w:p>
              </w:tc>
              <w:tc>
                <w:tcPr>
                  <w:tcW w:w="538" w:type="dxa"/>
                  <w:vAlign w:val="center"/>
                </w:tcPr>
                <w:p w14:paraId="4F09325C">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系数法</w:t>
                  </w:r>
                </w:p>
              </w:tc>
              <w:tc>
                <w:tcPr>
                  <w:tcW w:w="791" w:type="dxa"/>
                  <w:vAlign w:val="center"/>
                </w:tcPr>
                <w:p w14:paraId="4D0ED4D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976" w:type="dxa"/>
                  <w:vAlign w:val="center"/>
                </w:tcPr>
                <w:p w14:paraId="0AB74EC9">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t>2.50</w:t>
                  </w:r>
                </w:p>
              </w:tc>
              <w:tc>
                <w:tcPr>
                  <w:tcW w:w="829" w:type="dxa"/>
                  <w:vAlign w:val="center"/>
                </w:tcPr>
                <w:p w14:paraId="6DFCB679">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塔体两侧设置折流挡板，塔顶排气孔设滤尘网</w:t>
                  </w:r>
                </w:p>
              </w:tc>
              <w:tc>
                <w:tcPr>
                  <w:tcW w:w="633" w:type="dxa"/>
                  <w:vAlign w:val="center"/>
                </w:tcPr>
                <w:p w14:paraId="31319329">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60</w:t>
                  </w:r>
                </w:p>
              </w:tc>
              <w:tc>
                <w:tcPr>
                  <w:tcW w:w="644" w:type="dxa"/>
                  <w:vAlign w:val="center"/>
                </w:tcPr>
                <w:p w14:paraId="006E021A">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系数法</w:t>
                  </w:r>
                </w:p>
              </w:tc>
              <w:tc>
                <w:tcPr>
                  <w:tcW w:w="866" w:type="dxa"/>
                  <w:vAlign w:val="center"/>
                </w:tcPr>
                <w:p w14:paraId="43EAC19E">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728" w:type="dxa"/>
                  <w:vAlign w:val="center"/>
                </w:tcPr>
                <w:p w14:paraId="48A0CD09">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1.0</w:t>
                  </w:r>
                </w:p>
              </w:tc>
              <w:tc>
                <w:tcPr>
                  <w:tcW w:w="490" w:type="dxa"/>
                  <w:vAlign w:val="center"/>
                </w:tcPr>
                <w:p w14:paraId="476A0CC1">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1440</w:t>
                  </w:r>
                </w:p>
              </w:tc>
            </w:tr>
            <w:tr w14:paraId="685289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368" w:type="dxa"/>
                  <w:vMerge w:val="continue"/>
                  <w:vAlign w:val="center"/>
                </w:tcPr>
                <w:p w14:paraId="481B9E5D">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480" w:type="dxa"/>
                  <w:vAlign w:val="center"/>
                </w:tcPr>
                <w:p w14:paraId="537F7CF6">
                  <w:pPr>
                    <w:pStyle w:val="69"/>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晾晒场</w:t>
                  </w:r>
                </w:p>
              </w:tc>
              <w:tc>
                <w:tcPr>
                  <w:tcW w:w="613" w:type="dxa"/>
                  <w:shd w:val="clear" w:color="auto" w:fill="auto"/>
                  <w:vAlign w:val="center"/>
                </w:tcPr>
                <w:p w14:paraId="17EC51B3">
                  <w:pPr>
                    <w:pStyle w:val="60"/>
                    <w:keepNext w:val="0"/>
                    <w:keepLines w:val="0"/>
                    <w:suppressLineNumbers w:val="0"/>
                    <w:spacing w:before="31" w:beforeAutospacing="0" w:after="31" w:afterAutospacing="0" w:line="240" w:lineRule="auto"/>
                    <w:ind w:left="0" w:leftChars="0" w:right="0" w:rightChars="0"/>
                    <w:rPr>
                      <w:rFonts w:hint="default" w:ascii="Times New Roman" w:hAnsi="Times New Roman" w:eastAsia="宋体" w:cs="Times New Roman"/>
                      <w:b w:val="0"/>
                      <w:bCs w:val="0"/>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18"/>
                      <w:szCs w:val="18"/>
                      <w:highlight w:val="none"/>
                      <w14:textFill>
                        <w14:solidFill>
                          <w14:schemeClr w14:val="tx1"/>
                        </w14:solidFill>
                      </w14:textFill>
                    </w:rPr>
                    <w:t>颗粒物</w:t>
                  </w:r>
                </w:p>
              </w:tc>
              <w:tc>
                <w:tcPr>
                  <w:tcW w:w="538" w:type="dxa"/>
                  <w:shd w:val="clear" w:color="auto" w:fill="auto"/>
                  <w:vAlign w:val="center"/>
                </w:tcPr>
                <w:p w14:paraId="0507C4BE">
                  <w:pPr>
                    <w:pStyle w:val="69"/>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系数法</w:t>
                  </w:r>
                </w:p>
              </w:tc>
              <w:tc>
                <w:tcPr>
                  <w:tcW w:w="791" w:type="dxa"/>
                  <w:shd w:val="clear" w:color="auto" w:fill="auto"/>
                  <w:vAlign w:val="center"/>
                </w:tcPr>
                <w:p w14:paraId="65FF6A65">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976" w:type="dxa"/>
                  <w:shd w:val="clear" w:color="auto" w:fill="auto"/>
                  <w:vAlign w:val="center"/>
                </w:tcPr>
                <w:p w14:paraId="53D6CEA9">
                  <w:pPr>
                    <w:pStyle w:val="69"/>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0.012</w:t>
                  </w:r>
                </w:p>
              </w:tc>
              <w:tc>
                <w:tcPr>
                  <w:tcW w:w="829" w:type="dxa"/>
                  <w:shd w:val="clear" w:color="auto" w:fill="auto"/>
                  <w:vAlign w:val="center"/>
                </w:tcPr>
                <w:p w14:paraId="2A1220A2">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加盖苫布，设置防风抑尘网</w:t>
                  </w:r>
                </w:p>
              </w:tc>
              <w:tc>
                <w:tcPr>
                  <w:tcW w:w="633" w:type="dxa"/>
                  <w:shd w:val="clear" w:color="auto" w:fill="auto"/>
                  <w:vAlign w:val="center"/>
                </w:tcPr>
                <w:p w14:paraId="17B5D2AA">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74</w:t>
                  </w:r>
                </w:p>
              </w:tc>
              <w:tc>
                <w:tcPr>
                  <w:tcW w:w="644" w:type="dxa"/>
                  <w:shd w:val="clear" w:color="auto" w:fill="auto"/>
                  <w:vAlign w:val="center"/>
                </w:tcPr>
                <w:p w14:paraId="6D4553E1">
                  <w:pPr>
                    <w:pStyle w:val="69"/>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系数法</w:t>
                  </w:r>
                </w:p>
              </w:tc>
              <w:tc>
                <w:tcPr>
                  <w:tcW w:w="866" w:type="dxa"/>
                  <w:shd w:val="clear" w:color="auto" w:fill="auto"/>
                  <w:vAlign w:val="center"/>
                </w:tcPr>
                <w:p w14:paraId="169CE380">
                  <w:pPr>
                    <w:pStyle w:val="69"/>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728" w:type="dxa"/>
                  <w:shd w:val="clear" w:color="auto" w:fill="auto"/>
                  <w:vAlign w:val="center"/>
                </w:tcPr>
                <w:p w14:paraId="7692BF87">
                  <w:pPr>
                    <w:pStyle w:val="69"/>
                    <w:keepNext w:val="0"/>
                    <w:keepLines w:val="0"/>
                    <w:suppressLineNumbers w:val="0"/>
                    <w:spacing w:before="0" w:beforeAutospacing="0" w:after="0" w:afterAutospacing="0" w:line="240" w:lineRule="auto"/>
                    <w:ind w:left="0" w:leftChars="0" w:right="0" w:rightChars="0"/>
                    <w:rPr>
                      <w:rFonts w:hint="eastAsia"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0.003</w:t>
                  </w:r>
                </w:p>
              </w:tc>
              <w:tc>
                <w:tcPr>
                  <w:tcW w:w="490" w:type="dxa"/>
                  <w:shd w:val="clear" w:color="auto" w:fill="auto"/>
                  <w:vAlign w:val="center"/>
                </w:tcPr>
                <w:p w14:paraId="5B70AF2C">
                  <w:pPr>
                    <w:pStyle w:val="69"/>
                    <w:keepNext w:val="0"/>
                    <w:keepLines w:val="0"/>
                    <w:suppressLineNumbers w:val="0"/>
                    <w:spacing w:before="0" w:beforeAutospacing="0" w:after="0" w:afterAutospacing="0" w:line="240" w:lineRule="auto"/>
                    <w:ind w:left="0" w:right="0"/>
                    <w:rPr>
                      <w:rFonts w:hint="default"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1440</w:t>
                  </w:r>
                </w:p>
              </w:tc>
            </w:tr>
            <w:tr w14:paraId="398548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368" w:type="dxa"/>
                  <w:vMerge w:val="continue"/>
                  <w:vAlign w:val="center"/>
                </w:tcPr>
                <w:p w14:paraId="0926F830">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p>
              </w:tc>
              <w:tc>
                <w:tcPr>
                  <w:tcW w:w="480" w:type="dxa"/>
                  <w:vAlign w:val="center"/>
                </w:tcPr>
                <w:p w14:paraId="57ED8142">
                  <w:pPr>
                    <w:pStyle w:val="69"/>
                    <w:keepNext w:val="0"/>
                    <w:keepLines w:val="0"/>
                    <w:suppressLineNumbers w:val="0"/>
                    <w:spacing w:before="0" w:beforeAutospacing="0" w:after="0" w:afterAutospacing="0" w:line="240" w:lineRule="auto"/>
                    <w:ind w:left="0" w:right="0"/>
                    <w:rPr>
                      <w:rFonts w:hint="eastAsia"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灰渣储存转运</w:t>
                  </w:r>
                </w:p>
              </w:tc>
              <w:tc>
                <w:tcPr>
                  <w:tcW w:w="613" w:type="dxa"/>
                  <w:shd w:val="clear" w:color="auto" w:fill="auto"/>
                  <w:vAlign w:val="center"/>
                </w:tcPr>
                <w:p w14:paraId="0D1BDDD9">
                  <w:pPr>
                    <w:pStyle w:val="60"/>
                    <w:keepNext w:val="0"/>
                    <w:keepLines w:val="0"/>
                    <w:suppressLineNumbers w:val="0"/>
                    <w:spacing w:before="31" w:beforeAutospacing="0" w:after="31" w:afterAutospacing="0" w:line="240" w:lineRule="auto"/>
                    <w:ind w:left="0" w:leftChars="0" w:right="0" w:rightChars="0"/>
                    <w:rPr>
                      <w:rFonts w:hint="default" w:ascii="Times New Roman" w:hAnsi="Times New Roman" w:eastAsia="宋体" w:cs="Times New Roman"/>
                      <w:b w:val="0"/>
                      <w:bCs w:val="0"/>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18"/>
                      <w:szCs w:val="18"/>
                      <w:highlight w:val="none"/>
                      <w14:textFill>
                        <w14:solidFill>
                          <w14:schemeClr w14:val="tx1"/>
                        </w14:solidFill>
                      </w14:textFill>
                    </w:rPr>
                    <w:t>颗粒物</w:t>
                  </w:r>
                </w:p>
              </w:tc>
              <w:tc>
                <w:tcPr>
                  <w:tcW w:w="538" w:type="dxa"/>
                  <w:shd w:val="clear" w:color="auto" w:fill="auto"/>
                  <w:vAlign w:val="center"/>
                </w:tcPr>
                <w:p w14:paraId="5D0D6CE0">
                  <w:pPr>
                    <w:pStyle w:val="69"/>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系数法</w:t>
                  </w:r>
                </w:p>
              </w:tc>
              <w:tc>
                <w:tcPr>
                  <w:tcW w:w="791" w:type="dxa"/>
                  <w:shd w:val="clear" w:color="auto" w:fill="auto"/>
                  <w:vAlign w:val="center"/>
                </w:tcPr>
                <w:p w14:paraId="0B305206">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976" w:type="dxa"/>
                  <w:shd w:val="clear" w:color="auto" w:fill="auto"/>
                  <w:vAlign w:val="center"/>
                </w:tcPr>
                <w:p w14:paraId="3745CF2F">
                  <w:pPr>
                    <w:pStyle w:val="69"/>
                    <w:keepNext w:val="0"/>
                    <w:keepLines w:val="0"/>
                    <w:suppressLineNumbers w:val="0"/>
                    <w:spacing w:before="0" w:beforeAutospacing="0" w:after="0" w:afterAutospacing="0" w:line="240" w:lineRule="auto"/>
                    <w:ind w:left="0" w:leftChars="0" w:right="0" w:rightChars="0"/>
                    <w:rPr>
                      <w:rFonts w:hint="default"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0.02</w:t>
                  </w:r>
                </w:p>
              </w:tc>
              <w:tc>
                <w:tcPr>
                  <w:tcW w:w="829" w:type="dxa"/>
                  <w:vAlign w:val="center"/>
                </w:tcPr>
                <w:p w14:paraId="2B215E2C">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14:textFill>
                        <w14:solidFill>
                          <w14:schemeClr w14:val="tx1"/>
                        </w14:solidFill>
                      </w14:textFill>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全封闭灰渣储存间，封闭汽车外运</w:t>
                  </w:r>
                </w:p>
              </w:tc>
              <w:tc>
                <w:tcPr>
                  <w:tcW w:w="633" w:type="dxa"/>
                  <w:vAlign w:val="center"/>
                </w:tcPr>
                <w:p w14:paraId="1842D565">
                  <w:pPr>
                    <w:pStyle w:val="69"/>
                    <w:keepNext w:val="0"/>
                    <w:keepLines w:val="0"/>
                    <w:suppressLineNumbers w:val="0"/>
                    <w:spacing w:before="0" w:beforeAutospacing="0" w:after="0" w:afterAutospacing="0" w:line="240" w:lineRule="auto"/>
                    <w:ind w:left="0" w:right="0"/>
                    <w:rPr>
                      <w:rFonts w:hint="eastAsia"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99</w:t>
                  </w:r>
                </w:p>
              </w:tc>
              <w:tc>
                <w:tcPr>
                  <w:tcW w:w="644" w:type="dxa"/>
                  <w:shd w:val="clear" w:color="auto" w:fill="auto"/>
                  <w:vAlign w:val="center"/>
                </w:tcPr>
                <w:p w14:paraId="7A68CD87">
                  <w:pPr>
                    <w:pStyle w:val="69"/>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系数法</w:t>
                  </w:r>
                </w:p>
              </w:tc>
              <w:tc>
                <w:tcPr>
                  <w:tcW w:w="866" w:type="dxa"/>
                  <w:shd w:val="clear" w:color="auto" w:fill="auto"/>
                  <w:vAlign w:val="center"/>
                </w:tcPr>
                <w:p w14:paraId="3F07D6DC">
                  <w:pPr>
                    <w:pStyle w:val="69"/>
                    <w:keepNext w:val="0"/>
                    <w:keepLines w:val="0"/>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highlight w:val="none"/>
                      <w14:textFill>
                        <w14:solidFill>
                          <w14:schemeClr w14:val="tx1"/>
                        </w14:solidFill>
                      </w14:textFill>
                    </w:rPr>
                    <w:t>-</w:t>
                  </w:r>
                </w:p>
              </w:tc>
              <w:tc>
                <w:tcPr>
                  <w:tcW w:w="728" w:type="dxa"/>
                  <w:shd w:val="clear" w:color="auto" w:fill="auto"/>
                  <w:vAlign w:val="center"/>
                </w:tcPr>
                <w:p w14:paraId="210CB862">
                  <w:pPr>
                    <w:pStyle w:val="69"/>
                    <w:keepNext w:val="0"/>
                    <w:keepLines w:val="0"/>
                    <w:suppressLineNumbers w:val="0"/>
                    <w:spacing w:before="0" w:beforeAutospacing="0" w:after="0" w:afterAutospacing="0" w:line="240" w:lineRule="auto"/>
                    <w:ind w:left="0" w:leftChars="0" w:right="0" w:rightChars="0"/>
                    <w:rPr>
                      <w:rFonts w:hint="eastAsia"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0.000</w:t>
                  </w:r>
                  <w:r>
                    <w:rPr>
                      <w:rFonts w:hint="eastAsia" w:eastAsia="宋体" w:cs="Times New Roman"/>
                      <w:color w:val="000000" w:themeColor="text1"/>
                      <w:kern w:val="2"/>
                      <w:sz w:val="18"/>
                      <w:szCs w:val="18"/>
                      <w:highlight w:val="none"/>
                      <w:lang w:val="en-US" w:eastAsia="zh-CN" w:bidi="ar-SA"/>
                      <w14:textFill>
                        <w14:solidFill>
                          <w14:schemeClr w14:val="tx1"/>
                        </w14:solidFill>
                      </w14:textFill>
                    </w:rPr>
                    <w:t>2</w:t>
                  </w:r>
                </w:p>
              </w:tc>
              <w:tc>
                <w:tcPr>
                  <w:tcW w:w="490" w:type="dxa"/>
                  <w:vAlign w:val="center"/>
                </w:tcPr>
                <w:p w14:paraId="452464CD">
                  <w:pPr>
                    <w:pStyle w:val="69"/>
                    <w:keepNext w:val="0"/>
                    <w:keepLines w:val="0"/>
                    <w:suppressLineNumbers w:val="0"/>
                    <w:spacing w:before="0" w:beforeAutospacing="0" w:after="0" w:afterAutospacing="0" w:line="240" w:lineRule="auto"/>
                    <w:ind w:left="0" w:right="0"/>
                    <w:rPr>
                      <w:rFonts w:hint="default" w:eastAsia="宋体" w:cs="Times New Roman"/>
                      <w:color w:val="000000" w:themeColor="text1"/>
                      <w:sz w:val="18"/>
                      <w:szCs w:val="18"/>
                      <w:highlight w:val="none"/>
                      <w:lang w:val="en-US" w:eastAsia="zh-CN"/>
                      <w14:textFill>
                        <w14:solidFill>
                          <w14:schemeClr w14:val="tx1"/>
                        </w14:solidFill>
                      </w14:textFill>
                    </w:rPr>
                  </w:pPr>
                  <w:r>
                    <w:rPr>
                      <w:rFonts w:hint="eastAsia" w:eastAsia="宋体" w:cs="Times New Roman"/>
                      <w:color w:val="000000" w:themeColor="text1"/>
                      <w:sz w:val="18"/>
                      <w:szCs w:val="18"/>
                      <w:highlight w:val="none"/>
                      <w:lang w:val="en-US" w:eastAsia="zh-CN"/>
                      <w14:textFill>
                        <w14:solidFill>
                          <w14:schemeClr w14:val="tx1"/>
                        </w14:solidFill>
                      </w14:textFill>
                    </w:rPr>
                    <w:t>1440</w:t>
                  </w:r>
                </w:p>
              </w:tc>
            </w:tr>
          </w:tbl>
          <w:p w14:paraId="184C688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kern w:val="0"/>
                <w:sz w:val="24"/>
                <w:highlight w:val="none"/>
                <w14:textFill>
                  <w14:solidFill>
                    <w14:schemeClr w14:val="tx1"/>
                  </w14:solidFill>
                </w14:textFill>
              </w:rPr>
              <w:t>非正常工况</w:t>
            </w:r>
          </w:p>
          <w:p w14:paraId="6F94C53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污染物非正常排放情况为：热风炉除尘系统发生故障，</w:t>
            </w:r>
            <w:r>
              <w:rPr>
                <w:rFonts w:hint="default" w:ascii="Times New Roman" w:hAnsi="Times New Roman" w:eastAsia="宋体" w:cs="Times New Roman"/>
                <w:color w:val="000000" w:themeColor="text1"/>
                <w:sz w:val="24"/>
                <w:highlight w:val="none"/>
                <w14:textFill>
                  <w14:solidFill>
                    <w14:schemeClr w14:val="tx1"/>
                  </w14:solidFill>
                </w14:textFill>
              </w:rPr>
              <w:t>污染物排放控制措施达不到应有效果，锅炉除尘器事故状态污染物去除效率按</w:t>
            </w:r>
            <w:r>
              <w:rPr>
                <w:rFonts w:hint="eastAsia"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0%计</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highlight w:val="none"/>
                <w14:textFill>
                  <w14:solidFill>
                    <w14:schemeClr w14:val="tx1"/>
                  </w14:solidFill>
                </w14:textFill>
              </w:rPr>
              <w:t>本项目</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热风炉</w:t>
            </w:r>
            <w:r>
              <w:rPr>
                <w:rFonts w:hint="default" w:ascii="Times New Roman" w:hAnsi="Times New Roman" w:eastAsia="宋体" w:cs="Times New Roman"/>
                <w:color w:val="000000" w:themeColor="text1"/>
                <w:kern w:val="0"/>
                <w:sz w:val="24"/>
                <w:highlight w:val="none"/>
                <w14:textFill>
                  <w14:solidFill>
                    <w14:schemeClr w14:val="tx1"/>
                  </w14:solidFill>
                </w14:textFill>
              </w:rPr>
              <w:t>年运行</w:t>
            </w:r>
            <w:r>
              <w:rPr>
                <w:rFonts w:hint="eastAsia" w:cs="Times New Roman"/>
                <w:color w:val="000000" w:themeColor="text1"/>
                <w:kern w:val="0"/>
                <w:sz w:val="24"/>
                <w:highlight w:val="none"/>
                <w:lang w:val="en-US" w:eastAsia="zh-CN"/>
                <w14:textFill>
                  <w14:solidFill>
                    <w14:schemeClr w14:val="tx1"/>
                  </w14:solidFill>
                </w14:textFill>
              </w:rPr>
              <w:t>60</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天</w:t>
            </w:r>
            <w:r>
              <w:rPr>
                <w:rFonts w:hint="default" w:ascii="Times New Roman" w:hAnsi="Times New Roman" w:eastAsia="宋体" w:cs="Times New Roman"/>
                <w:color w:val="000000" w:themeColor="text1"/>
                <w:kern w:val="0"/>
                <w:sz w:val="24"/>
                <w:highlight w:val="none"/>
                <w14:textFill>
                  <w14:solidFill>
                    <w14:schemeClr w14:val="tx1"/>
                  </w14:solidFill>
                </w14:textFill>
              </w:rPr>
              <w:t>，每天工作24小时，每次污染物非正常排放情况发生时间不超过1小时，每年发生次数不超过</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kern w:val="0"/>
                <w:sz w:val="24"/>
                <w:highlight w:val="none"/>
                <w14:textFill>
                  <w14:solidFill>
                    <w14:schemeClr w14:val="tx1"/>
                  </w14:solidFill>
                </w14:textFill>
              </w:rPr>
              <w:t>次。</w:t>
            </w:r>
          </w:p>
          <w:p w14:paraId="04A387B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大气污染物源强非正常</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工况</w:t>
            </w:r>
            <w:r>
              <w:rPr>
                <w:rFonts w:hint="default" w:ascii="Times New Roman" w:hAnsi="Times New Roman" w:eastAsia="宋体" w:cs="Times New Roman"/>
                <w:color w:val="000000" w:themeColor="text1"/>
                <w:kern w:val="0"/>
                <w:sz w:val="24"/>
                <w:highlight w:val="none"/>
                <w14:textFill>
                  <w14:solidFill>
                    <w14:schemeClr w14:val="tx1"/>
                  </w14:solidFill>
                </w14:textFill>
              </w:rPr>
              <w:t>排放核算</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见</w:t>
            </w:r>
            <w:r>
              <w:rPr>
                <w:rFonts w:hint="default" w:ascii="Times New Roman" w:hAnsi="Times New Roman" w:eastAsia="宋体" w:cs="Times New Roman"/>
                <w:color w:val="000000" w:themeColor="text1"/>
                <w:kern w:val="0"/>
                <w:sz w:val="24"/>
                <w:highlight w:val="none"/>
                <w14:textFill>
                  <w14:solidFill>
                    <w14:schemeClr w14:val="tx1"/>
                  </w14:solidFill>
                </w14:textFill>
              </w:rPr>
              <w:t>下表。</w:t>
            </w:r>
          </w:p>
          <w:p w14:paraId="26A0415A">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Cs w:val="21"/>
                <w:highlight w:val="none"/>
                <w14:textFill>
                  <w14:solidFill>
                    <w14:schemeClr w14:val="tx1"/>
                  </w14:solidFill>
                </w14:textFill>
              </w:rPr>
            </w:pPr>
            <w:r>
              <w:rPr>
                <w:rFonts w:hint="default" w:ascii="Times New Roman" w:hAnsi="Times New Roman" w:eastAsia="宋体" w:cs="Times New Roman"/>
                <w:b/>
                <w:color w:val="000000" w:themeColor="text1"/>
                <w:szCs w:val="21"/>
                <w:highlight w:val="none"/>
                <w14:textFill>
                  <w14:solidFill>
                    <w14:schemeClr w14:val="tx1"/>
                  </w14:solidFill>
                </w14:textFill>
              </w:rPr>
              <w:t>表4-</w:t>
            </w:r>
            <w:r>
              <w:rPr>
                <w:rFonts w:hint="default" w:ascii="Times New Roman" w:hAnsi="Times New Roman" w:eastAsia="宋体" w:cs="Times New Roman"/>
                <w:b/>
                <w:color w:val="000000" w:themeColor="text1"/>
                <w:szCs w:val="21"/>
                <w:highlight w:val="none"/>
                <w:lang w:val="en-US" w:eastAsia="zh-CN"/>
                <w14:textFill>
                  <w14:solidFill>
                    <w14:schemeClr w14:val="tx1"/>
                  </w14:solidFill>
                </w14:textFill>
              </w:rPr>
              <w:t>2</w:t>
            </w:r>
            <w:r>
              <w:rPr>
                <w:rFonts w:hint="default" w:ascii="Times New Roman" w:hAnsi="Times New Roman" w:eastAsia="宋体" w:cs="Times New Roman"/>
                <w:b/>
                <w:color w:val="000000" w:themeColor="text1"/>
                <w:szCs w:val="21"/>
                <w:highlight w:val="none"/>
                <w14:textFill>
                  <w14:solidFill>
                    <w14:schemeClr w14:val="tx1"/>
                  </w14:solidFill>
                </w14:textFill>
              </w:rPr>
              <w:t>污染源非正常</w:t>
            </w:r>
            <w:r>
              <w:rPr>
                <w:rFonts w:hint="default" w:ascii="Times New Roman" w:hAnsi="Times New Roman" w:eastAsia="宋体" w:cs="Times New Roman"/>
                <w:b/>
                <w:color w:val="000000" w:themeColor="text1"/>
                <w:szCs w:val="21"/>
                <w:highlight w:val="none"/>
                <w:lang w:val="en-US" w:eastAsia="zh-CN"/>
                <w14:textFill>
                  <w14:solidFill>
                    <w14:schemeClr w14:val="tx1"/>
                  </w14:solidFill>
                </w14:textFill>
              </w:rPr>
              <w:t>工况</w:t>
            </w:r>
            <w:r>
              <w:rPr>
                <w:rFonts w:hint="default" w:ascii="Times New Roman" w:hAnsi="Times New Roman" w:eastAsia="宋体" w:cs="Times New Roman"/>
                <w:b/>
                <w:color w:val="000000" w:themeColor="text1"/>
                <w:szCs w:val="21"/>
                <w:highlight w:val="none"/>
                <w14:textFill>
                  <w14:solidFill>
                    <w14:schemeClr w14:val="tx1"/>
                  </w14:solidFill>
                </w14:textFill>
              </w:rPr>
              <w:t>排放核算表</w:t>
            </w:r>
          </w:p>
          <w:tbl>
            <w:tblPr>
              <w:tblStyle w:val="35"/>
              <w:tblW w:w="795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89"/>
              <w:gridCol w:w="740"/>
              <w:gridCol w:w="1361"/>
              <w:gridCol w:w="1164"/>
              <w:gridCol w:w="858"/>
              <w:gridCol w:w="858"/>
              <w:gridCol w:w="838"/>
            </w:tblGrid>
            <w:tr w14:paraId="2E6887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648" w:type="dxa"/>
                  <w:vAlign w:val="center"/>
                </w:tcPr>
                <w:p w14:paraId="582FBB9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污染源</w:t>
                  </w:r>
                </w:p>
              </w:tc>
              <w:tc>
                <w:tcPr>
                  <w:tcW w:w="1489" w:type="dxa"/>
                  <w:vAlign w:val="center"/>
                </w:tcPr>
                <w:p w14:paraId="623A4FA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非正常排放原因</w:t>
                  </w:r>
                </w:p>
              </w:tc>
              <w:tc>
                <w:tcPr>
                  <w:tcW w:w="740" w:type="dxa"/>
                  <w:vAlign w:val="center"/>
                </w:tcPr>
                <w:p w14:paraId="3553514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污染物</w:t>
                  </w:r>
                </w:p>
              </w:tc>
              <w:tc>
                <w:tcPr>
                  <w:tcW w:w="1361" w:type="dxa"/>
                  <w:vAlign w:val="center"/>
                </w:tcPr>
                <w:p w14:paraId="500637B8">
                  <w:pPr>
                    <w:pStyle w:val="66"/>
                    <w:keepNext w:val="0"/>
                    <w:keepLines w:val="0"/>
                    <w:suppressLineNumbers w:val="0"/>
                    <w:spacing w:before="0" w:beforeLines="0" w:beforeAutospacing="0" w:after="0" w:afterLines="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非正常排放浓度</w:t>
                  </w:r>
                </w:p>
              </w:tc>
              <w:tc>
                <w:tcPr>
                  <w:tcW w:w="1164" w:type="dxa"/>
                  <w:vAlign w:val="center"/>
                </w:tcPr>
                <w:p w14:paraId="17ED7C3B">
                  <w:pPr>
                    <w:pStyle w:val="66"/>
                    <w:keepNext w:val="0"/>
                    <w:keepLines w:val="0"/>
                    <w:suppressLineNumbers w:val="0"/>
                    <w:spacing w:before="0" w:beforeLines="0" w:beforeAutospacing="0" w:after="0" w:afterLines="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非正常排放速率</w:t>
                  </w:r>
                </w:p>
              </w:tc>
              <w:tc>
                <w:tcPr>
                  <w:tcW w:w="858" w:type="dxa"/>
                  <w:vAlign w:val="center"/>
                </w:tcPr>
                <w:p w14:paraId="33A7A6B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单次持续时间</w:t>
                  </w:r>
                </w:p>
              </w:tc>
              <w:tc>
                <w:tcPr>
                  <w:tcW w:w="858" w:type="dxa"/>
                  <w:vAlign w:val="center"/>
                </w:tcPr>
                <w:p w14:paraId="7685FF9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年发生频次</w:t>
                  </w:r>
                </w:p>
              </w:tc>
              <w:tc>
                <w:tcPr>
                  <w:tcW w:w="838" w:type="dxa"/>
                  <w:vAlign w:val="center"/>
                </w:tcPr>
                <w:p w14:paraId="7F8DCFE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应对措施</w:t>
                  </w:r>
                </w:p>
              </w:tc>
            </w:tr>
            <w:tr w14:paraId="34B288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dxa"/>
                  <w:vAlign w:val="center"/>
                </w:tcPr>
                <w:p w14:paraId="61B1DEB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热风炉</w:t>
                  </w:r>
                </w:p>
              </w:tc>
              <w:tc>
                <w:tcPr>
                  <w:tcW w:w="1489" w:type="dxa"/>
                  <w:vAlign w:val="center"/>
                </w:tcPr>
                <w:p w14:paraId="390D2E1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除尘系统发生故障，除尘效率降至</w:t>
                  </w:r>
                  <w:r>
                    <w:rPr>
                      <w:rFonts w:hint="eastAsia" w:cs="Times New Roman"/>
                      <w:color w:val="000000" w:themeColor="text1"/>
                      <w:kern w:val="0"/>
                      <w:szCs w:val="21"/>
                      <w:highlight w:val="none"/>
                      <w:lang w:val="en-US" w:eastAsia="zh-CN"/>
                      <w14:textFill>
                        <w14:solidFill>
                          <w14:schemeClr w14:val="tx1"/>
                        </w14:solidFill>
                      </w14:textFill>
                    </w:rPr>
                    <w:t>50</w:t>
                  </w:r>
                  <w:r>
                    <w:rPr>
                      <w:rFonts w:hint="default" w:ascii="Times New Roman" w:hAnsi="Times New Roman" w:eastAsia="宋体" w:cs="Times New Roman"/>
                      <w:color w:val="000000" w:themeColor="text1"/>
                      <w:kern w:val="0"/>
                      <w:szCs w:val="21"/>
                      <w:highlight w:val="none"/>
                      <w14:textFill>
                        <w14:solidFill>
                          <w14:schemeClr w14:val="tx1"/>
                        </w14:solidFill>
                      </w14:textFill>
                    </w:rPr>
                    <w:t>%</w:t>
                  </w:r>
                </w:p>
              </w:tc>
              <w:tc>
                <w:tcPr>
                  <w:tcW w:w="740" w:type="dxa"/>
                  <w:vAlign w:val="center"/>
                </w:tcPr>
                <w:p w14:paraId="434432D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烟尘</w:t>
                  </w:r>
                </w:p>
              </w:tc>
              <w:tc>
                <w:tcPr>
                  <w:tcW w:w="1361" w:type="dxa"/>
                  <w:vAlign w:val="center"/>
                </w:tcPr>
                <w:p w14:paraId="7239492F">
                  <w:pPr>
                    <w:pStyle w:val="69"/>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eastAsia" w:eastAsia="宋体" w:cs="Times New Roman"/>
                      <w:bCs/>
                      <w:color w:val="000000" w:themeColor="text1"/>
                      <w:kern w:val="2"/>
                      <w:sz w:val="21"/>
                      <w:szCs w:val="21"/>
                      <w:highlight w:val="none"/>
                      <w:lang w:val="en-US" w:eastAsia="zh-CN" w:bidi="ar-SA"/>
                      <w14:textFill>
                        <w14:solidFill>
                          <w14:schemeClr w14:val="tx1"/>
                        </w14:solidFill>
                      </w14:textFill>
                    </w:rPr>
                    <w:t>2462.42</w:t>
                  </w:r>
                  <w:r>
                    <w:rPr>
                      <w:rFonts w:hint="default" w:ascii="Times New Roman" w:hAnsi="Times New Roman" w:eastAsia="宋体" w:cs="Times New Roman"/>
                      <w:bCs/>
                      <w:iCs/>
                      <w:color w:val="000000" w:themeColor="text1"/>
                      <w:szCs w:val="21"/>
                      <w:highlight w:val="none"/>
                      <w14:textFill>
                        <w14:solidFill>
                          <w14:schemeClr w14:val="tx1"/>
                        </w14:solidFill>
                      </w14:textFill>
                    </w:rPr>
                    <w:t>mg/m</w:t>
                  </w:r>
                  <w:r>
                    <w:rPr>
                      <w:rFonts w:hint="default" w:ascii="Times New Roman" w:hAnsi="Times New Roman" w:eastAsia="宋体" w:cs="Times New Roman"/>
                      <w:bCs/>
                      <w:iCs/>
                      <w:color w:val="000000" w:themeColor="text1"/>
                      <w:szCs w:val="21"/>
                      <w:highlight w:val="none"/>
                      <w:vertAlign w:val="superscript"/>
                      <w14:textFill>
                        <w14:solidFill>
                          <w14:schemeClr w14:val="tx1"/>
                        </w14:solidFill>
                      </w14:textFill>
                    </w:rPr>
                    <w:t>3</w:t>
                  </w:r>
                </w:p>
              </w:tc>
              <w:tc>
                <w:tcPr>
                  <w:tcW w:w="1164" w:type="dxa"/>
                  <w:vAlign w:val="center"/>
                </w:tcPr>
                <w:p w14:paraId="43F551A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Cs w:val="21"/>
                      <w:highlight w:val="none"/>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20.24</w:t>
                  </w:r>
                  <w:r>
                    <w:rPr>
                      <w:rFonts w:hint="default" w:ascii="Times New Roman" w:hAnsi="Times New Roman" w:eastAsia="宋体" w:cs="Times New Roman"/>
                      <w:color w:val="000000" w:themeColor="text1"/>
                      <w:szCs w:val="21"/>
                      <w:highlight w:val="none"/>
                      <w14:textFill>
                        <w14:solidFill>
                          <w14:schemeClr w14:val="tx1"/>
                        </w14:solidFill>
                      </w14:textFill>
                    </w:rPr>
                    <w:t>kg/h</w:t>
                  </w:r>
                </w:p>
              </w:tc>
              <w:tc>
                <w:tcPr>
                  <w:tcW w:w="858" w:type="dxa"/>
                  <w:vAlign w:val="center"/>
                </w:tcPr>
                <w:p w14:paraId="54018B9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≤1h</w:t>
                  </w:r>
                </w:p>
              </w:tc>
              <w:tc>
                <w:tcPr>
                  <w:tcW w:w="858" w:type="dxa"/>
                  <w:vAlign w:val="center"/>
                </w:tcPr>
                <w:p w14:paraId="48CF62A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Cs w:val="21"/>
                      <w:highlight w:val="none"/>
                      <w14:textFill>
                        <w14:solidFill>
                          <w14:schemeClr w14:val="tx1"/>
                        </w14:solidFill>
                      </w14:textFill>
                    </w:rPr>
                    <w:t>次</w:t>
                  </w:r>
                </w:p>
              </w:tc>
              <w:tc>
                <w:tcPr>
                  <w:tcW w:w="838" w:type="dxa"/>
                  <w:vAlign w:val="center"/>
                </w:tcPr>
                <w:p w14:paraId="5B0192C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加强日常检修</w:t>
                  </w:r>
                </w:p>
              </w:tc>
            </w:tr>
          </w:tbl>
          <w:p w14:paraId="03E4EBF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kern w:val="0"/>
                <w:sz w:val="24"/>
                <w:highlight w:val="none"/>
                <w14:textFill>
                  <w14:solidFill>
                    <w14:schemeClr w14:val="tx1"/>
                  </w14:solidFill>
                </w14:textFill>
              </w:rPr>
              <w:t>废气排放口基本情况</w:t>
            </w:r>
          </w:p>
          <w:p w14:paraId="07E0129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本项目废气排放口情况见下表。</w:t>
            </w:r>
          </w:p>
          <w:p w14:paraId="08D11536">
            <w:pPr>
              <w:pStyle w:val="2"/>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b/>
                <w:color w:val="000000" w:themeColor="text1"/>
                <w:szCs w:val="21"/>
                <w:highlight w:val="none"/>
                <w14:textFill>
                  <w14:solidFill>
                    <w14:schemeClr w14:val="tx1"/>
                  </w14:solidFill>
                </w14:textFill>
              </w:rPr>
              <w:t>表4-</w:t>
            </w:r>
            <w:r>
              <w:rPr>
                <w:rFonts w:hint="default" w:ascii="Times New Roman" w:hAnsi="Times New Roman" w:eastAsia="宋体" w:cs="Times New Roman"/>
                <w:b/>
                <w:color w:val="000000" w:themeColor="text1"/>
                <w:szCs w:val="21"/>
                <w:highlight w:val="none"/>
                <w:lang w:val="en-US" w:eastAsia="zh-CN"/>
                <w14:textFill>
                  <w14:solidFill>
                    <w14:schemeClr w14:val="tx1"/>
                  </w14:solidFill>
                </w14:textFill>
              </w:rPr>
              <w:t>3</w:t>
            </w:r>
            <w:r>
              <w:rPr>
                <w:rFonts w:hint="default" w:ascii="Times New Roman" w:hAnsi="Times New Roman" w:eastAsia="宋体" w:cs="Times New Roman"/>
                <w:b/>
                <w:color w:val="000000" w:themeColor="text1"/>
                <w:szCs w:val="21"/>
                <w:highlight w:val="none"/>
                <w14:textFill>
                  <w14:solidFill>
                    <w14:schemeClr w14:val="tx1"/>
                  </w14:solidFill>
                </w14:textFill>
              </w:rPr>
              <w:t>废气排放</w:t>
            </w:r>
            <w:r>
              <w:rPr>
                <w:rFonts w:hint="default" w:ascii="Times New Roman" w:hAnsi="Times New Roman" w:eastAsia="宋体" w:cs="Times New Roman"/>
                <w:b/>
                <w:color w:val="000000" w:themeColor="text1"/>
                <w:szCs w:val="21"/>
                <w:highlight w:val="none"/>
                <w:lang w:val="en-US" w:eastAsia="zh-CN"/>
                <w14:textFill>
                  <w14:solidFill>
                    <w14:schemeClr w14:val="tx1"/>
                  </w14:solidFill>
                </w14:textFill>
              </w:rPr>
              <w:t>口</w:t>
            </w:r>
            <w:r>
              <w:rPr>
                <w:rFonts w:hint="default" w:ascii="Times New Roman" w:hAnsi="Times New Roman" w:eastAsia="宋体" w:cs="Times New Roman"/>
                <w:b/>
                <w:color w:val="000000" w:themeColor="text1"/>
                <w:szCs w:val="21"/>
                <w:highlight w:val="none"/>
                <w14:textFill>
                  <w14:solidFill>
                    <w14:schemeClr w14:val="tx1"/>
                  </w14:solidFill>
                </w14:textFill>
              </w:rPr>
              <w:t>情况表</w:t>
            </w:r>
          </w:p>
          <w:tbl>
            <w:tblPr>
              <w:tblStyle w:val="35"/>
              <w:tblW w:w="7994"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343"/>
              <w:gridCol w:w="415"/>
              <w:gridCol w:w="790"/>
              <w:gridCol w:w="1214"/>
              <w:gridCol w:w="600"/>
              <w:gridCol w:w="627"/>
              <w:gridCol w:w="955"/>
              <w:gridCol w:w="873"/>
              <w:gridCol w:w="615"/>
              <w:gridCol w:w="583"/>
              <w:gridCol w:w="621"/>
              <w:gridCol w:w="358"/>
            </w:tblGrid>
            <w:tr w14:paraId="4694B9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59" w:hRule="atLeast"/>
              </w:trPr>
              <w:tc>
                <w:tcPr>
                  <w:tcW w:w="343" w:type="dxa"/>
                  <w:vMerge w:val="restart"/>
                  <w:vAlign w:val="center"/>
                </w:tcPr>
                <w:p w14:paraId="7929F37E">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序号</w:t>
                  </w:r>
                </w:p>
              </w:tc>
              <w:tc>
                <w:tcPr>
                  <w:tcW w:w="415" w:type="dxa"/>
                  <w:vMerge w:val="restart"/>
                  <w:vAlign w:val="center"/>
                </w:tcPr>
                <w:p w14:paraId="7BD07044">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排放源</w:t>
                  </w:r>
                </w:p>
              </w:tc>
              <w:tc>
                <w:tcPr>
                  <w:tcW w:w="790" w:type="dxa"/>
                  <w:vMerge w:val="restart"/>
                  <w:vAlign w:val="center"/>
                </w:tcPr>
                <w:p w14:paraId="1554DFD5">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排放口编号</w:t>
                  </w:r>
                </w:p>
              </w:tc>
              <w:tc>
                <w:tcPr>
                  <w:tcW w:w="1214" w:type="dxa"/>
                  <w:vMerge w:val="restart"/>
                  <w:vAlign w:val="center"/>
                </w:tcPr>
                <w:p w14:paraId="236A09FE">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污染物种类</w:t>
                  </w:r>
                </w:p>
              </w:tc>
              <w:tc>
                <w:tcPr>
                  <w:tcW w:w="600" w:type="dxa"/>
                  <w:vMerge w:val="restart"/>
                  <w:vAlign w:val="center"/>
                </w:tcPr>
                <w:p w14:paraId="2CFEFE4E">
                  <w:pPr>
                    <w:pStyle w:val="58"/>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排放口名称</w:t>
                  </w:r>
                </w:p>
              </w:tc>
              <w:tc>
                <w:tcPr>
                  <w:tcW w:w="627" w:type="dxa"/>
                  <w:vMerge w:val="restart"/>
                  <w:vAlign w:val="center"/>
                </w:tcPr>
                <w:p w14:paraId="5F14700C">
                  <w:pPr>
                    <w:pStyle w:val="58"/>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排放口类型</w:t>
                  </w:r>
                </w:p>
              </w:tc>
              <w:tc>
                <w:tcPr>
                  <w:tcW w:w="1828" w:type="dxa"/>
                  <w:gridSpan w:val="2"/>
                  <w:vAlign w:val="center"/>
                </w:tcPr>
                <w:p w14:paraId="75D98B4C">
                  <w:pPr>
                    <w:pStyle w:val="58"/>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坐标</w:t>
                  </w:r>
                  <w:r>
                    <w:rPr>
                      <w:rFonts w:hint="eastAsia" w:cs="Times New Roman"/>
                      <w:color w:val="000000" w:themeColor="text1"/>
                      <w:szCs w:val="21"/>
                      <w:highlight w:val="none"/>
                      <w:lang w:val="en-US" w:eastAsia="zh-CN"/>
                      <w14:textFill>
                        <w14:solidFill>
                          <w14:schemeClr w14:val="tx1"/>
                        </w14:solidFill>
                      </w14:textFill>
                    </w:rPr>
                    <w:t>/°</w:t>
                  </w:r>
                </w:p>
              </w:tc>
              <w:tc>
                <w:tcPr>
                  <w:tcW w:w="1819" w:type="dxa"/>
                  <w:gridSpan w:val="3"/>
                  <w:vAlign w:val="center"/>
                </w:tcPr>
                <w:p w14:paraId="7B33708B">
                  <w:pPr>
                    <w:pStyle w:val="58"/>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排气筒情况</w:t>
                  </w:r>
                </w:p>
              </w:tc>
              <w:tc>
                <w:tcPr>
                  <w:tcW w:w="358" w:type="dxa"/>
                  <w:vMerge w:val="restart"/>
                  <w:vAlign w:val="center"/>
                </w:tcPr>
                <w:p w14:paraId="2ADF2743">
                  <w:pPr>
                    <w:pStyle w:val="58"/>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其他信息</w:t>
                  </w:r>
                </w:p>
              </w:tc>
            </w:tr>
            <w:tr w14:paraId="50FDBD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547" w:hRule="atLeast"/>
              </w:trPr>
              <w:tc>
                <w:tcPr>
                  <w:tcW w:w="343" w:type="dxa"/>
                  <w:vMerge w:val="continue"/>
                  <w:vAlign w:val="center"/>
                </w:tcPr>
                <w:p w14:paraId="28FA3B81">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415" w:type="dxa"/>
                  <w:vMerge w:val="continue"/>
                  <w:vAlign w:val="center"/>
                </w:tcPr>
                <w:p w14:paraId="4DBE22D2">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790" w:type="dxa"/>
                  <w:vMerge w:val="continue"/>
                  <w:vAlign w:val="center"/>
                </w:tcPr>
                <w:p w14:paraId="65F74A0E">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214" w:type="dxa"/>
                  <w:vMerge w:val="continue"/>
                  <w:vAlign w:val="center"/>
                </w:tcPr>
                <w:p w14:paraId="4AB03AB0">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600" w:type="dxa"/>
                  <w:vMerge w:val="continue"/>
                  <w:vAlign w:val="center"/>
                </w:tcPr>
                <w:p w14:paraId="0A5DAEE0">
                  <w:pPr>
                    <w:pStyle w:val="58"/>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627" w:type="dxa"/>
                  <w:vMerge w:val="continue"/>
                  <w:vAlign w:val="center"/>
                </w:tcPr>
                <w:p w14:paraId="20920BB0">
                  <w:pPr>
                    <w:pStyle w:val="58"/>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955" w:type="dxa"/>
                  <w:vAlign w:val="center"/>
                </w:tcPr>
                <w:p w14:paraId="00121D27">
                  <w:pPr>
                    <w:pStyle w:val="58"/>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经度</w:t>
                  </w:r>
                </w:p>
              </w:tc>
              <w:tc>
                <w:tcPr>
                  <w:tcW w:w="873" w:type="dxa"/>
                  <w:vAlign w:val="center"/>
                </w:tcPr>
                <w:p w14:paraId="4B53E455">
                  <w:pPr>
                    <w:pStyle w:val="58"/>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纬度</w:t>
                  </w:r>
                </w:p>
              </w:tc>
              <w:tc>
                <w:tcPr>
                  <w:tcW w:w="615" w:type="dxa"/>
                  <w:vAlign w:val="center"/>
                </w:tcPr>
                <w:p w14:paraId="1955610F">
                  <w:pPr>
                    <w:pStyle w:val="58"/>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高度</w:t>
                  </w:r>
                </w:p>
              </w:tc>
              <w:tc>
                <w:tcPr>
                  <w:tcW w:w="583" w:type="dxa"/>
                  <w:vAlign w:val="center"/>
                </w:tcPr>
                <w:p w14:paraId="6CCFC9D6">
                  <w:pPr>
                    <w:pStyle w:val="58"/>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内径</w:t>
                  </w:r>
                </w:p>
              </w:tc>
              <w:tc>
                <w:tcPr>
                  <w:tcW w:w="621" w:type="dxa"/>
                  <w:vAlign w:val="center"/>
                </w:tcPr>
                <w:p w14:paraId="490C885E">
                  <w:pPr>
                    <w:pStyle w:val="58"/>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排气温度</w:t>
                  </w:r>
                </w:p>
              </w:tc>
              <w:tc>
                <w:tcPr>
                  <w:tcW w:w="358" w:type="dxa"/>
                  <w:vMerge w:val="continue"/>
                  <w:vAlign w:val="center"/>
                </w:tcPr>
                <w:p w14:paraId="2113E735">
                  <w:pPr>
                    <w:pStyle w:val="69"/>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r>
            <w:tr w14:paraId="74C978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1" w:hRule="atLeast"/>
              </w:trPr>
              <w:tc>
                <w:tcPr>
                  <w:tcW w:w="343" w:type="dxa"/>
                  <w:vMerge w:val="restart"/>
                  <w:vAlign w:val="center"/>
                </w:tcPr>
                <w:p w14:paraId="2076EADB">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1</w:t>
                  </w:r>
                </w:p>
              </w:tc>
              <w:tc>
                <w:tcPr>
                  <w:tcW w:w="415" w:type="dxa"/>
                  <w:vMerge w:val="restart"/>
                  <w:vAlign w:val="center"/>
                </w:tcPr>
                <w:p w14:paraId="4CF65AA0">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热风炉</w:t>
                  </w:r>
                </w:p>
              </w:tc>
              <w:tc>
                <w:tcPr>
                  <w:tcW w:w="790" w:type="dxa"/>
                  <w:vMerge w:val="restart"/>
                  <w:vAlign w:val="center"/>
                </w:tcPr>
                <w:p w14:paraId="77FE6E94">
                  <w:pPr>
                    <w:pStyle w:val="58"/>
                    <w:keepNext w:val="0"/>
                    <w:keepLines w:val="0"/>
                    <w:suppressLineNumbers w:val="0"/>
                    <w:adjustRightInd w:val="0"/>
                    <w:snapToGrid w:val="0"/>
                    <w:spacing w:before="0" w:beforeAutospacing="0" w:after="0" w:afterAutospacing="0" w:line="240" w:lineRule="auto"/>
                    <w:ind w:left="0" w:right="0"/>
                    <w:rPr>
                      <w:rFonts w:hint="eastAsia" w:ascii="Times New Roman" w:hAnsi="Times New Roman" w:eastAsia="宋体" w:cs="Times New Roman"/>
                      <w:color w:val="000000" w:themeColor="text1"/>
                      <w:szCs w:val="21"/>
                      <w:highlight w:val="none"/>
                      <w:lang w:eastAsia="zh-CN"/>
                      <w14:textFill>
                        <w14:solidFill>
                          <w14:schemeClr w14:val="tx1"/>
                        </w14:solidFill>
                      </w14:textFill>
                    </w:rPr>
                  </w:pPr>
                  <w:r>
                    <w:rPr>
                      <w:rFonts w:hint="eastAsia" w:cs="Times New Roman"/>
                      <w:color w:val="000000" w:themeColor="text1"/>
                      <w:szCs w:val="21"/>
                      <w:highlight w:val="none"/>
                      <w:lang w:eastAsia="zh-CN"/>
                      <w14:textFill>
                        <w14:solidFill>
                          <w14:schemeClr w14:val="tx1"/>
                        </w14:solidFill>
                      </w14:textFill>
                    </w:rPr>
                    <w:t>DA00</w:t>
                  </w:r>
                  <w:r>
                    <w:rPr>
                      <w:rFonts w:hint="eastAsia" w:cs="Times New Roman"/>
                      <w:color w:val="000000" w:themeColor="text1"/>
                      <w:szCs w:val="21"/>
                      <w:highlight w:val="none"/>
                      <w:lang w:val="en-US" w:eastAsia="zh-CN"/>
                      <w14:textFill>
                        <w14:solidFill>
                          <w14:schemeClr w14:val="tx1"/>
                        </w14:solidFill>
                      </w14:textFill>
                    </w:rPr>
                    <w:t>1</w:t>
                  </w:r>
                </w:p>
              </w:tc>
              <w:tc>
                <w:tcPr>
                  <w:tcW w:w="1214" w:type="dxa"/>
                  <w:vAlign w:val="center"/>
                </w:tcPr>
                <w:p w14:paraId="56BC6AD6">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烟尘</w:t>
                  </w:r>
                </w:p>
              </w:tc>
              <w:tc>
                <w:tcPr>
                  <w:tcW w:w="600" w:type="dxa"/>
                  <w:vMerge w:val="restart"/>
                  <w:vAlign w:val="center"/>
                </w:tcPr>
                <w:p w14:paraId="788F29AB">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烟囱</w:t>
                  </w:r>
                </w:p>
              </w:tc>
              <w:tc>
                <w:tcPr>
                  <w:tcW w:w="627" w:type="dxa"/>
                  <w:vMerge w:val="restart"/>
                  <w:vAlign w:val="center"/>
                </w:tcPr>
                <w:p w14:paraId="54DA1227">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一般排放口</w:t>
                  </w:r>
                </w:p>
              </w:tc>
              <w:tc>
                <w:tcPr>
                  <w:tcW w:w="955" w:type="dxa"/>
                  <w:vMerge w:val="restart"/>
                  <w:vAlign w:val="center"/>
                </w:tcPr>
                <w:p w14:paraId="72ADAC5A">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133.13284572</w:t>
                  </w:r>
                </w:p>
              </w:tc>
              <w:tc>
                <w:tcPr>
                  <w:tcW w:w="873" w:type="dxa"/>
                  <w:vMerge w:val="restart"/>
                  <w:vAlign w:val="center"/>
                </w:tcPr>
                <w:p w14:paraId="0C51DB14">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45.84410924</w:t>
                  </w:r>
                </w:p>
              </w:tc>
              <w:tc>
                <w:tcPr>
                  <w:tcW w:w="615" w:type="dxa"/>
                  <w:vMerge w:val="restart"/>
                  <w:vAlign w:val="center"/>
                </w:tcPr>
                <w:p w14:paraId="1AF21650">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lang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15</w:t>
                  </w:r>
                  <w:r>
                    <w:rPr>
                      <w:rFonts w:hint="default" w:ascii="Times New Roman" w:hAnsi="Times New Roman" w:eastAsia="宋体" w:cs="Times New Roman"/>
                      <w:color w:val="000000" w:themeColor="text1"/>
                      <w:szCs w:val="21"/>
                      <w:highlight w:val="none"/>
                      <w:lang w:eastAsia="zh-CN"/>
                      <w14:textFill>
                        <w14:solidFill>
                          <w14:schemeClr w14:val="tx1"/>
                        </w14:solidFill>
                      </w14:textFill>
                    </w:rPr>
                    <w:t>m</w:t>
                  </w:r>
                </w:p>
              </w:tc>
              <w:tc>
                <w:tcPr>
                  <w:tcW w:w="583" w:type="dxa"/>
                  <w:vMerge w:val="restart"/>
                  <w:vAlign w:val="center"/>
                </w:tcPr>
                <w:p w14:paraId="1DE6AC30">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0.</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Cs w:val="21"/>
                      <w:highlight w:val="none"/>
                      <w14:textFill>
                        <w14:solidFill>
                          <w14:schemeClr w14:val="tx1"/>
                        </w14:solidFill>
                      </w14:textFill>
                    </w:rPr>
                    <w:t>m</w:t>
                  </w:r>
                </w:p>
              </w:tc>
              <w:tc>
                <w:tcPr>
                  <w:tcW w:w="621" w:type="dxa"/>
                  <w:vMerge w:val="restart"/>
                  <w:vAlign w:val="center"/>
                </w:tcPr>
                <w:p w14:paraId="325D53DA">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120</w:t>
                  </w:r>
                  <w:r>
                    <w:rPr>
                      <w:rFonts w:hint="default" w:ascii="Times New Roman" w:hAnsi="Times New Roman" w:eastAsia="宋体" w:cs="Times New Roman"/>
                      <w:color w:val="000000" w:themeColor="text1"/>
                      <w:szCs w:val="21"/>
                      <w:highlight w:val="none"/>
                      <w14:textFill>
                        <w14:solidFill>
                          <w14:schemeClr w14:val="tx1"/>
                        </w14:solidFill>
                      </w14:textFill>
                    </w:rPr>
                    <w:t>℃</w:t>
                  </w:r>
                </w:p>
              </w:tc>
              <w:tc>
                <w:tcPr>
                  <w:tcW w:w="358" w:type="dxa"/>
                  <w:vMerge w:val="restart"/>
                  <w:vAlign w:val="center"/>
                </w:tcPr>
                <w:p w14:paraId="55BCF22A">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w:t>
                  </w:r>
                </w:p>
              </w:tc>
            </w:tr>
            <w:tr w14:paraId="5DC04F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23" w:hRule="atLeast"/>
              </w:trPr>
              <w:tc>
                <w:tcPr>
                  <w:tcW w:w="343" w:type="dxa"/>
                  <w:vMerge w:val="continue"/>
                  <w:vAlign w:val="center"/>
                </w:tcPr>
                <w:p w14:paraId="19798F59">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415" w:type="dxa"/>
                  <w:vMerge w:val="continue"/>
                  <w:vAlign w:val="center"/>
                </w:tcPr>
                <w:p w14:paraId="658C0CFB">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790" w:type="dxa"/>
                  <w:vMerge w:val="continue"/>
                  <w:vAlign w:val="center"/>
                </w:tcPr>
                <w:p w14:paraId="4CEE0C71">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214" w:type="dxa"/>
                  <w:vAlign w:val="center"/>
                </w:tcPr>
                <w:p w14:paraId="4DD31B00">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SO</w:t>
                  </w:r>
                  <w:r>
                    <w:rPr>
                      <w:rFonts w:hint="default" w:ascii="Times New Roman" w:hAnsi="Times New Roman" w:eastAsia="宋体" w:cs="Times New Roman"/>
                      <w:color w:val="000000" w:themeColor="text1"/>
                      <w:szCs w:val="21"/>
                      <w:highlight w:val="none"/>
                      <w:vertAlign w:val="subscript"/>
                      <w14:textFill>
                        <w14:solidFill>
                          <w14:schemeClr w14:val="tx1"/>
                        </w14:solidFill>
                      </w14:textFill>
                    </w:rPr>
                    <w:t>2</w:t>
                  </w:r>
                </w:p>
              </w:tc>
              <w:tc>
                <w:tcPr>
                  <w:tcW w:w="600" w:type="dxa"/>
                  <w:vMerge w:val="continue"/>
                  <w:vAlign w:val="center"/>
                </w:tcPr>
                <w:p w14:paraId="2834FAFA">
                  <w:pPr>
                    <w:pStyle w:val="58"/>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627" w:type="dxa"/>
                  <w:vMerge w:val="continue"/>
                  <w:vAlign w:val="center"/>
                </w:tcPr>
                <w:p w14:paraId="667BD2F5">
                  <w:pPr>
                    <w:pStyle w:val="58"/>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955" w:type="dxa"/>
                  <w:vMerge w:val="continue"/>
                  <w:vAlign w:val="center"/>
                </w:tcPr>
                <w:p w14:paraId="1FFA7DFF">
                  <w:pPr>
                    <w:pStyle w:val="58"/>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873" w:type="dxa"/>
                  <w:vMerge w:val="continue"/>
                  <w:vAlign w:val="center"/>
                </w:tcPr>
                <w:p w14:paraId="185AFC26">
                  <w:pPr>
                    <w:pStyle w:val="58"/>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宋体" w:cs="Times New Roman"/>
                      <w:bCs/>
                      <w:color w:val="000000" w:themeColor="text1"/>
                      <w:szCs w:val="21"/>
                      <w:highlight w:val="none"/>
                      <w14:textFill>
                        <w14:solidFill>
                          <w14:schemeClr w14:val="tx1"/>
                        </w14:solidFill>
                      </w14:textFill>
                    </w:rPr>
                  </w:pPr>
                </w:p>
              </w:tc>
              <w:tc>
                <w:tcPr>
                  <w:tcW w:w="615" w:type="dxa"/>
                  <w:vMerge w:val="continue"/>
                  <w:vAlign w:val="center"/>
                </w:tcPr>
                <w:p w14:paraId="1F9078A5">
                  <w:pPr>
                    <w:pStyle w:val="58"/>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宋体" w:cs="Times New Roman"/>
                      <w:bCs/>
                      <w:color w:val="000000" w:themeColor="text1"/>
                      <w:szCs w:val="21"/>
                      <w:highlight w:val="none"/>
                      <w14:textFill>
                        <w14:solidFill>
                          <w14:schemeClr w14:val="tx1"/>
                        </w14:solidFill>
                      </w14:textFill>
                    </w:rPr>
                  </w:pPr>
                </w:p>
              </w:tc>
              <w:tc>
                <w:tcPr>
                  <w:tcW w:w="583" w:type="dxa"/>
                  <w:vMerge w:val="continue"/>
                  <w:vAlign w:val="center"/>
                </w:tcPr>
                <w:p w14:paraId="30714D87">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621" w:type="dxa"/>
                  <w:vMerge w:val="continue"/>
                  <w:vAlign w:val="center"/>
                </w:tcPr>
                <w:p w14:paraId="3500E1E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358" w:type="dxa"/>
                  <w:vMerge w:val="continue"/>
                  <w:vAlign w:val="center"/>
                </w:tcPr>
                <w:p w14:paraId="5D5A97AA">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r>
            <w:tr w14:paraId="5792DA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6" w:hRule="atLeast"/>
              </w:trPr>
              <w:tc>
                <w:tcPr>
                  <w:tcW w:w="343" w:type="dxa"/>
                  <w:vMerge w:val="continue"/>
                  <w:vAlign w:val="center"/>
                </w:tcPr>
                <w:p w14:paraId="58F464A3">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415" w:type="dxa"/>
                  <w:vMerge w:val="continue"/>
                  <w:vAlign w:val="center"/>
                </w:tcPr>
                <w:p w14:paraId="68B5AD84">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790" w:type="dxa"/>
                  <w:vMerge w:val="continue"/>
                  <w:vAlign w:val="center"/>
                </w:tcPr>
                <w:p w14:paraId="5D9BF237">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214" w:type="dxa"/>
                  <w:vAlign w:val="center"/>
                </w:tcPr>
                <w:p w14:paraId="39EEB7EC">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NOx</w:t>
                  </w:r>
                </w:p>
              </w:tc>
              <w:tc>
                <w:tcPr>
                  <w:tcW w:w="600" w:type="dxa"/>
                  <w:vMerge w:val="continue"/>
                  <w:vAlign w:val="center"/>
                </w:tcPr>
                <w:p w14:paraId="75C70F1F">
                  <w:pPr>
                    <w:pStyle w:val="58"/>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627" w:type="dxa"/>
                  <w:vMerge w:val="continue"/>
                  <w:vAlign w:val="center"/>
                </w:tcPr>
                <w:p w14:paraId="2DADBD1D">
                  <w:pPr>
                    <w:pStyle w:val="58"/>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955" w:type="dxa"/>
                  <w:vMerge w:val="continue"/>
                  <w:vAlign w:val="center"/>
                </w:tcPr>
                <w:p w14:paraId="4067E651">
                  <w:pPr>
                    <w:pStyle w:val="58"/>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873" w:type="dxa"/>
                  <w:vMerge w:val="continue"/>
                  <w:vAlign w:val="center"/>
                </w:tcPr>
                <w:p w14:paraId="70755C83">
                  <w:pPr>
                    <w:pStyle w:val="58"/>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宋体" w:cs="Times New Roman"/>
                      <w:bCs/>
                      <w:color w:val="000000" w:themeColor="text1"/>
                      <w:szCs w:val="21"/>
                      <w:highlight w:val="none"/>
                      <w14:textFill>
                        <w14:solidFill>
                          <w14:schemeClr w14:val="tx1"/>
                        </w14:solidFill>
                      </w14:textFill>
                    </w:rPr>
                  </w:pPr>
                </w:p>
              </w:tc>
              <w:tc>
                <w:tcPr>
                  <w:tcW w:w="615" w:type="dxa"/>
                  <w:vMerge w:val="continue"/>
                  <w:vAlign w:val="center"/>
                </w:tcPr>
                <w:p w14:paraId="602469A5">
                  <w:pPr>
                    <w:pStyle w:val="58"/>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宋体" w:cs="Times New Roman"/>
                      <w:bCs/>
                      <w:color w:val="000000" w:themeColor="text1"/>
                      <w:szCs w:val="21"/>
                      <w:highlight w:val="none"/>
                      <w14:textFill>
                        <w14:solidFill>
                          <w14:schemeClr w14:val="tx1"/>
                        </w14:solidFill>
                      </w14:textFill>
                    </w:rPr>
                  </w:pPr>
                </w:p>
              </w:tc>
              <w:tc>
                <w:tcPr>
                  <w:tcW w:w="583" w:type="dxa"/>
                  <w:vMerge w:val="continue"/>
                  <w:vAlign w:val="center"/>
                </w:tcPr>
                <w:p w14:paraId="0B33EDE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621" w:type="dxa"/>
                  <w:vMerge w:val="continue"/>
                  <w:vAlign w:val="center"/>
                </w:tcPr>
                <w:p w14:paraId="416A81E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358" w:type="dxa"/>
                  <w:vMerge w:val="continue"/>
                  <w:vAlign w:val="center"/>
                </w:tcPr>
                <w:p w14:paraId="1C81CC45">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r>
            <w:tr w14:paraId="5E1AEE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39" w:hRule="atLeast"/>
              </w:trPr>
              <w:tc>
                <w:tcPr>
                  <w:tcW w:w="343" w:type="dxa"/>
                  <w:vMerge w:val="continue"/>
                  <w:vAlign w:val="center"/>
                </w:tcPr>
                <w:p w14:paraId="1506700D">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415" w:type="dxa"/>
                  <w:vMerge w:val="continue"/>
                  <w:vAlign w:val="center"/>
                </w:tcPr>
                <w:p w14:paraId="49F31D15">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790" w:type="dxa"/>
                  <w:vMerge w:val="continue"/>
                  <w:vAlign w:val="center"/>
                </w:tcPr>
                <w:p w14:paraId="2FDFF831">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1214" w:type="dxa"/>
                  <w:vAlign w:val="center"/>
                </w:tcPr>
                <w:p w14:paraId="1C3BB811">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烟气黑度</w:t>
                  </w:r>
                </w:p>
              </w:tc>
              <w:tc>
                <w:tcPr>
                  <w:tcW w:w="600" w:type="dxa"/>
                  <w:vMerge w:val="continue"/>
                  <w:vAlign w:val="center"/>
                </w:tcPr>
                <w:p w14:paraId="73BED332">
                  <w:pPr>
                    <w:pStyle w:val="58"/>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627" w:type="dxa"/>
                  <w:vMerge w:val="continue"/>
                  <w:vAlign w:val="center"/>
                </w:tcPr>
                <w:p w14:paraId="24B69A3A">
                  <w:pPr>
                    <w:pStyle w:val="58"/>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955" w:type="dxa"/>
                  <w:vMerge w:val="continue"/>
                  <w:vAlign w:val="center"/>
                </w:tcPr>
                <w:p w14:paraId="1C4BA94E">
                  <w:pPr>
                    <w:pStyle w:val="58"/>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873" w:type="dxa"/>
                  <w:vMerge w:val="continue"/>
                  <w:vAlign w:val="center"/>
                </w:tcPr>
                <w:p w14:paraId="2BF80FF6">
                  <w:pPr>
                    <w:pStyle w:val="58"/>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宋体" w:cs="Times New Roman"/>
                      <w:bCs/>
                      <w:color w:val="000000" w:themeColor="text1"/>
                      <w:szCs w:val="21"/>
                      <w:highlight w:val="none"/>
                      <w14:textFill>
                        <w14:solidFill>
                          <w14:schemeClr w14:val="tx1"/>
                        </w14:solidFill>
                      </w14:textFill>
                    </w:rPr>
                  </w:pPr>
                </w:p>
              </w:tc>
              <w:tc>
                <w:tcPr>
                  <w:tcW w:w="615" w:type="dxa"/>
                  <w:vMerge w:val="continue"/>
                  <w:vAlign w:val="center"/>
                </w:tcPr>
                <w:p w14:paraId="0C83CD92">
                  <w:pPr>
                    <w:pStyle w:val="58"/>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宋体" w:cs="Times New Roman"/>
                      <w:bCs/>
                      <w:color w:val="000000" w:themeColor="text1"/>
                      <w:szCs w:val="21"/>
                      <w:highlight w:val="none"/>
                      <w14:textFill>
                        <w14:solidFill>
                          <w14:schemeClr w14:val="tx1"/>
                        </w14:solidFill>
                      </w14:textFill>
                    </w:rPr>
                  </w:pPr>
                </w:p>
              </w:tc>
              <w:tc>
                <w:tcPr>
                  <w:tcW w:w="583" w:type="dxa"/>
                  <w:vMerge w:val="continue"/>
                  <w:vAlign w:val="center"/>
                </w:tcPr>
                <w:p w14:paraId="682A163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621" w:type="dxa"/>
                  <w:vMerge w:val="continue"/>
                  <w:vAlign w:val="center"/>
                </w:tcPr>
                <w:p w14:paraId="38578491">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c>
                <w:tcPr>
                  <w:tcW w:w="358" w:type="dxa"/>
                  <w:vMerge w:val="continue"/>
                  <w:vAlign w:val="center"/>
                </w:tcPr>
                <w:p w14:paraId="4A09C79F">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r>
          </w:tbl>
          <w:p w14:paraId="1A83E57E">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Cs w:val="24"/>
                <w:highlight w:val="none"/>
                <w14:textFill>
                  <w14:solidFill>
                    <w14:schemeClr w14:val="tx1"/>
                  </w14:solidFill>
                </w14:textFill>
              </w:rPr>
              <w:t xml:space="preserve">）监测计划 </w:t>
            </w:r>
          </w:p>
          <w:p w14:paraId="0B05F66E">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依据《排污单位自行监测技术指南总则》(HJ819-2017)及《排污许可证申请与核发技术规范 工业炉窑》（HJ1121</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 xml:space="preserve">2020）确定本项目监测计划，具体见下表。 </w:t>
            </w:r>
          </w:p>
          <w:p w14:paraId="40831D86">
            <w:pPr>
              <w:keepNext/>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Cs w:val="21"/>
                <w:highlight w:val="none"/>
                <w14:textFill>
                  <w14:solidFill>
                    <w14:schemeClr w14:val="tx1"/>
                  </w14:solidFill>
                </w14:textFill>
              </w:rPr>
            </w:pPr>
            <w:r>
              <w:rPr>
                <w:rFonts w:hint="default" w:ascii="Times New Roman" w:hAnsi="Times New Roman" w:eastAsia="宋体" w:cs="Times New Roman"/>
                <w:b/>
                <w:color w:val="000000" w:themeColor="text1"/>
                <w:szCs w:val="21"/>
                <w:highlight w:val="none"/>
                <w14:textFill>
                  <w14:solidFill>
                    <w14:schemeClr w14:val="tx1"/>
                  </w14:solidFill>
                </w14:textFill>
              </w:rPr>
              <w:t>表4-</w:t>
            </w:r>
            <w:r>
              <w:rPr>
                <w:rFonts w:hint="default" w:ascii="Times New Roman" w:hAnsi="Times New Roman" w:eastAsia="宋体" w:cs="Times New Roman"/>
                <w:b/>
                <w:color w:val="000000" w:themeColor="text1"/>
                <w:szCs w:val="21"/>
                <w:highlight w:val="none"/>
                <w:lang w:val="en-US" w:eastAsia="zh-CN"/>
                <w14:textFill>
                  <w14:solidFill>
                    <w14:schemeClr w14:val="tx1"/>
                  </w14:solidFill>
                </w14:textFill>
              </w:rPr>
              <w:t>4</w:t>
            </w:r>
            <w:r>
              <w:rPr>
                <w:rFonts w:hint="default" w:ascii="Times New Roman" w:hAnsi="Times New Roman" w:eastAsia="宋体" w:cs="Times New Roman"/>
                <w:b/>
                <w:color w:val="000000" w:themeColor="text1"/>
                <w:szCs w:val="21"/>
                <w:highlight w:val="none"/>
                <w14:textFill>
                  <w14:solidFill>
                    <w14:schemeClr w14:val="tx1"/>
                  </w14:solidFill>
                </w14:textFill>
              </w:rPr>
              <w:t>本项目污染源监测计划</w:t>
            </w:r>
          </w:p>
          <w:tbl>
            <w:tblPr>
              <w:tblStyle w:val="35"/>
              <w:tblW w:w="8043"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Layout w:type="fixed"/>
              <w:tblCellMar>
                <w:top w:w="0" w:type="dxa"/>
                <w:left w:w="68" w:type="dxa"/>
                <w:bottom w:w="0" w:type="dxa"/>
                <w:right w:w="68" w:type="dxa"/>
              </w:tblCellMar>
            </w:tblPr>
            <w:tblGrid>
              <w:gridCol w:w="659"/>
              <w:gridCol w:w="1191"/>
              <w:gridCol w:w="1200"/>
              <w:gridCol w:w="1078"/>
              <w:gridCol w:w="3915"/>
            </w:tblGrid>
            <w:tr w14:paraId="59CC3C14">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68" w:type="dxa"/>
                  <w:bottom w:w="0" w:type="dxa"/>
                  <w:right w:w="68" w:type="dxa"/>
                </w:tblCellMar>
              </w:tblPrEx>
              <w:trPr>
                <w:trHeight w:val="319" w:hRule="atLeast"/>
                <w:jc w:val="center"/>
              </w:trPr>
              <w:tc>
                <w:tcPr>
                  <w:tcW w:w="659" w:type="dxa"/>
                  <w:tcBorders>
                    <w:tl2br w:val="nil"/>
                    <w:tr2bl w:val="nil"/>
                  </w:tcBorders>
                  <w:vAlign w:val="center"/>
                </w:tcPr>
                <w:p w14:paraId="532A2D38">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类型</w:t>
                  </w:r>
                </w:p>
              </w:tc>
              <w:tc>
                <w:tcPr>
                  <w:tcW w:w="1191" w:type="dxa"/>
                  <w:tcBorders>
                    <w:tl2br w:val="nil"/>
                    <w:tr2bl w:val="nil"/>
                  </w:tcBorders>
                  <w:vAlign w:val="center"/>
                </w:tcPr>
                <w:p w14:paraId="7D66EB87">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监测项目</w:t>
                  </w:r>
                </w:p>
              </w:tc>
              <w:tc>
                <w:tcPr>
                  <w:tcW w:w="1200" w:type="dxa"/>
                  <w:tcBorders>
                    <w:tl2br w:val="nil"/>
                    <w:tr2bl w:val="nil"/>
                  </w:tcBorders>
                  <w:vAlign w:val="center"/>
                </w:tcPr>
                <w:p w14:paraId="3B8659B0">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监测点</w:t>
                  </w:r>
                </w:p>
              </w:tc>
              <w:tc>
                <w:tcPr>
                  <w:tcW w:w="1078" w:type="dxa"/>
                  <w:tcBorders>
                    <w:tl2br w:val="nil"/>
                    <w:tr2bl w:val="nil"/>
                  </w:tcBorders>
                  <w:vAlign w:val="center"/>
                </w:tcPr>
                <w:p w14:paraId="517B02E7">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监测频率</w:t>
                  </w:r>
                </w:p>
              </w:tc>
              <w:tc>
                <w:tcPr>
                  <w:tcW w:w="3915" w:type="dxa"/>
                  <w:tcBorders>
                    <w:tl2br w:val="nil"/>
                    <w:tr2bl w:val="nil"/>
                  </w:tcBorders>
                  <w:vAlign w:val="center"/>
                </w:tcPr>
                <w:p w14:paraId="5D454DA1">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执行标准</w:t>
                  </w:r>
                </w:p>
              </w:tc>
            </w:tr>
            <w:tr w14:paraId="50FA5BC3">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68" w:type="dxa"/>
                  <w:bottom w:w="0" w:type="dxa"/>
                  <w:right w:w="68" w:type="dxa"/>
                </w:tblCellMar>
              </w:tblPrEx>
              <w:trPr>
                <w:trHeight w:val="467" w:hRule="atLeast"/>
                <w:jc w:val="center"/>
              </w:trPr>
              <w:tc>
                <w:tcPr>
                  <w:tcW w:w="659" w:type="dxa"/>
                  <w:vMerge w:val="restart"/>
                  <w:tcBorders>
                    <w:tl2br w:val="nil"/>
                    <w:tr2bl w:val="nil"/>
                  </w:tcBorders>
                  <w:vAlign w:val="center"/>
                </w:tcPr>
                <w:p w14:paraId="16548A1F">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废气</w:t>
                  </w:r>
                </w:p>
              </w:tc>
              <w:tc>
                <w:tcPr>
                  <w:tcW w:w="1191" w:type="dxa"/>
                  <w:tcBorders>
                    <w:tl2br w:val="nil"/>
                    <w:tr2bl w:val="nil"/>
                  </w:tcBorders>
                  <w:vAlign w:val="center"/>
                </w:tcPr>
                <w:p w14:paraId="27F01B0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颗粒物</w:t>
                  </w:r>
                  <w:r>
                    <w:rPr>
                      <w:rFonts w:hint="default" w:ascii="Times New Roman" w:hAnsi="Times New Roman" w:eastAsia="宋体" w:cs="Times New Roman"/>
                      <w:color w:val="000000" w:themeColor="text1"/>
                      <w:sz w:val="21"/>
                      <w:szCs w:val="21"/>
                      <w:highlight w:val="none"/>
                      <w14:textFill>
                        <w14:solidFill>
                          <w14:schemeClr w14:val="tx1"/>
                        </w14:solidFill>
                      </w14:textFill>
                    </w:rPr>
                    <w:t>、烟气黑度</w:t>
                  </w:r>
                </w:p>
              </w:tc>
              <w:tc>
                <w:tcPr>
                  <w:tcW w:w="1200" w:type="dxa"/>
                  <w:vMerge w:val="restart"/>
                  <w:tcBorders>
                    <w:tl2br w:val="nil"/>
                    <w:tr2bl w:val="nil"/>
                  </w:tcBorders>
                  <w:vAlign w:val="center"/>
                </w:tcPr>
                <w:p w14:paraId="10DC8BFA">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热风炉烟囱（</w:t>
                  </w:r>
                  <w:r>
                    <w:rPr>
                      <w:rFonts w:hint="default" w:ascii="Times New Roman" w:hAnsi="Times New Roman" w:cs="Times New Roman"/>
                      <w:color w:val="000000" w:themeColor="text1"/>
                      <w:sz w:val="21"/>
                      <w:szCs w:val="21"/>
                      <w:highlight w:val="none"/>
                      <w:lang w:eastAsia="zh-CN"/>
                      <w14:textFill>
                        <w14:solidFill>
                          <w14:schemeClr w14:val="tx1"/>
                        </w14:solidFill>
                      </w14:textFill>
                    </w:rPr>
                    <w:t>DA00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p>
              </w:tc>
              <w:tc>
                <w:tcPr>
                  <w:tcW w:w="1078" w:type="dxa"/>
                  <w:tcBorders>
                    <w:tl2br w:val="nil"/>
                    <w:tr2bl w:val="nil"/>
                  </w:tcBorders>
                  <w:vAlign w:val="center"/>
                </w:tcPr>
                <w:p w14:paraId="65BAF28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1次/年</w:t>
                  </w:r>
                </w:p>
              </w:tc>
              <w:tc>
                <w:tcPr>
                  <w:tcW w:w="3915" w:type="dxa"/>
                  <w:tcBorders>
                    <w:tl2br w:val="nil"/>
                    <w:tr2bl w:val="nil"/>
                  </w:tcBorders>
                  <w:vAlign w:val="center"/>
                </w:tcPr>
                <w:p w14:paraId="501BACE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《工业炉窑大气污染物排放标准》（GB9078-1996）表2二级标准</w:t>
                  </w:r>
                </w:p>
              </w:tc>
            </w:tr>
            <w:tr w14:paraId="59ACC55B">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68" w:type="dxa"/>
                  <w:bottom w:w="0" w:type="dxa"/>
                  <w:right w:w="68" w:type="dxa"/>
                </w:tblCellMar>
              </w:tblPrEx>
              <w:trPr>
                <w:trHeight w:val="264" w:hRule="atLeast"/>
                <w:jc w:val="center"/>
              </w:trPr>
              <w:tc>
                <w:tcPr>
                  <w:tcW w:w="659" w:type="dxa"/>
                  <w:vMerge w:val="continue"/>
                  <w:tcBorders>
                    <w:tl2br w:val="nil"/>
                    <w:tr2bl w:val="nil"/>
                  </w:tcBorders>
                  <w:vAlign w:val="center"/>
                </w:tcPr>
                <w:p w14:paraId="0B8466ED">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91" w:type="dxa"/>
                  <w:tcBorders>
                    <w:tl2br w:val="nil"/>
                    <w:tr2bl w:val="nil"/>
                  </w:tcBorders>
                  <w:vAlign w:val="center"/>
                </w:tcPr>
                <w:p w14:paraId="1B9B705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SO</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2</w:t>
                  </w:r>
                </w:p>
              </w:tc>
              <w:tc>
                <w:tcPr>
                  <w:tcW w:w="1200" w:type="dxa"/>
                  <w:vMerge w:val="continue"/>
                  <w:tcBorders>
                    <w:tl2br w:val="nil"/>
                    <w:tr2bl w:val="nil"/>
                  </w:tcBorders>
                  <w:vAlign w:val="center"/>
                </w:tcPr>
                <w:p w14:paraId="03236555">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78" w:type="dxa"/>
                  <w:tcBorders>
                    <w:tl2br w:val="nil"/>
                    <w:tr2bl w:val="nil"/>
                  </w:tcBorders>
                  <w:vAlign w:val="center"/>
                </w:tcPr>
                <w:p w14:paraId="181F93D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1次/年</w:t>
                  </w:r>
                </w:p>
              </w:tc>
              <w:tc>
                <w:tcPr>
                  <w:tcW w:w="3915" w:type="dxa"/>
                  <w:tcBorders>
                    <w:tl2br w:val="nil"/>
                    <w:tr2bl w:val="nil"/>
                  </w:tcBorders>
                  <w:vAlign w:val="center"/>
                </w:tcPr>
                <w:p w14:paraId="50D2027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《工业炉窑大气污染物排放标准》（GB9078-1996）表4二级标准</w:t>
                  </w:r>
                </w:p>
              </w:tc>
            </w:tr>
            <w:tr w14:paraId="4F067CB4">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68" w:type="dxa"/>
                  <w:bottom w:w="0" w:type="dxa"/>
                  <w:right w:w="68" w:type="dxa"/>
                </w:tblCellMar>
              </w:tblPrEx>
              <w:trPr>
                <w:trHeight w:val="348" w:hRule="atLeast"/>
                <w:jc w:val="center"/>
              </w:trPr>
              <w:tc>
                <w:tcPr>
                  <w:tcW w:w="659" w:type="dxa"/>
                  <w:vMerge w:val="continue"/>
                  <w:tcBorders>
                    <w:tl2br w:val="nil"/>
                    <w:tr2bl w:val="nil"/>
                  </w:tcBorders>
                  <w:vAlign w:val="center"/>
                </w:tcPr>
                <w:p w14:paraId="5DA8653F">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91" w:type="dxa"/>
                  <w:tcBorders>
                    <w:tl2br w:val="nil"/>
                    <w:tr2bl w:val="nil"/>
                  </w:tcBorders>
                  <w:vAlign w:val="center"/>
                </w:tcPr>
                <w:p w14:paraId="047389C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NO</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X</w:t>
                  </w:r>
                </w:p>
              </w:tc>
              <w:tc>
                <w:tcPr>
                  <w:tcW w:w="1200" w:type="dxa"/>
                  <w:vMerge w:val="continue"/>
                  <w:tcBorders>
                    <w:tl2br w:val="nil"/>
                    <w:tr2bl w:val="nil"/>
                  </w:tcBorders>
                  <w:vAlign w:val="center"/>
                </w:tcPr>
                <w:p w14:paraId="3FC65FCD">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78" w:type="dxa"/>
                  <w:tcBorders>
                    <w:tl2br w:val="nil"/>
                    <w:tr2bl w:val="nil"/>
                  </w:tcBorders>
                  <w:vAlign w:val="center"/>
                </w:tcPr>
                <w:p w14:paraId="0E98F1F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1次/</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月</w:t>
                  </w:r>
                </w:p>
              </w:tc>
              <w:tc>
                <w:tcPr>
                  <w:tcW w:w="3915" w:type="dxa"/>
                  <w:tcBorders>
                    <w:tl2br w:val="nil"/>
                    <w:tr2bl w:val="nil"/>
                  </w:tcBorders>
                  <w:vAlign w:val="center"/>
                </w:tcPr>
                <w:p w14:paraId="07FFE48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3D3282C5">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68" w:type="dxa"/>
                  <w:bottom w:w="0" w:type="dxa"/>
                  <w:right w:w="68" w:type="dxa"/>
                </w:tblCellMar>
              </w:tblPrEx>
              <w:trPr>
                <w:cantSplit/>
                <w:trHeight w:val="381" w:hRule="atLeast"/>
                <w:jc w:val="center"/>
              </w:trPr>
              <w:tc>
                <w:tcPr>
                  <w:tcW w:w="659" w:type="dxa"/>
                  <w:vMerge w:val="continue"/>
                  <w:tcBorders>
                    <w:tl2br w:val="nil"/>
                    <w:tr2bl w:val="nil"/>
                  </w:tcBorders>
                  <w:vAlign w:val="center"/>
                </w:tcPr>
                <w:p w14:paraId="7FCA3813">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91" w:type="dxa"/>
                  <w:tcBorders>
                    <w:tl2br w:val="nil"/>
                    <w:tr2bl w:val="nil"/>
                  </w:tcBorders>
                  <w:vAlign w:val="center"/>
                </w:tcPr>
                <w:p w14:paraId="7907D44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颗粒物</w:t>
                  </w:r>
                </w:p>
              </w:tc>
              <w:tc>
                <w:tcPr>
                  <w:tcW w:w="1200" w:type="dxa"/>
                  <w:tcBorders>
                    <w:tl2br w:val="nil"/>
                    <w:tr2bl w:val="nil"/>
                  </w:tcBorders>
                  <w:vAlign w:val="center"/>
                </w:tcPr>
                <w:p w14:paraId="633A20A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厂界上、下风向</w:t>
                  </w:r>
                </w:p>
              </w:tc>
              <w:tc>
                <w:tcPr>
                  <w:tcW w:w="1078" w:type="dxa"/>
                  <w:tcBorders>
                    <w:tl2br w:val="nil"/>
                    <w:tr2bl w:val="nil"/>
                  </w:tcBorders>
                  <w:vAlign w:val="center"/>
                </w:tcPr>
                <w:p w14:paraId="285482A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1次/</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年</w:t>
                  </w:r>
                </w:p>
              </w:tc>
              <w:tc>
                <w:tcPr>
                  <w:tcW w:w="3915" w:type="dxa"/>
                  <w:tcBorders>
                    <w:tl2br w:val="nil"/>
                    <w:tr2bl w:val="nil"/>
                  </w:tcBorders>
                  <w:vAlign w:val="center"/>
                </w:tcPr>
                <w:p w14:paraId="15736B5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《大气污染物综合排放标准》（GB16297-1996）表2无组织排放监控浓度限值标准</w:t>
                  </w:r>
                </w:p>
              </w:tc>
            </w:tr>
            <w:tr w14:paraId="2133E154">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68" w:type="dxa"/>
                  <w:bottom w:w="0" w:type="dxa"/>
                  <w:right w:w="68" w:type="dxa"/>
                </w:tblCellMar>
              </w:tblPrEx>
              <w:trPr>
                <w:cantSplit/>
                <w:trHeight w:val="381" w:hRule="atLeast"/>
                <w:jc w:val="center"/>
              </w:trPr>
              <w:tc>
                <w:tcPr>
                  <w:tcW w:w="659" w:type="dxa"/>
                  <w:vMerge w:val="continue"/>
                  <w:tcBorders>
                    <w:tl2br w:val="nil"/>
                    <w:tr2bl w:val="nil"/>
                  </w:tcBorders>
                  <w:vAlign w:val="center"/>
                </w:tcPr>
                <w:p w14:paraId="432A0DCE">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91" w:type="dxa"/>
                  <w:tcBorders>
                    <w:tl2br w:val="nil"/>
                    <w:tr2bl w:val="nil"/>
                  </w:tcBorders>
                  <w:vAlign w:val="center"/>
                </w:tcPr>
                <w:p w14:paraId="6F9C18B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颗粒物</w:t>
                  </w:r>
                </w:p>
              </w:tc>
              <w:tc>
                <w:tcPr>
                  <w:tcW w:w="1200" w:type="dxa"/>
                  <w:tcBorders>
                    <w:tl2br w:val="nil"/>
                    <w:tr2bl w:val="nil"/>
                  </w:tcBorders>
                  <w:vAlign w:val="center"/>
                </w:tcPr>
                <w:p w14:paraId="21235B1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热风炉窑旁</w:t>
                  </w:r>
                </w:p>
              </w:tc>
              <w:tc>
                <w:tcPr>
                  <w:tcW w:w="1078" w:type="dxa"/>
                  <w:tcBorders>
                    <w:tl2br w:val="nil"/>
                    <w:tr2bl w:val="nil"/>
                  </w:tcBorders>
                  <w:vAlign w:val="center"/>
                </w:tcPr>
                <w:p w14:paraId="35A528B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1次/年</w:t>
                  </w:r>
                </w:p>
              </w:tc>
              <w:tc>
                <w:tcPr>
                  <w:tcW w:w="3915" w:type="dxa"/>
                  <w:tcBorders>
                    <w:tl2br w:val="nil"/>
                    <w:tr2bl w:val="nil"/>
                  </w:tcBorders>
                  <w:vAlign w:val="center"/>
                </w:tcPr>
                <w:p w14:paraId="3DBAEF7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《工业炉窑大气污染物排放标准》（GB9078-1996）表</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标准</w:t>
                  </w:r>
                </w:p>
              </w:tc>
            </w:tr>
          </w:tbl>
          <w:p w14:paraId="10680200">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（二）污染治理措施</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可行性</w:t>
            </w:r>
            <w:r>
              <w:rPr>
                <w:rFonts w:hint="default" w:ascii="Times New Roman" w:hAnsi="Times New Roman" w:eastAsia="宋体" w:cs="Times New Roman"/>
                <w:color w:val="000000" w:themeColor="text1"/>
                <w:szCs w:val="24"/>
                <w:highlight w:val="none"/>
                <w:lang w:bidi="ar"/>
                <w14:textFill>
                  <w14:solidFill>
                    <w14:schemeClr w14:val="tx1"/>
                  </w14:solidFill>
                </w14:textFill>
              </w:rPr>
              <w:t>及环境影响分析</w:t>
            </w:r>
            <w:r>
              <w:rPr>
                <w:rFonts w:hint="default" w:ascii="Times New Roman" w:hAnsi="Times New Roman" w:eastAsia="宋体" w:cs="Times New Roman"/>
                <w:color w:val="000000" w:themeColor="text1"/>
                <w:szCs w:val="24"/>
                <w:highlight w:val="none"/>
                <w14:textFill>
                  <w14:solidFill>
                    <w14:schemeClr w14:val="tx1"/>
                  </w14:solidFill>
                </w14:textFill>
              </w:rPr>
              <w:t xml:space="preserve"> </w:t>
            </w:r>
          </w:p>
          <w:p w14:paraId="750754B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本项目建成后产生的废气主要包括无组织排放废气主要为</w:t>
            </w:r>
            <w:r>
              <w:rPr>
                <w:rFonts w:hint="eastAsia" w:cs="Times New Roman"/>
                <w:color w:val="000000" w:themeColor="text1"/>
                <w:sz w:val="24"/>
                <w:highlight w:val="none"/>
                <w:lang w:val="en-US" w:eastAsia="zh-CN"/>
                <w14:textFill>
                  <w14:solidFill>
                    <w14:schemeClr w14:val="tx1"/>
                  </w14:solidFill>
                </w14:textFill>
              </w:rPr>
              <w:t>堆存、</w:t>
            </w:r>
            <w:r>
              <w:rPr>
                <w:rFonts w:hint="default" w:ascii="Times New Roman" w:hAnsi="Times New Roman" w:eastAsia="宋体" w:cs="Times New Roman"/>
                <w:color w:val="000000" w:themeColor="text1"/>
                <w:sz w:val="24"/>
                <w:highlight w:val="none"/>
                <w14:textFill>
                  <w14:solidFill>
                    <w14:schemeClr w14:val="tx1"/>
                  </w14:solidFill>
                </w14:textFill>
              </w:rPr>
              <w:t>装卸、输送废气，筛选工段废气，烘干工段废气。有组织排放的热风炉废气。</w:t>
            </w:r>
          </w:p>
          <w:p w14:paraId="154C0C71">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本项目灰渣存放在</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灰渣</w:t>
            </w:r>
            <w:r>
              <w:rPr>
                <w:rFonts w:hint="eastAsia" w:cs="Times New Roman"/>
                <w:color w:val="000000" w:themeColor="text1"/>
                <w:sz w:val="24"/>
                <w:highlight w:val="none"/>
                <w:lang w:val="en-US" w:eastAsia="zh-CN"/>
                <w14:textFill>
                  <w14:solidFill>
                    <w14:schemeClr w14:val="tx1"/>
                  </w14:solidFill>
                </w14:textFill>
              </w:rPr>
              <w:t>间</w:t>
            </w:r>
            <w:r>
              <w:rPr>
                <w:rFonts w:hint="default" w:ascii="Times New Roman" w:hAnsi="Times New Roman" w:eastAsia="宋体" w:cs="Times New Roman"/>
                <w:color w:val="000000" w:themeColor="text1"/>
                <w:sz w:val="24"/>
                <w:highlight w:val="none"/>
                <w14:textFill>
                  <w14:solidFill>
                    <w14:schemeClr w14:val="tx1"/>
                  </w14:solidFill>
                </w14:textFill>
              </w:rPr>
              <w:t>内，密闭存放，及时清运处理，不会产生污染</w:t>
            </w:r>
            <w:r>
              <w:rPr>
                <w:rFonts w:hint="eastAsia" w:cs="Times New Roman"/>
                <w:color w:val="000000" w:themeColor="text1"/>
                <w:sz w:val="24"/>
                <w:highlight w:val="none"/>
                <w:lang w:eastAsia="zh-CN"/>
                <w14:textFill>
                  <w14:solidFill>
                    <w14:schemeClr w14:val="tx1"/>
                  </w14:solidFill>
                </w14:textFill>
              </w:rPr>
              <w:t>。</w:t>
            </w:r>
          </w:p>
          <w:p w14:paraId="4A1F01D5">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①无组织废气</w:t>
            </w:r>
          </w:p>
          <w:p w14:paraId="2F0AA707">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本项目所用提升、输送设备为密闭设备，原粮及烘干后的玉米均采用密闭输送设备输送，运行过程需加强输送设备的管理，做好设备密封工作，定期检修；</w:t>
            </w:r>
            <w:r>
              <w:rPr>
                <w:rFonts w:hint="default" w:ascii="Times New Roman" w:hAnsi="Times New Roman" w:eastAsia="宋体" w:cs="Times New Roman"/>
                <w:color w:val="000000" w:themeColor="text1"/>
                <w:sz w:val="24"/>
                <w:highlight w:val="none"/>
                <w14:textFill>
                  <w14:solidFill>
                    <w14:schemeClr w14:val="tx1"/>
                  </w14:solidFill>
                </w14:textFill>
              </w:rPr>
              <w:t>废气污染源主要为卸粮工序产生的废气，烘干塔废气和热风炉烟气。</w:t>
            </w:r>
          </w:p>
          <w:p w14:paraId="020CA4BF">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eastAsia" w:cs="Times New Roman"/>
                <w:color w:val="000000" w:themeColor="text1"/>
                <w:kern w:val="0"/>
                <w:sz w:val="24"/>
                <w:szCs w:val="24"/>
                <w:highlight w:val="none"/>
                <w:lang w:val="en-US" w:eastAsia="zh-CN" w:bidi="ar"/>
                <w14:textFill>
                  <w14:solidFill>
                    <w14:schemeClr w14:val="tx1"/>
                  </w14:solidFill>
                </w14:textFill>
              </w:rPr>
              <w:t>晾晒</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场加盖苫布，设置防风抑尘网。</w:t>
            </w:r>
            <w:r>
              <w:rPr>
                <w:rFonts w:hint="default" w:ascii="Times New Roman" w:hAnsi="Times New Roman" w:eastAsia="宋体" w:cs="Times New Roman"/>
                <w:color w:val="000000" w:themeColor="text1"/>
                <w:szCs w:val="24"/>
                <w:highlight w:val="none"/>
                <w14:textFill>
                  <w14:solidFill>
                    <w14:schemeClr w14:val="tx1"/>
                  </w14:solidFill>
                </w14:textFill>
              </w:rPr>
              <w:t>原粮卸粮过程中会产生粉尘，由于卸粮粉尘绝大多数将受到重力的作用回落到地面，采取减小装卸高度、密闭输送等降尘措施；</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采用密闭式设备，</w:t>
            </w:r>
            <w:r>
              <w:rPr>
                <w:rFonts w:hint="default" w:ascii="Times New Roman" w:hAnsi="Times New Roman" w:eastAsia="宋体" w:cs="Times New Roman"/>
                <w:color w:val="000000" w:themeColor="text1"/>
                <w:szCs w:val="24"/>
                <w:highlight w:val="none"/>
                <w14:textFill>
                  <w14:solidFill>
                    <w14:schemeClr w14:val="tx1"/>
                  </w14:solidFill>
                </w14:textFill>
              </w:rPr>
              <w:t>烘干塔塔体两侧排气孔设置折流挡板，塔顶排气孔滤尘网过滤能有效控制大粒径粉尘的排放。采取以上措施后可使无组织粉尘排放满足《大气污染物综合排放标准》（GB16297-1996）表2中颗粒物无组织排放监控浓度限值要求</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；炉窑周边无组织颗粒物满足《工业炉窑大气污染物排放标准》（GB9078-1996）表3标准限值。</w:t>
            </w:r>
          </w:p>
          <w:p w14:paraId="145FA842">
            <w:pPr>
              <w:pStyle w:val="56"/>
              <w:keepNext w:val="0"/>
              <w:keepLines w:val="0"/>
              <w:suppressLineNumbers w:val="0"/>
              <w:spacing w:before="0" w:beforeAutospacing="0" w:after="0" w:afterAutospacing="0" w:line="360" w:lineRule="auto"/>
              <w:ind w:left="0" w:right="0" w:firstLine="480"/>
              <w:rPr>
                <w:rFonts w:hint="default"/>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根据《排污许可证申请与核发技术规范 工业炉窑》(HJ1121-2020)要求：严格控制工业炉窑生产工艺过程及相关物料储存、输送等无组织排放，在保障生产安全的前提下，采取密闭、封闭等有效措施，有效提高废气收集率，产尘点及车间不得有可见烟粉尘外逸。本工程灰渣</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密闭存放，</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提升、输送、设备均为密闭设备，</w:t>
            </w:r>
            <w:r>
              <w:rPr>
                <w:rFonts w:hint="default" w:ascii="Times New Roman" w:hAnsi="Times New Roman" w:eastAsia="宋体" w:cs="Times New Roman"/>
                <w:color w:val="000000" w:themeColor="text1"/>
                <w:szCs w:val="24"/>
                <w:highlight w:val="none"/>
                <w14:textFill>
                  <w14:solidFill>
                    <w14:schemeClr w14:val="tx1"/>
                  </w14:solidFill>
                </w14:textFill>
              </w:rPr>
              <w:t>采取减小装卸高度、密闭输送等降尘措施</w:t>
            </w:r>
            <w:r>
              <w:rPr>
                <w:rFonts w:hint="default" w:ascii="Times New Roman" w:hAnsi="Times New Roman" w:eastAsia="宋体" w:cs="Times New Roman"/>
                <w:color w:val="000000" w:themeColor="text1"/>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烘干塔塔体两侧排气孔设置折流挡板，塔顶排气孔</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设</w:t>
            </w:r>
            <w:r>
              <w:rPr>
                <w:rFonts w:hint="default" w:ascii="Times New Roman" w:hAnsi="Times New Roman" w:eastAsia="宋体" w:cs="Times New Roman"/>
                <w:color w:val="000000" w:themeColor="text1"/>
                <w:szCs w:val="24"/>
                <w:highlight w:val="none"/>
                <w14:textFill>
                  <w14:solidFill>
                    <w14:schemeClr w14:val="tx1"/>
                  </w14:solidFill>
                </w14:textFill>
              </w:rPr>
              <w:t>滤尘网</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以上措施</w:t>
            </w:r>
            <w:r>
              <w:rPr>
                <w:rFonts w:hint="default" w:ascii="Times New Roman" w:hAnsi="Times New Roman" w:eastAsia="宋体" w:cs="Times New Roman"/>
                <w:color w:val="000000" w:themeColor="text1"/>
                <w:sz w:val="24"/>
                <w:szCs w:val="24"/>
                <w:highlight w:val="none"/>
                <w14:textFill>
                  <w14:solidFill>
                    <w14:schemeClr w14:val="tx1"/>
                  </w14:solidFill>
                </w14:textFill>
              </w:rPr>
              <w:t>符合《排污许可证申请与核发技术规范 工业炉窑》(HJ1121-2020)无组织粉尘处置的可行技术</w:t>
            </w:r>
            <w:r>
              <w:rPr>
                <w:rFonts w:hint="default" w:ascii="Times New Roman" w:hAnsi="Times New Roman" w:eastAsia="宋体" w:cs="Times New Roman"/>
                <w:bCs/>
                <w:color w:val="000000" w:themeColor="text1"/>
                <w:spacing w:val="-10"/>
                <w:sz w:val="24"/>
                <w:szCs w:val="24"/>
                <w:highlight w:val="none"/>
                <w14:textFill>
                  <w14:solidFill>
                    <w14:schemeClr w14:val="tx1"/>
                  </w14:solidFill>
                </w14:textFill>
              </w:rPr>
              <w:t>。</w:t>
            </w:r>
          </w:p>
          <w:p w14:paraId="469D2E09">
            <w:pPr>
              <w:pStyle w:val="32"/>
              <w:keepNext w:val="0"/>
              <w:keepLines w:val="0"/>
              <w:suppressLineNumbers w:val="0"/>
              <w:spacing w:before="0" w:beforeAutospacing="0" w:afterAutospacing="0"/>
              <w:ind w:left="0" w:right="0" w:firstLine="480" w:firstLineChars="200"/>
              <w:rPr>
                <w:rFonts w:hint="default" w:eastAsia="宋体"/>
                <w:color w:val="000000" w:themeColor="text1"/>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②有组织废气</w:t>
            </w:r>
          </w:p>
          <w:p w14:paraId="7320D2B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kern w:val="0"/>
                <w:sz w:val="24"/>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本项目热风炉烟气经过布袋除尘器（除尘效率</w:t>
            </w:r>
            <w:r>
              <w:rPr>
                <w:rFonts w:hint="eastAsia" w:cs="Times New Roman"/>
                <w:color w:val="000000" w:themeColor="text1"/>
                <w:kern w:val="0"/>
                <w:sz w:val="24"/>
                <w:highlight w:val="none"/>
                <w:lang w:eastAsia="zh-CN" w:bidi="ar"/>
                <w14:textFill>
                  <w14:solidFill>
                    <w14:schemeClr w14:val="tx1"/>
                  </w14:solidFill>
                </w14:textFill>
              </w:rPr>
              <w:t>99.5%</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）处理后</w:t>
            </w:r>
            <w:r>
              <w:rPr>
                <w:rFonts w:hint="default" w:ascii="Times New Roman" w:hAnsi="Times New Roman" w:eastAsia="宋体" w:cs="Times New Roman"/>
                <w:color w:val="000000" w:themeColor="text1"/>
                <w:sz w:val="24"/>
                <w:highlight w:val="none"/>
                <w14:textFill>
                  <w14:solidFill>
                    <w14:schemeClr w14:val="tx1"/>
                  </w14:solidFill>
                </w14:textFill>
              </w:rPr>
              <w:t>由</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1根</w:t>
            </w:r>
            <w:r>
              <w:rPr>
                <w:rFonts w:hint="eastAsia" w:cs="Times New Roman"/>
                <w:color w:val="000000" w:themeColor="text1"/>
                <w:kern w:val="0"/>
                <w:sz w:val="24"/>
                <w:highlight w:val="none"/>
                <w:lang w:val="en-US" w:eastAsia="zh-CN" w:bidi="ar"/>
                <w14:textFill>
                  <w14:solidFill>
                    <w14:schemeClr w14:val="tx1"/>
                  </w14:solidFill>
                </w14:textFill>
              </w:rPr>
              <w:t>15</w:t>
            </w:r>
            <w:r>
              <w:rPr>
                <w:rFonts w:hint="default" w:ascii="Times New Roman" w:hAnsi="Times New Roman" w:eastAsia="宋体" w:cs="Times New Roman"/>
                <w:color w:val="000000" w:themeColor="text1"/>
                <w:kern w:val="0"/>
                <w:sz w:val="24"/>
                <w:highlight w:val="none"/>
                <w:lang w:eastAsia="zh-CN" w:bidi="ar"/>
                <w14:textFill>
                  <w14:solidFill>
                    <w14:schemeClr w14:val="tx1"/>
                  </w14:solidFill>
                </w14:textFill>
              </w:rPr>
              <w:t>m</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高烟囱（</w:t>
            </w:r>
            <w:r>
              <w:rPr>
                <w:rFonts w:hint="eastAsia" w:cs="Times New Roman"/>
                <w:color w:val="000000" w:themeColor="text1"/>
                <w:kern w:val="0"/>
                <w:sz w:val="24"/>
                <w:highlight w:val="none"/>
                <w:lang w:eastAsia="zh-CN" w:bidi="ar"/>
                <w14:textFill>
                  <w14:solidFill>
                    <w14:schemeClr w14:val="tx1"/>
                  </w14:solidFill>
                </w14:textFill>
              </w:rPr>
              <w:t>DA00</w:t>
            </w:r>
            <w:r>
              <w:rPr>
                <w:rFonts w:hint="eastAsia" w:cs="Times New Roman"/>
                <w:color w:val="000000" w:themeColor="text1"/>
                <w:kern w:val="0"/>
                <w:sz w:val="24"/>
                <w:highlight w:val="none"/>
                <w:lang w:val="en-US" w:eastAsia="zh-CN" w:bidi="ar"/>
                <w14:textFill>
                  <w14:solidFill>
                    <w14:schemeClr w14:val="tx1"/>
                  </w14:solidFill>
                </w14:textFill>
              </w:rPr>
              <w:t>1</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）排放，经处理后热风炉烟气中烟尘和烟气黑度排放浓度可以满足《工业炉窑大气污染物排放标准》（GB9078-1996）表2中二级标准要求，SO</w:t>
            </w:r>
            <w:r>
              <w:rPr>
                <w:rFonts w:hint="default" w:ascii="Times New Roman" w:hAnsi="Times New Roman" w:eastAsia="宋体" w:cs="Times New Roman"/>
                <w:color w:val="000000" w:themeColor="text1"/>
                <w:kern w:val="0"/>
                <w:sz w:val="16"/>
                <w:szCs w:val="16"/>
                <w:highlight w:val="none"/>
                <w:vertAlign w:val="baseline"/>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排放浓度可以满足《工业炉窑大气污染物排放标准》（GB9078-1996）表4中二级标准要求。</w:t>
            </w:r>
          </w:p>
          <w:p w14:paraId="781B6B80">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对照</w:t>
            </w:r>
            <w:r>
              <w:rPr>
                <w:rFonts w:hint="default" w:ascii="Times New Roman" w:hAnsi="Times New Roman" w:eastAsia="宋体" w:cs="Times New Roman"/>
                <w:color w:val="000000" w:themeColor="text1"/>
                <w:szCs w:val="24"/>
                <w:highlight w:val="none"/>
                <w14:textFill>
                  <w14:solidFill>
                    <w14:schemeClr w14:val="tx1"/>
                  </w14:solidFill>
                </w14:textFill>
              </w:rPr>
              <w:t>《排污许可证申请与核发技术规范 工业炉窑》（HJ1121</w:t>
            </w:r>
            <w:r>
              <w:rPr>
                <w:rFonts w:hint="eastAsia" w:cs="Times New Roman"/>
                <w:color w:val="000000" w:themeColor="text1"/>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2020）可知，本项目处理热风炉烟气采用的布袋除尘器为袋式除尘器，为其附录A“表A.1废气可行性技术参考表”中的可行技术，即本项目采用布袋除尘器处理可行</w:t>
            </w:r>
            <w:r>
              <w:rPr>
                <w:rFonts w:hint="default" w:ascii="Times New Roman" w:hAnsi="Times New Roman" w:eastAsia="宋体" w:cs="Times New Roman"/>
                <w:color w:val="000000" w:themeColor="text1"/>
                <w:highlight w:val="none"/>
                <w14:textFill>
                  <w14:solidFill>
                    <w14:schemeClr w14:val="tx1"/>
                  </w14:solidFill>
                </w14:textFill>
              </w:rPr>
              <w:t>。</w:t>
            </w:r>
          </w:p>
          <w:p w14:paraId="3868350B">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综上所述，本项目采取的污染防治措施是可行的，产生的大气污染物经上述污染防治措施处理后</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均可达标排放，</w:t>
            </w:r>
            <w:r>
              <w:rPr>
                <w:rFonts w:hint="default" w:ascii="Times New Roman" w:hAnsi="Times New Roman" w:eastAsia="宋体" w:cs="Times New Roman"/>
                <w:color w:val="000000" w:themeColor="text1"/>
                <w:szCs w:val="24"/>
                <w:highlight w:val="none"/>
                <w14:textFill>
                  <w14:solidFill>
                    <w14:schemeClr w14:val="tx1"/>
                  </w14:solidFill>
                </w14:textFill>
              </w:rPr>
              <w:t>对周围</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大气环境保护目标</w:t>
            </w:r>
            <w:r>
              <w:rPr>
                <w:rFonts w:hint="default" w:ascii="Times New Roman" w:hAnsi="Times New Roman" w:eastAsia="宋体" w:cs="Times New Roman"/>
                <w:color w:val="000000" w:themeColor="text1"/>
                <w:szCs w:val="24"/>
                <w:highlight w:val="none"/>
                <w14:textFill>
                  <w14:solidFill>
                    <w14:schemeClr w14:val="tx1"/>
                  </w14:solidFill>
                </w14:textFill>
              </w:rPr>
              <w:t>产生的影响较小，可以接受。</w:t>
            </w:r>
          </w:p>
          <w:p w14:paraId="367138E7">
            <w:pPr>
              <w:keepNext w:val="0"/>
              <w:keepLines w:val="0"/>
              <w:suppressLineNumbers w:val="0"/>
              <w:spacing w:before="0" w:beforeAutospacing="0" w:after="0" w:afterAutospacing="0" w:line="360" w:lineRule="auto"/>
              <w:ind w:left="0" w:right="0" w:firstLine="420" w:firstLineChars="200"/>
              <w:rPr>
                <w:rFonts w:hint="default" w:ascii="Times New Roman" w:hAnsi="Times New Roman" w:eastAsia="宋体" w:cs="Times New Roman"/>
                <w:color w:val="000000" w:themeColor="text1"/>
                <w:szCs w:val="24"/>
                <w:highlight w:val="none"/>
                <w14:textFill>
                  <w14:solidFill>
                    <w14:schemeClr w14:val="tx1"/>
                  </w14:solidFill>
                </w14:textFill>
              </w:rPr>
            </w:pP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（三）</w:t>
            </w:r>
            <w:r>
              <w:rPr>
                <w:rFonts w:hint="default" w:ascii="Times New Roman" w:hAnsi="Times New Roman" w:eastAsia="宋体" w:cs="Times New Roman"/>
                <w:color w:val="000000" w:themeColor="text1"/>
                <w:sz w:val="24"/>
                <w:highlight w:val="none"/>
                <w14:textFill>
                  <w14:solidFill>
                    <w14:schemeClr w14:val="tx1"/>
                  </w14:solidFill>
                </w14:textFill>
              </w:rPr>
              <w:t>烟囱设置合理性分析</w:t>
            </w:r>
          </w:p>
          <w:p w14:paraId="38E1E4D6">
            <w:pPr>
              <w:pStyle w:val="50"/>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spacing w:before="0" w:beforeAutospacing="0" w:after="0" w:afterAutospacing="0" w:line="360" w:lineRule="auto"/>
              <w:ind w:left="0" w:right="0" w:rightChars="0" w:firstLine="480" w:firstLineChars="200"/>
              <w:jc w:val="both"/>
              <w:textAlignment w:val="baseline"/>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根据《工业炉窑大气污染物排放标准》（GB9078-1996）中4.6烟囱高度要求，“各种工业炉窑烟囱（或排气筒）最低允许高度为15m，当烟囱（或排气筒）周围半径200m距离内有建筑物时，烟囱（或排气筒）还应高出最高建筑物3m以上”</w:t>
            </w:r>
            <w:r>
              <w:rPr>
                <w:rFonts w:hint="eastAsia" w:ascii="Times New Roman" w:hAnsi="Times New Roman" w:cs="Times New Roman"/>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本项目热风炉烟囱高度</w:t>
            </w:r>
            <w:r>
              <w:rPr>
                <w:rFonts w:hint="eastAsia" w:ascii="Times New Roman" w:hAnsi="Times New Roman" w:cs="Times New Roman"/>
                <w:color w:val="000000" w:themeColor="text1"/>
                <w:kern w:val="0"/>
                <w:sz w:val="24"/>
                <w:szCs w:val="24"/>
                <w:highlight w:val="none"/>
                <w:lang w:val="en-US" w:eastAsia="zh-CN" w:bidi="ar-SA"/>
                <w14:textFill>
                  <w14:solidFill>
                    <w14:schemeClr w14:val="tx1"/>
                  </w14:solidFill>
                </w14:textFill>
              </w:rPr>
              <w:t>15</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，周边200m范围内最高建筑物建筑高度</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不超过</w:t>
            </w:r>
            <w:r>
              <w:rPr>
                <w:rFonts w:hint="eastAsia" w:ascii="Times New Roman" w:hAnsi="Times New Roman" w:cs="Times New Roman"/>
                <w:color w:val="000000" w:themeColor="text1"/>
                <w:kern w:val="0"/>
                <w:sz w:val="24"/>
                <w:szCs w:val="24"/>
                <w:highlight w:val="none"/>
                <w:lang w:val="en-US" w:eastAsia="zh-CN" w:bidi="ar-SA"/>
                <w14:textFill>
                  <w14:solidFill>
                    <w14:schemeClr w14:val="tx1"/>
                  </w14:solidFill>
                </w14:textFill>
              </w:rPr>
              <w:t>10</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，因此本项目热风炉烟囱符合《工业炉窑大气污染物排放标准》（GB9078-1996）对于工业炉窑烟囱高度的要求。</w:t>
            </w:r>
          </w:p>
          <w:p w14:paraId="31B267B5">
            <w:pPr>
              <w:pStyle w:val="56"/>
              <w:keepNext w:val="0"/>
              <w:keepLines w:val="0"/>
              <w:suppressLineNumbers w:val="0"/>
              <w:spacing w:before="0" w:beforeAutospacing="0" w:after="0" w:afterAutospacing="0" w:line="360" w:lineRule="auto"/>
              <w:ind w:left="0" w:right="0" w:firstLine="482"/>
              <w:rPr>
                <w:rFonts w:hint="default" w:ascii="Times New Roman" w:hAnsi="Times New Roman" w:eastAsia="宋体" w:cs="Times New Roman"/>
                <w:b/>
                <w:bCs/>
                <w:color w:val="000000" w:themeColor="text1"/>
                <w:szCs w:val="24"/>
                <w:highlight w:val="none"/>
                <w14:textFill>
                  <w14:solidFill>
                    <w14:schemeClr w14:val="tx1"/>
                  </w14:solidFill>
                </w14:textFill>
              </w:rPr>
            </w:pPr>
            <w:r>
              <w:rPr>
                <w:rFonts w:hint="default" w:ascii="Times New Roman" w:hAnsi="Times New Roman" w:eastAsia="宋体" w:cs="Times New Roman"/>
                <w:b/>
                <w:bCs/>
                <w:color w:val="000000" w:themeColor="text1"/>
                <w:szCs w:val="24"/>
                <w:highlight w:val="none"/>
                <w14:textFill>
                  <w14:solidFill>
                    <w14:schemeClr w14:val="tx1"/>
                  </w14:solidFill>
                </w14:textFill>
              </w:rPr>
              <w:t>2、废水</w:t>
            </w:r>
          </w:p>
          <w:p w14:paraId="277EC07B">
            <w:pPr>
              <w:pStyle w:val="127"/>
              <w:keepNext w:val="0"/>
              <w:keepLines w:val="0"/>
              <w:suppressLineNumbers w:val="0"/>
              <w:bidi w:val="0"/>
              <w:spacing w:before="0" w:beforeAutospacing="0" w:after="0" w:afterAutospacing="0" w:line="360" w:lineRule="auto"/>
              <w:ind w:left="0" w:right="0"/>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本项目无需生产用水，本项目无新增劳动定员，无新增生活用水使用量，无新增生活污水排放。</w:t>
            </w:r>
          </w:p>
          <w:p w14:paraId="14CE558D">
            <w:pPr>
              <w:pStyle w:val="56"/>
              <w:keepNext w:val="0"/>
              <w:keepLines w:val="0"/>
              <w:suppressLineNumbers w:val="0"/>
              <w:spacing w:before="0" w:beforeAutospacing="0" w:after="0" w:afterAutospacing="0" w:line="360" w:lineRule="auto"/>
              <w:ind w:left="0" w:right="0" w:firstLine="48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现有</w:t>
            </w:r>
            <w:r>
              <w:rPr>
                <w:rFonts w:hint="default" w:ascii="Times New Roman" w:hAnsi="Times New Roman" w:eastAsia="宋体" w:cs="Times New Roman"/>
                <w:color w:val="000000" w:themeColor="text1"/>
                <w:sz w:val="24"/>
                <w:szCs w:val="24"/>
                <w:highlight w:val="none"/>
                <w14:textFill>
                  <w14:solidFill>
                    <w14:schemeClr w14:val="tx1"/>
                  </w14:solidFill>
                </w14:textFill>
              </w:rPr>
              <w:t>排放的废水主要为生活污水，生活污水按照用水量的80%计，则本项目产生的生活污水量为0.3</w:t>
            </w:r>
            <w:r>
              <w:rPr>
                <w:rFonts w:hint="eastAsia"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t/d，</w:t>
            </w:r>
            <w:r>
              <w:rPr>
                <w:rFonts w:hint="eastAsia" w:cs="Times New Roman"/>
                <w:color w:val="000000" w:themeColor="text1"/>
                <w:sz w:val="24"/>
                <w:szCs w:val="24"/>
                <w:highlight w:val="none"/>
                <w:lang w:val="en-US" w:eastAsia="zh-CN"/>
                <w14:textFill>
                  <w14:solidFill>
                    <w14:schemeClr w14:val="tx1"/>
                  </w14:solidFill>
                </w14:textFill>
              </w:rPr>
              <w:t>19.2</w:t>
            </w:r>
            <w:r>
              <w:rPr>
                <w:rFonts w:hint="default" w:ascii="Times New Roman" w:hAnsi="Times New Roman" w:eastAsia="宋体" w:cs="Times New Roman"/>
                <w:color w:val="000000" w:themeColor="text1"/>
                <w:sz w:val="24"/>
                <w:szCs w:val="24"/>
                <w:highlight w:val="none"/>
                <w14:textFill>
                  <w14:solidFill>
                    <w14:schemeClr w14:val="tx1"/>
                  </w14:solidFill>
                </w14:textFill>
              </w:rPr>
              <w:t>t/a。生活污水排入防渗旱厕，定期清掏，外运堆肥，不外排。</w:t>
            </w:r>
          </w:p>
          <w:p w14:paraId="06E20424">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根据《水工业工程设计手册-建筑和小区给排水》中“12.2.2污水水量和水质”中给出的住宅、各类公共建筑污水水质平均浓度，并结合项目特点，本项目生活污水水质参数详见下表。</w:t>
            </w:r>
          </w:p>
          <w:p w14:paraId="42CF6C36">
            <w:pPr>
              <w:pStyle w:val="56"/>
              <w:keepNext w:val="0"/>
              <w:keepLines w:val="0"/>
              <w:suppressLineNumbers w:val="0"/>
              <w:spacing w:before="0" w:beforeAutospacing="0" w:after="0" w:afterAutospacing="0" w:line="240" w:lineRule="auto"/>
              <w:ind w:left="0" w:right="0" w:firstLine="0" w:firstLineChars="0"/>
              <w:contextualSpacing/>
              <w:jc w:val="center"/>
              <w:rPr>
                <w:rFonts w:hint="eastAsia" w:eastAsia="宋体"/>
                <w:b/>
                <w:color w:val="000000" w:themeColor="text1"/>
                <w:sz w:val="21"/>
                <w:szCs w:val="21"/>
                <w:highlight w:val="none"/>
                <w:lang w:val="en-US" w:eastAsia="zh-CN"/>
                <w14:textFill>
                  <w14:solidFill>
                    <w14:schemeClr w14:val="tx1"/>
                  </w14:solidFill>
                </w14:textFill>
              </w:rPr>
            </w:pPr>
            <w:r>
              <w:rPr>
                <w:rFonts w:hint="default" w:eastAsia="宋体"/>
                <w:b/>
                <w:color w:val="000000" w:themeColor="text1"/>
                <w:sz w:val="21"/>
                <w:szCs w:val="21"/>
                <w:highlight w:val="none"/>
                <w14:textFill>
                  <w14:solidFill>
                    <w14:schemeClr w14:val="tx1"/>
                  </w14:solidFill>
                </w14:textFill>
              </w:rPr>
              <w:t>表4-</w:t>
            </w:r>
            <w:r>
              <w:rPr>
                <w:rFonts w:hint="eastAsia" w:eastAsia="宋体"/>
                <w:b/>
                <w:color w:val="000000" w:themeColor="text1"/>
                <w:sz w:val="21"/>
                <w:szCs w:val="21"/>
                <w:highlight w:val="none"/>
                <w:lang w:val="en-US" w:eastAsia="zh-CN"/>
                <w14:textFill>
                  <w14:solidFill>
                    <w14:schemeClr w14:val="tx1"/>
                  </w14:solidFill>
                </w14:textFill>
              </w:rPr>
              <w:t>5</w:t>
            </w:r>
            <w:r>
              <w:rPr>
                <w:rFonts w:hint="default" w:eastAsia="宋体"/>
                <w:b/>
                <w:color w:val="000000" w:themeColor="text1"/>
                <w:sz w:val="21"/>
                <w:szCs w:val="21"/>
                <w:highlight w:val="none"/>
                <w14:textFill>
                  <w14:solidFill>
                    <w14:schemeClr w14:val="tx1"/>
                  </w14:solidFill>
                </w14:textFill>
              </w:rPr>
              <w:t>生活污水水质</w:t>
            </w:r>
            <w:r>
              <w:rPr>
                <w:rFonts w:hint="eastAsia" w:eastAsia="宋体"/>
                <w:b/>
                <w:color w:val="000000" w:themeColor="text1"/>
                <w:sz w:val="21"/>
                <w:szCs w:val="21"/>
                <w:highlight w:val="none"/>
                <w:lang w:val="en-US" w:eastAsia="zh-CN"/>
                <w14:textFill>
                  <w14:solidFill>
                    <w14:schemeClr w14:val="tx1"/>
                  </w14:solidFill>
                </w14:textFill>
              </w:rPr>
              <w:t>参数</w:t>
            </w:r>
          </w:p>
          <w:tbl>
            <w:tblPr>
              <w:tblStyle w:val="36"/>
              <w:tblW w:w="4998"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21"/>
              <w:gridCol w:w="1352"/>
              <w:gridCol w:w="1351"/>
              <w:gridCol w:w="1231"/>
              <w:gridCol w:w="1231"/>
              <w:gridCol w:w="1266"/>
            </w:tblGrid>
            <w:tr w14:paraId="1DA999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7" w:type="pct"/>
                  <w:tcBorders>
                    <w:tl2br w:val="nil"/>
                    <w:tr2bl w:val="nil"/>
                  </w:tcBorders>
                  <w:noWrap w:val="0"/>
                  <w:vAlign w:val="center"/>
                </w:tcPr>
                <w:p w14:paraId="6891A483">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项目</w:t>
                  </w:r>
                </w:p>
              </w:tc>
              <w:tc>
                <w:tcPr>
                  <w:tcW w:w="849" w:type="pct"/>
                  <w:tcBorders>
                    <w:tl2br w:val="nil"/>
                    <w:tr2bl w:val="nil"/>
                  </w:tcBorders>
                  <w:noWrap w:val="0"/>
                  <w:vAlign w:val="center"/>
                </w:tcPr>
                <w:p w14:paraId="70AF8C9E">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CODcr</w:t>
                  </w:r>
                </w:p>
              </w:tc>
              <w:tc>
                <w:tcPr>
                  <w:tcW w:w="848" w:type="pct"/>
                  <w:tcBorders>
                    <w:tl2br w:val="nil"/>
                    <w:tr2bl w:val="nil"/>
                  </w:tcBorders>
                  <w:noWrap w:val="0"/>
                  <w:vAlign w:val="center"/>
                </w:tcPr>
                <w:p w14:paraId="547BD4DC">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BOD5</w:t>
                  </w:r>
                </w:p>
              </w:tc>
              <w:tc>
                <w:tcPr>
                  <w:tcW w:w="774" w:type="pct"/>
                  <w:tcBorders>
                    <w:tl2br w:val="nil"/>
                    <w:tr2bl w:val="nil"/>
                  </w:tcBorders>
                  <w:noWrap w:val="0"/>
                  <w:vAlign w:val="center"/>
                </w:tcPr>
                <w:p w14:paraId="5F31D8E0">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SS</w:t>
                  </w:r>
                </w:p>
              </w:tc>
              <w:tc>
                <w:tcPr>
                  <w:tcW w:w="774" w:type="pct"/>
                  <w:tcBorders>
                    <w:tl2br w:val="nil"/>
                    <w:tr2bl w:val="nil"/>
                  </w:tcBorders>
                  <w:noWrap w:val="0"/>
                  <w:vAlign w:val="center"/>
                </w:tcPr>
                <w:p w14:paraId="413E293A">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氨氮</w:t>
                  </w:r>
                </w:p>
              </w:tc>
              <w:tc>
                <w:tcPr>
                  <w:tcW w:w="796" w:type="pct"/>
                  <w:tcBorders>
                    <w:tl2br w:val="nil"/>
                    <w:tr2bl w:val="nil"/>
                  </w:tcBorders>
                  <w:noWrap w:val="0"/>
                  <w:vAlign w:val="center"/>
                </w:tcPr>
                <w:p w14:paraId="4C5611B8">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pH</w:t>
                  </w:r>
                </w:p>
              </w:tc>
            </w:tr>
            <w:tr w14:paraId="3456F5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7" w:type="pct"/>
                  <w:tcBorders>
                    <w:tl2br w:val="nil"/>
                    <w:tr2bl w:val="nil"/>
                  </w:tcBorders>
                  <w:noWrap w:val="0"/>
                  <w:vAlign w:val="center"/>
                </w:tcPr>
                <w:p w14:paraId="153E7EED">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公共建筑（mg/L）</w:t>
                  </w:r>
                </w:p>
              </w:tc>
              <w:tc>
                <w:tcPr>
                  <w:tcW w:w="849" w:type="pct"/>
                  <w:tcBorders>
                    <w:tl2br w:val="nil"/>
                    <w:tr2bl w:val="nil"/>
                  </w:tcBorders>
                  <w:noWrap w:val="0"/>
                  <w:vAlign w:val="center"/>
                </w:tcPr>
                <w:p w14:paraId="31E546EE">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350~450</w:t>
                  </w:r>
                </w:p>
              </w:tc>
              <w:tc>
                <w:tcPr>
                  <w:tcW w:w="848" w:type="pct"/>
                  <w:tcBorders>
                    <w:tl2br w:val="nil"/>
                    <w:tr2bl w:val="nil"/>
                  </w:tcBorders>
                  <w:noWrap w:val="0"/>
                  <w:vAlign w:val="center"/>
                </w:tcPr>
                <w:p w14:paraId="724B164D">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180~250</w:t>
                  </w:r>
                </w:p>
              </w:tc>
              <w:tc>
                <w:tcPr>
                  <w:tcW w:w="774" w:type="pct"/>
                  <w:tcBorders>
                    <w:tl2br w:val="nil"/>
                    <w:tr2bl w:val="nil"/>
                  </w:tcBorders>
                  <w:noWrap w:val="0"/>
                  <w:vAlign w:val="center"/>
                </w:tcPr>
                <w:p w14:paraId="112FD341">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200~300</w:t>
                  </w:r>
                </w:p>
              </w:tc>
              <w:tc>
                <w:tcPr>
                  <w:tcW w:w="774" w:type="pct"/>
                  <w:tcBorders>
                    <w:tl2br w:val="nil"/>
                    <w:tr2bl w:val="nil"/>
                  </w:tcBorders>
                  <w:noWrap w:val="0"/>
                  <w:vAlign w:val="center"/>
                </w:tcPr>
                <w:p w14:paraId="50F824F9">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35~40</w:t>
                  </w:r>
                </w:p>
              </w:tc>
              <w:tc>
                <w:tcPr>
                  <w:tcW w:w="796" w:type="pct"/>
                  <w:tcBorders>
                    <w:tl2br w:val="nil"/>
                    <w:tr2bl w:val="nil"/>
                  </w:tcBorders>
                  <w:noWrap w:val="0"/>
                  <w:vAlign w:val="center"/>
                </w:tcPr>
                <w:p w14:paraId="2395F6E4">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6.5~7.5</w:t>
                  </w:r>
                </w:p>
              </w:tc>
            </w:tr>
            <w:tr w14:paraId="17590A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7" w:type="pct"/>
                  <w:tcBorders>
                    <w:tl2br w:val="nil"/>
                    <w:tr2bl w:val="nil"/>
                  </w:tcBorders>
                  <w:noWrap w:val="0"/>
                  <w:vAlign w:val="center"/>
                </w:tcPr>
                <w:p w14:paraId="62195F4B">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本项目生活污水（mg/L）</w:t>
                  </w:r>
                </w:p>
              </w:tc>
              <w:tc>
                <w:tcPr>
                  <w:tcW w:w="849" w:type="pct"/>
                  <w:tcBorders>
                    <w:tl2br w:val="nil"/>
                    <w:tr2bl w:val="nil"/>
                  </w:tcBorders>
                  <w:noWrap w:val="0"/>
                  <w:vAlign w:val="center"/>
                </w:tcPr>
                <w:p w14:paraId="0D55CE1A">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450</w:t>
                  </w:r>
                </w:p>
              </w:tc>
              <w:tc>
                <w:tcPr>
                  <w:tcW w:w="848" w:type="pct"/>
                  <w:tcBorders>
                    <w:tl2br w:val="nil"/>
                    <w:tr2bl w:val="nil"/>
                  </w:tcBorders>
                  <w:noWrap w:val="0"/>
                  <w:vAlign w:val="center"/>
                </w:tcPr>
                <w:p w14:paraId="00E3CFCC">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250</w:t>
                  </w:r>
                </w:p>
              </w:tc>
              <w:tc>
                <w:tcPr>
                  <w:tcW w:w="774" w:type="pct"/>
                  <w:tcBorders>
                    <w:tl2br w:val="nil"/>
                    <w:tr2bl w:val="nil"/>
                  </w:tcBorders>
                  <w:noWrap w:val="0"/>
                  <w:vAlign w:val="center"/>
                </w:tcPr>
                <w:p w14:paraId="66773958">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300</w:t>
                  </w:r>
                </w:p>
              </w:tc>
              <w:tc>
                <w:tcPr>
                  <w:tcW w:w="774" w:type="pct"/>
                  <w:tcBorders>
                    <w:tl2br w:val="nil"/>
                    <w:tr2bl w:val="nil"/>
                  </w:tcBorders>
                  <w:noWrap w:val="0"/>
                  <w:vAlign w:val="center"/>
                </w:tcPr>
                <w:p w14:paraId="0C876BD8">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40</w:t>
                  </w:r>
                </w:p>
              </w:tc>
              <w:tc>
                <w:tcPr>
                  <w:tcW w:w="796" w:type="pct"/>
                  <w:tcBorders>
                    <w:tl2br w:val="nil"/>
                    <w:tr2bl w:val="nil"/>
                  </w:tcBorders>
                  <w:noWrap w:val="0"/>
                  <w:vAlign w:val="center"/>
                </w:tcPr>
                <w:p w14:paraId="4E3E25BF">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6.5~7.5</w:t>
                  </w:r>
                </w:p>
              </w:tc>
            </w:tr>
          </w:tbl>
          <w:p w14:paraId="42A1A790">
            <w:pPr>
              <w:pStyle w:val="83"/>
              <w:keepNext w:val="0"/>
              <w:keepLines w:val="0"/>
              <w:suppressLineNumbers w:val="0"/>
              <w:spacing w:before="0" w:beforeAutospacing="0" w:after="0" w:afterAutospacing="0" w:line="240" w:lineRule="auto"/>
              <w:ind w:left="0" w:right="0"/>
              <w:contextualSpacing/>
              <w:rPr>
                <w:rFonts w:hint="eastAsia" w:ascii="Times New Roman" w:hAnsi="Times New Roman" w:eastAsia="宋体"/>
                <w:b/>
                <w:color w:val="000000" w:themeColor="text1"/>
                <w:sz w:val="21"/>
                <w:szCs w:val="21"/>
                <w:highlight w:val="none"/>
                <w:lang w:eastAsia="zh-CN"/>
                <w14:textFill>
                  <w14:solidFill>
                    <w14:schemeClr w14:val="tx1"/>
                  </w14:solidFill>
                </w14:textFill>
              </w:rPr>
            </w:pPr>
            <w:r>
              <w:rPr>
                <w:rFonts w:hint="default" w:ascii="Times New Roman" w:hAnsi="宋体" w:eastAsia="宋体" w:cs="Times New Roman"/>
                <w:b/>
                <w:color w:val="000000" w:themeColor="text1"/>
                <w:sz w:val="21"/>
                <w:szCs w:val="21"/>
                <w:highlight w:val="none"/>
                <w14:textFill>
                  <w14:solidFill>
                    <w14:schemeClr w14:val="tx1"/>
                  </w14:solidFill>
                </w14:textFill>
              </w:rPr>
              <w:t>表4-</w:t>
            </w:r>
            <w:r>
              <w:rPr>
                <w:rFonts w:hint="eastAsia" w:ascii="Times New Roman" w:eastAsia="宋体" w:cs="Times New Roman"/>
                <w:b/>
                <w:color w:val="000000" w:themeColor="text1"/>
                <w:sz w:val="21"/>
                <w:szCs w:val="21"/>
                <w:highlight w:val="none"/>
                <w:lang w:val="en-US" w:eastAsia="zh-CN"/>
                <w14:textFill>
                  <w14:solidFill>
                    <w14:schemeClr w14:val="tx1"/>
                  </w14:solidFill>
                </w14:textFill>
              </w:rPr>
              <w:t>6</w:t>
            </w:r>
            <w:r>
              <w:rPr>
                <w:rFonts w:hint="eastAsia" w:ascii="Times New Roman" w:hAnsi="宋体" w:eastAsia="宋体" w:cs="Times New Roman"/>
                <w:b/>
                <w:color w:val="000000" w:themeColor="text1"/>
                <w:sz w:val="21"/>
                <w:szCs w:val="21"/>
                <w:highlight w:val="none"/>
                <w14:textFill>
                  <w14:solidFill>
                    <w14:schemeClr w14:val="tx1"/>
                  </w14:solidFill>
                </w14:textFill>
              </w:rPr>
              <w:t xml:space="preserve"> </w:t>
            </w:r>
            <w:r>
              <w:rPr>
                <w:rFonts w:hint="default" w:ascii="Times New Roman" w:hAnsi="宋体" w:eastAsia="宋体" w:cs="Times New Roman"/>
                <w:b/>
                <w:color w:val="000000" w:themeColor="text1"/>
                <w:sz w:val="21"/>
                <w:szCs w:val="21"/>
                <w:highlight w:val="none"/>
                <w14:textFill>
                  <w14:solidFill>
                    <w14:schemeClr w14:val="tx1"/>
                  </w14:solidFill>
                </w14:textFill>
              </w:rPr>
              <w:t>废水污染源源强核算结果及相关参数一览表</w:t>
            </w:r>
          </w:p>
          <w:tbl>
            <w:tblPr>
              <w:tblStyle w:val="36"/>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92"/>
              <w:gridCol w:w="537"/>
              <w:gridCol w:w="797"/>
              <w:gridCol w:w="659"/>
              <w:gridCol w:w="609"/>
              <w:gridCol w:w="1107"/>
              <w:gridCol w:w="450"/>
              <w:gridCol w:w="580"/>
              <w:gridCol w:w="573"/>
              <w:gridCol w:w="692"/>
              <w:gridCol w:w="669"/>
              <w:gridCol w:w="683"/>
            </w:tblGrid>
            <w:tr w14:paraId="34317C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372" w:type="pct"/>
                  <w:vMerge w:val="restart"/>
                  <w:noWrap w:val="0"/>
                  <w:vAlign w:val="center"/>
                </w:tcPr>
                <w:p w14:paraId="2EF856F6">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产污环节</w:t>
                  </w:r>
                </w:p>
              </w:tc>
              <w:tc>
                <w:tcPr>
                  <w:tcW w:w="337" w:type="pct"/>
                  <w:vMerge w:val="restart"/>
                  <w:noWrap w:val="0"/>
                  <w:vAlign w:val="center"/>
                </w:tcPr>
                <w:p w14:paraId="6224A544">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类别</w:t>
                  </w:r>
                </w:p>
              </w:tc>
              <w:tc>
                <w:tcPr>
                  <w:tcW w:w="501" w:type="pct"/>
                  <w:vMerge w:val="restart"/>
                  <w:noWrap w:val="0"/>
                  <w:vAlign w:val="center"/>
                </w:tcPr>
                <w:p w14:paraId="6EC17B04">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污染物</w:t>
                  </w:r>
                </w:p>
              </w:tc>
              <w:tc>
                <w:tcPr>
                  <w:tcW w:w="2141" w:type="pct"/>
                  <w:gridSpan w:val="5"/>
                  <w:noWrap w:val="0"/>
                  <w:vAlign w:val="center"/>
                </w:tcPr>
                <w:p w14:paraId="175B2430">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污染物产生情况</w:t>
                  </w:r>
                </w:p>
              </w:tc>
              <w:tc>
                <w:tcPr>
                  <w:tcW w:w="1647" w:type="pct"/>
                  <w:gridSpan w:val="4"/>
                  <w:noWrap w:val="0"/>
                  <w:vAlign w:val="center"/>
                </w:tcPr>
                <w:p w14:paraId="7BB1AF8C">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污染物排放情况</w:t>
                  </w:r>
                </w:p>
              </w:tc>
            </w:tr>
            <w:tr w14:paraId="3E0975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372" w:type="pct"/>
                  <w:vMerge w:val="continue"/>
                  <w:noWrap w:val="0"/>
                  <w:vAlign w:val="center"/>
                </w:tcPr>
                <w:p w14:paraId="48088524">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337" w:type="pct"/>
                  <w:vMerge w:val="continue"/>
                  <w:noWrap w:val="0"/>
                  <w:vAlign w:val="center"/>
                </w:tcPr>
                <w:p w14:paraId="70F3CDA5">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01" w:type="pct"/>
                  <w:vMerge w:val="continue"/>
                  <w:noWrap w:val="0"/>
                  <w:vAlign w:val="center"/>
                </w:tcPr>
                <w:p w14:paraId="43E14892">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14" w:type="pct"/>
                  <w:noWrap w:val="0"/>
                  <w:vAlign w:val="center"/>
                </w:tcPr>
                <w:p w14:paraId="5637F934">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废水</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产生</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量t/a</w:t>
                  </w:r>
                </w:p>
              </w:tc>
              <w:tc>
                <w:tcPr>
                  <w:tcW w:w="383" w:type="pct"/>
                  <w:noWrap w:val="0"/>
                  <w:vAlign w:val="center"/>
                </w:tcPr>
                <w:p w14:paraId="65E27846">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产生浓度mg/L</w:t>
                  </w:r>
                </w:p>
              </w:tc>
              <w:tc>
                <w:tcPr>
                  <w:tcW w:w="696" w:type="pct"/>
                  <w:noWrap w:val="0"/>
                  <w:vAlign w:val="center"/>
                </w:tcPr>
                <w:p w14:paraId="0433EE29">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产生量t/a</w:t>
                  </w:r>
                </w:p>
              </w:tc>
              <w:tc>
                <w:tcPr>
                  <w:tcW w:w="283" w:type="pct"/>
                  <w:noWrap w:val="0"/>
                  <w:vAlign w:val="center"/>
                </w:tcPr>
                <w:p w14:paraId="1FD19068">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处理工艺</w:t>
                  </w:r>
                </w:p>
              </w:tc>
              <w:tc>
                <w:tcPr>
                  <w:tcW w:w="364" w:type="pct"/>
                  <w:noWrap w:val="0"/>
                  <w:vAlign w:val="center"/>
                </w:tcPr>
                <w:p w14:paraId="7B4CC417">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治理效率%</w:t>
                  </w:r>
                </w:p>
              </w:tc>
              <w:tc>
                <w:tcPr>
                  <w:tcW w:w="361" w:type="pct"/>
                  <w:noWrap w:val="0"/>
                  <w:vAlign w:val="center"/>
                </w:tcPr>
                <w:p w14:paraId="605CAC09">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核算方法</w:t>
                  </w:r>
                </w:p>
              </w:tc>
              <w:tc>
                <w:tcPr>
                  <w:tcW w:w="435" w:type="pct"/>
                  <w:noWrap w:val="0"/>
                  <w:vAlign w:val="center"/>
                </w:tcPr>
                <w:p w14:paraId="174C150A">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废水排放量t/a</w:t>
                  </w:r>
                </w:p>
              </w:tc>
              <w:tc>
                <w:tcPr>
                  <w:tcW w:w="420" w:type="pct"/>
                  <w:noWrap w:val="0"/>
                  <w:vAlign w:val="center"/>
                </w:tcPr>
                <w:p w14:paraId="05EA8158">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排放浓度mg/L</w:t>
                  </w:r>
                </w:p>
              </w:tc>
              <w:tc>
                <w:tcPr>
                  <w:tcW w:w="430" w:type="pct"/>
                  <w:noWrap w:val="0"/>
                  <w:vAlign w:val="center"/>
                </w:tcPr>
                <w:p w14:paraId="04940812">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排放量</w:t>
                  </w:r>
                </w:p>
                <w:p w14:paraId="5DCF8980">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t/a</w:t>
                  </w:r>
                </w:p>
              </w:tc>
            </w:tr>
            <w:tr w14:paraId="575E3F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exact"/>
                <w:jc w:val="center"/>
              </w:trPr>
              <w:tc>
                <w:tcPr>
                  <w:tcW w:w="372" w:type="pct"/>
                  <w:vMerge w:val="restart"/>
                  <w:noWrap w:val="0"/>
                  <w:vAlign w:val="center"/>
                </w:tcPr>
                <w:p w14:paraId="0862F094">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员工</w:t>
                  </w:r>
                </w:p>
              </w:tc>
              <w:tc>
                <w:tcPr>
                  <w:tcW w:w="337" w:type="pct"/>
                  <w:vMerge w:val="restart"/>
                  <w:noWrap w:val="0"/>
                  <w:vAlign w:val="center"/>
                </w:tcPr>
                <w:p w14:paraId="01E8E98F">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生活</w:t>
                  </w:r>
                </w:p>
                <w:p w14:paraId="524AA678">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污水</w:t>
                  </w:r>
                </w:p>
              </w:tc>
              <w:tc>
                <w:tcPr>
                  <w:tcW w:w="501" w:type="pct"/>
                  <w:noWrap w:val="0"/>
                  <w:vAlign w:val="center"/>
                </w:tcPr>
                <w:p w14:paraId="5E2DB97D">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COD</w:t>
                  </w:r>
                </w:p>
              </w:tc>
              <w:tc>
                <w:tcPr>
                  <w:tcW w:w="414" w:type="pct"/>
                  <w:vMerge w:val="restart"/>
                  <w:noWrap w:val="0"/>
                  <w:vAlign w:val="center"/>
                </w:tcPr>
                <w:p w14:paraId="743CC744">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19.2</w:t>
                  </w:r>
                </w:p>
              </w:tc>
              <w:tc>
                <w:tcPr>
                  <w:tcW w:w="383" w:type="pct"/>
                  <w:noWrap w:val="0"/>
                  <w:vAlign w:val="center"/>
                </w:tcPr>
                <w:p w14:paraId="33111CDA">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450</w:t>
                  </w:r>
                </w:p>
              </w:tc>
              <w:tc>
                <w:tcPr>
                  <w:tcW w:w="696" w:type="pct"/>
                  <w:noWrap w:val="0"/>
                  <w:vAlign w:val="center"/>
                </w:tcPr>
                <w:p w14:paraId="313ED5EF">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864</w:t>
                  </w:r>
                </w:p>
              </w:tc>
              <w:tc>
                <w:tcPr>
                  <w:tcW w:w="283" w:type="pct"/>
                  <w:noWrap w:val="0"/>
                  <w:vAlign w:val="center"/>
                </w:tcPr>
                <w:p w14:paraId="67C61A97">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364" w:type="pct"/>
                  <w:noWrap w:val="0"/>
                  <w:vAlign w:val="center"/>
                </w:tcPr>
                <w:p w14:paraId="22C85E8F">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361" w:type="pct"/>
                  <w:vMerge w:val="restart"/>
                  <w:noWrap w:val="0"/>
                  <w:vAlign w:val="center"/>
                </w:tcPr>
                <w:p w14:paraId="3AC7CB2B">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435" w:type="pct"/>
                  <w:vMerge w:val="restart"/>
                  <w:noWrap w:val="0"/>
                  <w:vAlign w:val="center"/>
                </w:tcPr>
                <w:p w14:paraId="558F9B7D">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420" w:type="pct"/>
                  <w:noWrap w:val="0"/>
                  <w:vAlign w:val="center"/>
                </w:tcPr>
                <w:p w14:paraId="258234F2">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430" w:type="pct"/>
                  <w:noWrap w:val="0"/>
                  <w:vAlign w:val="center"/>
                </w:tcPr>
                <w:p w14:paraId="79A6CA99">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r>
            <w:tr w14:paraId="36182C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9" w:hRule="exact"/>
                <w:jc w:val="center"/>
              </w:trPr>
              <w:tc>
                <w:tcPr>
                  <w:tcW w:w="372" w:type="pct"/>
                  <w:vMerge w:val="continue"/>
                  <w:noWrap w:val="0"/>
                  <w:vAlign w:val="center"/>
                </w:tcPr>
                <w:p w14:paraId="48068FDA">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337" w:type="pct"/>
                  <w:vMerge w:val="continue"/>
                  <w:noWrap w:val="0"/>
                  <w:vAlign w:val="center"/>
                </w:tcPr>
                <w:p w14:paraId="518E1D01">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01" w:type="pct"/>
                  <w:noWrap w:val="0"/>
                  <w:vAlign w:val="center"/>
                </w:tcPr>
                <w:p w14:paraId="589F73C1">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氨氮</w:t>
                  </w:r>
                </w:p>
              </w:tc>
              <w:tc>
                <w:tcPr>
                  <w:tcW w:w="414" w:type="pct"/>
                  <w:vMerge w:val="continue"/>
                  <w:noWrap w:val="0"/>
                  <w:vAlign w:val="center"/>
                </w:tcPr>
                <w:p w14:paraId="78FB4B6C">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383" w:type="pct"/>
                  <w:noWrap w:val="0"/>
                  <w:vAlign w:val="center"/>
                </w:tcPr>
                <w:p w14:paraId="3EC0086E">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40</w:t>
                  </w:r>
                </w:p>
              </w:tc>
              <w:tc>
                <w:tcPr>
                  <w:tcW w:w="696" w:type="pct"/>
                  <w:noWrap w:val="0"/>
                  <w:vAlign w:val="center"/>
                </w:tcPr>
                <w:p w14:paraId="2A3FBC94">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0.000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768</w:t>
                  </w:r>
                  <w:r>
                    <w:rPr>
                      <w:rFonts w:hint="default" w:ascii="宋体" w:hAnsi="宋体" w:eastAsia="宋体" w:cs="宋体"/>
                      <w:color w:val="000000" w:themeColor="text1"/>
                      <w:sz w:val="24"/>
                      <w:szCs w:val="24"/>
                      <w:highlight w:val="none"/>
                      <w14:textFill>
                        <w14:solidFill>
                          <w14:schemeClr w14:val="tx1"/>
                        </w14:solidFill>
                      </w14:textFill>
                    </w:rPr>
                    <w:t>0.000768</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88</w:t>
                  </w:r>
                </w:p>
              </w:tc>
              <w:tc>
                <w:tcPr>
                  <w:tcW w:w="283" w:type="pct"/>
                  <w:noWrap w:val="0"/>
                  <w:vAlign w:val="center"/>
                </w:tcPr>
                <w:p w14:paraId="32CE0D73">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364" w:type="pct"/>
                  <w:noWrap w:val="0"/>
                  <w:vAlign w:val="center"/>
                </w:tcPr>
                <w:p w14:paraId="3E8FE610">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361" w:type="pct"/>
                  <w:vMerge w:val="continue"/>
                  <w:noWrap w:val="0"/>
                  <w:vAlign w:val="center"/>
                </w:tcPr>
                <w:p w14:paraId="519C7DB5">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35" w:type="pct"/>
                  <w:vMerge w:val="continue"/>
                  <w:noWrap w:val="0"/>
                  <w:vAlign w:val="center"/>
                </w:tcPr>
                <w:p w14:paraId="6D28BB78">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20" w:type="pct"/>
                  <w:noWrap w:val="0"/>
                  <w:vAlign w:val="center"/>
                </w:tcPr>
                <w:p w14:paraId="438775A1">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430" w:type="pct"/>
                  <w:noWrap w:val="0"/>
                  <w:vAlign w:val="center"/>
                </w:tcPr>
                <w:p w14:paraId="3B3E1564">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r>
            <w:tr w14:paraId="3909CA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8" w:hRule="exact"/>
                <w:jc w:val="center"/>
              </w:trPr>
              <w:tc>
                <w:tcPr>
                  <w:tcW w:w="372" w:type="pct"/>
                  <w:vMerge w:val="continue"/>
                  <w:noWrap w:val="0"/>
                  <w:vAlign w:val="center"/>
                </w:tcPr>
                <w:p w14:paraId="28AFD4A3">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337" w:type="pct"/>
                  <w:vMerge w:val="continue"/>
                  <w:noWrap w:val="0"/>
                  <w:vAlign w:val="center"/>
                </w:tcPr>
                <w:p w14:paraId="4DF3872B">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01" w:type="pct"/>
                  <w:noWrap w:val="0"/>
                  <w:vAlign w:val="center"/>
                </w:tcPr>
                <w:p w14:paraId="3146033F">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SS</w:t>
                  </w:r>
                </w:p>
              </w:tc>
              <w:tc>
                <w:tcPr>
                  <w:tcW w:w="414" w:type="pct"/>
                  <w:vMerge w:val="continue"/>
                  <w:noWrap w:val="0"/>
                  <w:vAlign w:val="center"/>
                </w:tcPr>
                <w:p w14:paraId="415BBC2A">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383" w:type="pct"/>
                  <w:noWrap w:val="0"/>
                  <w:vAlign w:val="center"/>
                </w:tcPr>
                <w:p w14:paraId="3DD42085">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300</w:t>
                  </w:r>
                </w:p>
              </w:tc>
              <w:tc>
                <w:tcPr>
                  <w:tcW w:w="696" w:type="pct"/>
                  <w:noWrap w:val="0"/>
                  <w:vAlign w:val="center"/>
                </w:tcPr>
                <w:p w14:paraId="41029CD2">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576</w:t>
                  </w:r>
                </w:p>
              </w:tc>
              <w:tc>
                <w:tcPr>
                  <w:tcW w:w="283" w:type="pct"/>
                  <w:noWrap w:val="0"/>
                  <w:vAlign w:val="center"/>
                </w:tcPr>
                <w:p w14:paraId="76B1844C">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364" w:type="pct"/>
                  <w:noWrap w:val="0"/>
                  <w:vAlign w:val="center"/>
                </w:tcPr>
                <w:p w14:paraId="2CC5BBAC">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361" w:type="pct"/>
                  <w:vMerge w:val="continue"/>
                  <w:noWrap w:val="0"/>
                  <w:vAlign w:val="center"/>
                </w:tcPr>
                <w:p w14:paraId="2331DD60">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35" w:type="pct"/>
                  <w:vMerge w:val="continue"/>
                  <w:noWrap w:val="0"/>
                  <w:vAlign w:val="center"/>
                </w:tcPr>
                <w:p w14:paraId="39578DC3">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20" w:type="pct"/>
                  <w:noWrap w:val="0"/>
                  <w:vAlign w:val="center"/>
                </w:tcPr>
                <w:p w14:paraId="65BCAEB0">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430" w:type="pct"/>
                  <w:noWrap w:val="0"/>
                  <w:vAlign w:val="center"/>
                </w:tcPr>
                <w:p w14:paraId="1C8E5FC0">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r>
            <w:tr w14:paraId="77A47C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372" w:type="pct"/>
                  <w:vMerge w:val="continue"/>
                  <w:noWrap w:val="0"/>
                  <w:vAlign w:val="center"/>
                </w:tcPr>
                <w:p w14:paraId="13DC2ACE">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337" w:type="pct"/>
                  <w:vMerge w:val="continue"/>
                  <w:noWrap w:val="0"/>
                  <w:vAlign w:val="center"/>
                </w:tcPr>
                <w:p w14:paraId="2C8F9BD1">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501" w:type="pct"/>
                  <w:noWrap w:val="0"/>
                  <w:vAlign w:val="center"/>
                </w:tcPr>
                <w:p w14:paraId="0ED41F26">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BOD</w:t>
                  </w:r>
                  <w:r>
                    <w:rPr>
                      <w:rFonts w:hint="default" w:ascii="Times New Roman" w:hAnsi="Times New Roman" w:eastAsia="宋体" w:cs="Times New Roman"/>
                      <w:color w:val="000000" w:themeColor="text1"/>
                      <w:sz w:val="21"/>
                      <w:szCs w:val="21"/>
                      <w:highlight w:val="none"/>
                      <w:vertAlign w:val="subscript"/>
                      <w:lang w:val="en-US" w:eastAsia="zh-CN"/>
                      <w14:textFill>
                        <w14:solidFill>
                          <w14:schemeClr w14:val="tx1"/>
                        </w14:solidFill>
                      </w14:textFill>
                    </w:rPr>
                    <w:t>5</w:t>
                  </w:r>
                </w:p>
              </w:tc>
              <w:tc>
                <w:tcPr>
                  <w:tcW w:w="414" w:type="pct"/>
                  <w:vMerge w:val="continue"/>
                  <w:noWrap w:val="0"/>
                  <w:vAlign w:val="center"/>
                </w:tcPr>
                <w:p w14:paraId="61369D0C">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383" w:type="pct"/>
                  <w:noWrap w:val="0"/>
                  <w:vAlign w:val="center"/>
                </w:tcPr>
                <w:p w14:paraId="188A526A">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250</w:t>
                  </w:r>
                </w:p>
              </w:tc>
              <w:tc>
                <w:tcPr>
                  <w:tcW w:w="696" w:type="pct"/>
                  <w:noWrap w:val="0"/>
                  <w:vAlign w:val="center"/>
                </w:tcPr>
                <w:p w14:paraId="08E87190">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48</w:t>
                  </w:r>
                </w:p>
              </w:tc>
              <w:tc>
                <w:tcPr>
                  <w:tcW w:w="283" w:type="pct"/>
                  <w:noWrap w:val="0"/>
                  <w:vAlign w:val="center"/>
                </w:tcPr>
                <w:p w14:paraId="0409A2DA">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364" w:type="pct"/>
                  <w:noWrap w:val="0"/>
                  <w:vAlign w:val="center"/>
                </w:tcPr>
                <w:p w14:paraId="0DB261B1">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361" w:type="pct"/>
                  <w:vMerge w:val="continue"/>
                  <w:noWrap w:val="0"/>
                  <w:vAlign w:val="center"/>
                </w:tcPr>
                <w:p w14:paraId="0DB9EC22">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35" w:type="pct"/>
                  <w:vMerge w:val="continue"/>
                  <w:noWrap w:val="0"/>
                  <w:vAlign w:val="center"/>
                </w:tcPr>
                <w:p w14:paraId="2331B7A1">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20" w:type="pct"/>
                  <w:noWrap w:val="0"/>
                  <w:vAlign w:val="center"/>
                </w:tcPr>
                <w:p w14:paraId="3F48C7FC">
                  <w:pPr>
                    <w:pStyle w:val="8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430" w:type="pct"/>
                  <w:noWrap w:val="0"/>
                  <w:vAlign w:val="center"/>
                </w:tcPr>
                <w:p w14:paraId="12ECE1E0">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r>
          </w:tbl>
          <w:p w14:paraId="1DB32296">
            <w:pPr>
              <w:pStyle w:val="56"/>
              <w:keepNext w:val="0"/>
              <w:keepLines w:val="0"/>
              <w:suppressLineNumbers w:val="0"/>
              <w:spacing w:before="0" w:beforeAutospacing="0" w:after="0" w:afterAutospacing="0" w:line="360" w:lineRule="auto"/>
              <w:ind w:left="0" w:right="0" w:firstLine="482"/>
              <w:rPr>
                <w:rFonts w:hint="default" w:ascii="Times New Roman" w:hAnsi="Times New Roman" w:eastAsia="宋体" w:cs="Times New Roman"/>
                <w:b/>
                <w:bCs/>
                <w:color w:val="000000" w:themeColor="text1"/>
                <w:szCs w:val="24"/>
                <w:highlight w:val="none"/>
                <w14:textFill>
                  <w14:solidFill>
                    <w14:schemeClr w14:val="tx1"/>
                  </w14:solidFill>
                </w14:textFill>
              </w:rPr>
            </w:pPr>
            <w:r>
              <w:rPr>
                <w:rFonts w:hint="default" w:ascii="Times New Roman" w:hAnsi="Times New Roman" w:eastAsia="宋体" w:cs="Times New Roman"/>
                <w:b/>
                <w:bCs/>
                <w:color w:val="000000" w:themeColor="text1"/>
                <w:szCs w:val="24"/>
                <w:highlight w:val="none"/>
                <w14:textFill>
                  <w14:solidFill>
                    <w14:schemeClr w14:val="tx1"/>
                  </w14:solidFill>
                </w14:textFill>
              </w:rPr>
              <w:t>3、噪声</w:t>
            </w:r>
          </w:p>
          <w:p w14:paraId="4D4BA16C">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（一）源强核算</w:t>
            </w:r>
          </w:p>
          <w:p w14:paraId="653B5EE8">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highlight w:val="none"/>
                <w:lang w:bidi="ar"/>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本项目噪声源主要为风机</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滚筒筛</w:t>
            </w:r>
            <w:r>
              <w:rPr>
                <w:rFonts w:hint="default" w:ascii="Times New Roman" w:hAnsi="Times New Roman" w:eastAsia="宋体" w:cs="Times New Roman"/>
                <w:color w:val="000000" w:themeColor="text1"/>
                <w:sz w:val="24"/>
                <w:szCs w:val="24"/>
                <w:highlight w:val="none"/>
                <w14:textFill>
                  <w14:solidFill>
                    <w14:schemeClr w14:val="tx1"/>
                  </w14:solidFill>
                </w14:textFill>
              </w:rPr>
              <w:t>等设备，</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参照《污染源源强核算技术指南 锅炉》（HJ991-2018）中附录E锅炉相关设备噪声源强参考值、</w:t>
            </w:r>
            <w:r>
              <w:rPr>
                <w:rFonts w:hint="default" w:ascii="Times New Roman" w:hAnsi="Times New Roman" w:eastAsia="宋体" w:cs="Times New Roman"/>
                <w:color w:val="000000" w:themeColor="text1"/>
                <w:sz w:val="24"/>
                <w:highlight w:val="none"/>
                <w14:textFill>
                  <w14:solidFill>
                    <w14:schemeClr w14:val="tx1"/>
                  </w14:solidFill>
                </w14:textFill>
              </w:rPr>
              <w:t>根据设备类型经查找资料</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及类比现有工程设备情况</w:t>
            </w:r>
            <w:r>
              <w:rPr>
                <w:rFonts w:hint="default" w:ascii="Times New Roman" w:hAnsi="Times New Roman" w:eastAsia="宋体" w:cs="Times New Roman"/>
                <w:color w:val="000000" w:themeColor="text1"/>
                <w:sz w:val="24"/>
                <w:highlight w:val="none"/>
                <w14:textFill>
                  <w14:solidFill>
                    <w14:schemeClr w14:val="tx1"/>
                  </w14:solidFill>
                </w14:textFill>
              </w:rPr>
              <w:t>可知，</w:t>
            </w:r>
            <w:r>
              <w:rPr>
                <w:rFonts w:hint="default" w:ascii="Times New Roman" w:hAnsi="Times New Roman" w:eastAsia="宋体" w:cs="Times New Roman"/>
                <w:color w:val="000000" w:themeColor="text1"/>
                <w:sz w:val="24"/>
                <w:szCs w:val="24"/>
                <w:highlight w:val="none"/>
                <w14:textFill>
                  <w14:solidFill>
                    <w14:schemeClr w14:val="tx1"/>
                  </w14:solidFill>
                </w14:textFill>
              </w:rPr>
              <w:t>噪声值在70～85dB(A)之间，</w:t>
            </w:r>
            <w:r>
              <w:rPr>
                <w:rFonts w:hint="default" w:ascii="Times New Roman" w:hAnsi="Times New Roman" w:eastAsia="宋体" w:cs="Times New Roman"/>
                <w:color w:val="000000" w:themeColor="text1"/>
                <w:sz w:val="24"/>
                <w:szCs w:val="24"/>
                <w:highlight w:val="none"/>
                <w:lang w:bidi="ar"/>
                <w14:textFill>
                  <w14:solidFill>
                    <w14:schemeClr w14:val="tx1"/>
                  </w14:solidFill>
                </w14:textFill>
              </w:rPr>
              <w:t>噪声</w:t>
            </w:r>
            <w:r>
              <w:rPr>
                <w:rFonts w:hint="default" w:ascii="Times New Roman" w:hAnsi="Times New Roman" w:eastAsia="宋体" w:cs="Times New Roman"/>
                <w:color w:val="000000" w:themeColor="text1"/>
                <w:sz w:val="24"/>
                <w:szCs w:val="24"/>
                <w:highlight w:val="none"/>
                <w14:textFill>
                  <w14:solidFill>
                    <w14:schemeClr w14:val="tx1"/>
                  </w14:solidFill>
                </w14:textFill>
              </w:rPr>
              <w:t>源强见</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下表</w:t>
            </w:r>
            <w:r>
              <w:rPr>
                <w:rFonts w:hint="default" w:ascii="Times New Roman" w:hAnsi="Times New Roman" w:eastAsia="宋体" w:cs="Times New Roman"/>
                <w:color w:val="000000" w:themeColor="text1"/>
                <w:sz w:val="24"/>
                <w:szCs w:val="24"/>
                <w:highlight w:val="none"/>
                <w:lang w:bidi="ar"/>
                <w14:textFill>
                  <w14:solidFill>
                    <w14:schemeClr w14:val="tx1"/>
                  </w14:solidFill>
                </w14:textFill>
              </w:rPr>
              <w:t>。</w:t>
            </w:r>
          </w:p>
          <w:p w14:paraId="6C0FF028">
            <w:pPr>
              <w:pStyle w:val="56"/>
              <w:keepNext w:val="0"/>
              <w:keepLines w:val="0"/>
              <w:suppressLineNumbers w:val="0"/>
              <w:adjustRightInd w:val="0"/>
              <w:snapToGrid w:val="0"/>
              <w:spacing w:before="0" w:beforeAutospacing="0" w:after="0" w:afterAutospacing="0" w:line="500" w:lineRule="atLeast"/>
              <w:ind w:left="0" w:leftChars="0" w:right="0" w:firstLine="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表4-</w:t>
            </w:r>
            <w:r>
              <w:rPr>
                <w:rFonts w:hint="eastAsia" w:cs="Times New Roman"/>
                <w:b/>
                <w:color w:val="000000" w:themeColor="text1"/>
                <w:kern w:val="2"/>
                <w:sz w:val="21"/>
                <w:szCs w:val="21"/>
                <w:highlight w:val="none"/>
                <w:lang w:val="en-US" w:eastAsia="zh-CN" w:bidi="ar-SA"/>
                <w14:textFill>
                  <w14:solidFill>
                    <w14:schemeClr w14:val="tx1"/>
                  </w14:solidFill>
                </w14:textFill>
              </w:rPr>
              <w:t>7</w:t>
            </w:r>
            <w: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 xml:space="preserve"> 工业企业噪声源强调查清单（室外声源）单位：dB（A）</w:t>
            </w:r>
          </w:p>
          <w:tbl>
            <w:tblPr>
              <w:tblStyle w:val="35"/>
              <w:tblW w:w="776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14"/>
              <w:gridCol w:w="1129"/>
              <w:gridCol w:w="662"/>
              <w:gridCol w:w="516"/>
              <w:gridCol w:w="580"/>
              <w:gridCol w:w="500"/>
              <w:gridCol w:w="1145"/>
              <w:gridCol w:w="1726"/>
              <w:gridCol w:w="897"/>
            </w:tblGrid>
            <w:tr w14:paraId="580F97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614" w:type="dxa"/>
                  <w:vMerge w:val="restart"/>
                  <w:tcBorders>
                    <w:tl2br w:val="nil"/>
                    <w:tr2bl w:val="nil"/>
                  </w:tcBorders>
                  <w:noWrap w:val="0"/>
                  <w:vAlign w:val="center"/>
                </w:tcPr>
                <w:p w14:paraId="6F106D2A">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14:textFill>
                        <w14:solidFill>
                          <w14:schemeClr w14:val="tx1"/>
                        </w14:solidFill>
                      </w14:textFill>
                    </w:rPr>
                    <w:t>序号</w:t>
                  </w:r>
                </w:p>
              </w:tc>
              <w:tc>
                <w:tcPr>
                  <w:tcW w:w="1129" w:type="dxa"/>
                  <w:vMerge w:val="restart"/>
                  <w:tcBorders>
                    <w:tl2br w:val="nil"/>
                    <w:tr2bl w:val="nil"/>
                  </w:tcBorders>
                  <w:noWrap w:val="0"/>
                  <w:vAlign w:val="center"/>
                </w:tcPr>
                <w:p w14:paraId="10F39229">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14:textFill>
                        <w14:solidFill>
                          <w14:schemeClr w14:val="tx1"/>
                        </w14:solidFill>
                      </w14:textFill>
                    </w:rPr>
                    <w:t>声源名称</w:t>
                  </w:r>
                </w:p>
              </w:tc>
              <w:tc>
                <w:tcPr>
                  <w:tcW w:w="662" w:type="dxa"/>
                  <w:vMerge w:val="restart"/>
                  <w:tcBorders>
                    <w:tl2br w:val="nil"/>
                    <w:tr2bl w:val="nil"/>
                  </w:tcBorders>
                  <w:noWrap w:val="0"/>
                  <w:vAlign w:val="center"/>
                </w:tcPr>
                <w:p w14:paraId="37ADE9ED">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14:textFill>
                        <w14:solidFill>
                          <w14:schemeClr w14:val="tx1"/>
                        </w14:solidFill>
                      </w14:textFill>
                    </w:rPr>
                    <w:t>型号</w:t>
                  </w:r>
                </w:p>
              </w:tc>
              <w:tc>
                <w:tcPr>
                  <w:tcW w:w="1596" w:type="dxa"/>
                  <w:gridSpan w:val="3"/>
                  <w:tcBorders>
                    <w:tl2br w:val="nil"/>
                    <w:tr2bl w:val="nil"/>
                  </w:tcBorders>
                  <w:noWrap w:val="0"/>
                  <w:vAlign w:val="center"/>
                </w:tcPr>
                <w:p w14:paraId="3F56FF64">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14:textFill>
                        <w14:solidFill>
                          <w14:schemeClr w14:val="tx1"/>
                        </w14:solidFill>
                      </w14:textFill>
                    </w:rPr>
                    <w:t>空间相对位置/m</w:t>
                  </w:r>
                </w:p>
              </w:tc>
              <w:tc>
                <w:tcPr>
                  <w:tcW w:w="1145" w:type="dxa"/>
                  <w:vMerge w:val="restart"/>
                  <w:tcBorders>
                    <w:tl2br w:val="nil"/>
                    <w:tr2bl w:val="nil"/>
                  </w:tcBorders>
                  <w:noWrap w:val="0"/>
                  <w:vAlign w:val="center"/>
                </w:tcPr>
                <w:p w14:paraId="499F2597">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14:textFill>
                        <w14:solidFill>
                          <w14:schemeClr w14:val="tx1"/>
                        </w14:solidFill>
                      </w14:textFill>
                    </w:rPr>
                    <w:t>声源源强（声压级/dB（A））</w:t>
                  </w:r>
                </w:p>
              </w:tc>
              <w:tc>
                <w:tcPr>
                  <w:tcW w:w="1726" w:type="dxa"/>
                  <w:vMerge w:val="restart"/>
                  <w:tcBorders>
                    <w:tl2br w:val="nil"/>
                    <w:tr2bl w:val="nil"/>
                  </w:tcBorders>
                  <w:noWrap w:val="0"/>
                  <w:vAlign w:val="center"/>
                </w:tcPr>
                <w:p w14:paraId="0C088D4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声源控制措施</w:t>
                  </w:r>
                </w:p>
              </w:tc>
              <w:tc>
                <w:tcPr>
                  <w:tcW w:w="897" w:type="dxa"/>
                  <w:vMerge w:val="restart"/>
                  <w:tcBorders>
                    <w:tl2br w:val="nil"/>
                    <w:tr2bl w:val="nil"/>
                  </w:tcBorders>
                  <w:noWrap w:val="0"/>
                  <w:vAlign w:val="center"/>
                </w:tcPr>
                <w:p w14:paraId="3572B25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运行时段</w:t>
                  </w:r>
                </w:p>
              </w:tc>
            </w:tr>
            <w:tr w14:paraId="57300F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614" w:type="dxa"/>
                  <w:vMerge w:val="continue"/>
                  <w:tcBorders>
                    <w:tl2br w:val="nil"/>
                    <w:tr2bl w:val="nil"/>
                  </w:tcBorders>
                  <w:noWrap w:val="0"/>
                  <w:vAlign w:val="center"/>
                </w:tcPr>
                <w:p w14:paraId="407E04C5">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u w:val="none"/>
                      <w14:textFill>
                        <w14:solidFill>
                          <w14:schemeClr w14:val="tx1"/>
                        </w14:solidFill>
                      </w14:textFill>
                    </w:rPr>
                  </w:pPr>
                </w:p>
              </w:tc>
              <w:tc>
                <w:tcPr>
                  <w:tcW w:w="1129" w:type="dxa"/>
                  <w:vMerge w:val="continue"/>
                  <w:tcBorders>
                    <w:tl2br w:val="nil"/>
                    <w:tr2bl w:val="nil"/>
                  </w:tcBorders>
                  <w:noWrap w:val="0"/>
                  <w:vAlign w:val="center"/>
                </w:tcPr>
                <w:p w14:paraId="1CB1A30C">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u w:val="none"/>
                      <w14:textFill>
                        <w14:solidFill>
                          <w14:schemeClr w14:val="tx1"/>
                        </w14:solidFill>
                      </w14:textFill>
                    </w:rPr>
                  </w:pPr>
                </w:p>
              </w:tc>
              <w:tc>
                <w:tcPr>
                  <w:tcW w:w="662" w:type="dxa"/>
                  <w:vMerge w:val="continue"/>
                  <w:tcBorders>
                    <w:tl2br w:val="nil"/>
                    <w:tr2bl w:val="nil"/>
                  </w:tcBorders>
                  <w:noWrap w:val="0"/>
                  <w:vAlign w:val="center"/>
                </w:tcPr>
                <w:p w14:paraId="0AD1A425">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u w:val="none"/>
                      <w14:textFill>
                        <w14:solidFill>
                          <w14:schemeClr w14:val="tx1"/>
                        </w14:solidFill>
                      </w14:textFill>
                    </w:rPr>
                  </w:pPr>
                </w:p>
              </w:tc>
              <w:tc>
                <w:tcPr>
                  <w:tcW w:w="516" w:type="dxa"/>
                  <w:tcBorders>
                    <w:tl2br w:val="nil"/>
                    <w:tr2bl w:val="nil"/>
                  </w:tcBorders>
                  <w:noWrap w:val="0"/>
                  <w:vAlign w:val="center"/>
                </w:tcPr>
                <w:p w14:paraId="620E991D">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14:textFill>
                        <w14:solidFill>
                          <w14:schemeClr w14:val="tx1"/>
                        </w14:solidFill>
                      </w14:textFill>
                    </w:rPr>
                    <w:t>X</w:t>
                  </w:r>
                </w:p>
              </w:tc>
              <w:tc>
                <w:tcPr>
                  <w:tcW w:w="580" w:type="dxa"/>
                  <w:tcBorders>
                    <w:tl2br w:val="nil"/>
                    <w:tr2bl w:val="nil"/>
                  </w:tcBorders>
                  <w:noWrap w:val="0"/>
                  <w:vAlign w:val="center"/>
                </w:tcPr>
                <w:p w14:paraId="2F878DFB">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14:textFill>
                        <w14:solidFill>
                          <w14:schemeClr w14:val="tx1"/>
                        </w14:solidFill>
                      </w14:textFill>
                    </w:rPr>
                    <w:t>Y</w:t>
                  </w:r>
                </w:p>
              </w:tc>
              <w:tc>
                <w:tcPr>
                  <w:tcW w:w="500" w:type="dxa"/>
                  <w:tcBorders>
                    <w:tl2br w:val="nil"/>
                    <w:tr2bl w:val="nil"/>
                  </w:tcBorders>
                  <w:noWrap w:val="0"/>
                  <w:vAlign w:val="center"/>
                </w:tcPr>
                <w:p w14:paraId="2A7F85D8">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14:textFill>
                        <w14:solidFill>
                          <w14:schemeClr w14:val="tx1"/>
                        </w14:solidFill>
                      </w14:textFill>
                    </w:rPr>
                    <w:t>Z</w:t>
                  </w:r>
                </w:p>
              </w:tc>
              <w:tc>
                <w:tcPr>
                  <w:tcW w:w="1145" w:type="dxa"/>
                  <w:vMerge w:val="continue"/>
                  <w:tcBorders>
                    <w:tl2br w:val="nil"/>
                    <w:tr2bl w:val="nil"/>
                  </w:tcBorders>
                  <w:noWrap w:val="0"/>
                  <w:vAlign w:val="center"/>
                </w:tcPr>
                <w:p w14:paraId="1DAAFEB4">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u w:val="none"/>
                      <w14:textFill>
                        <w14:solidFill>
                          <w14:schemeClr w14:val="tx1"/>
                        </w14:solidFill>
                      </w14:textFill>
                    </w:rPr>
                  </w:pPr>
                </w:p>
              </w:tc>
              <w:tc>
                <w:tcPr>
                  <w:tcW w:w="1726" w:type="dxa"/>
                  <w:vMerge w:val="continue"/>
                  <w:tcBorders>
                    <w:tl2br w:val="nil"/>
                    <w:tr2bl w:val="nil"/>
                  </w:tcBorders>
                  <w:noWrap w:val="0"/>
                  <w:vAlign w:val="center"/>
                </w:tcPr>
                <w:p w14:paraId="088DCCE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897" w:type="dxa"/>
                  <w:vMerge w:val="continue"/>
                  <w:tcBorders>
                    <w:tl2br w:val="nil"/>
                    <w:tr2bl w:val="nil"/>
                  </w:tcBorders>
                  <w:noWrap w:val="0"/>
                  <w:vAlign w:val="center"/>
                </w:tcPr>
                <w:p w14:paraId="346FD27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r>
            <w:tr w14:paraId="159314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14" w:type="dxa"/>
                  <w:tcBorders>
                    <w:tl2br w:val="nil"/>
                    <w:tr2bl w:val="nil"/>
                  </w:tcBorders>
                  <w:noWrap w:val="0"/>
                  <w:vAlign w:val="center"/>
                </w:tcPr>
                <w:p w14:paraId="2D5703A0">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14:textFill>
                        <w14:solidFill>
                          <w14:schemeClr w14:val="tx1"/>
                        </w14:solidFill>
                      </w14:textFill>
                    </w:rPr>
                    <w:t>1</w:t>
                  </w:r>
                </w:p>
              </w:tc>
              <w:tc>
                <w:tcPr>
                  <w:tcW w:w="1129" w:type="dxa"/>
                  <w:tcBorders>
                    <w:tl2br w:val="nil"/>
                    <w:tr2bl w:val="nil"/>
                  </w:tcBorders>
                  <w:noWrap w:val="0"/>
                  <w:vAlign w:val="center"/>
                </w:tcPr>
                <w:p w14:paraId="347CE68E">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sz w:val="21"/>
                      <w:szCs w:val="21"/>
                      <w:highlight w:val="none"/>
                      <w:u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14:textFill>
                        <w14:solidFill>
                          <w14:schemeClr w14:val="tx1"/>
                        </w14:solidFill>
                      </w14:textFill>
                    </w:rPr>
                    <w:t>烘干塔</w:t>
                  </w:r>
                </w:p>
              </w:tc>
              <w:tc>
                <w:tcPr>
                  <w:tcW w:w="662" w:type="dxa"/>
                  <w:tcBorders>
                    <w:tl2br w:val="nil"/>
                    <w:tr2bl w:val="nil"/>
                  </w:tcBorders>
                  <w:noWrap w:val="0"/>
                  <w:vAlign w:val="center"/>
                </w:tcPr>
                <w:p w14:paraId="623B6B20">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14:textFill>
                        <w14:solidFill>
                          <w14:schemeClr w14:val="tx1"/>
                        </w14:solidFill>
                      </w14:textFill>
                    </w:rPr>
                    <w:t>/</w:t>
                  </w:r>
                </w:p>
              </w:tc>
              <w:tc>
                <w:tcPr>
                  <w:tcW w:w="516" w:type="dxa"/>
                  <w:tcBorders>
                    <w:tl2br w:val="nil"/>
                    <w:tr2bl w:val="nil"/>
                  </w:tcBorders>
                  <w:noWrap w:val="0"/>
                  <w:vAlign w:val="center"/>
                </w:tcPr>
                <w:p w14:paraId="5DF958F0">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u w:val="none"/>
                      <w:lang w:val="en-US" w:eastAsia="zh-CN"/>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7</w:t>
                  </w:r>
                  <w: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0</w:t>
                  </w:r>
                </w:p>
              </w:tc>
              <w:tc>
                <w:tcPr>
                  <w:tcW w:w="580" w:type="dxa"/>
                  <w:tcBorders>
                    <w:tl2br w:val="nil"/>
                    <w:tr2bl w:val="nil"/>
                  </w:tcBorders>
                  <w:noWrap w:val="0"/>
                  <w:vAlign w:val="center"/>
                </w:tcPr>
                <w:p w14:paraId="2F686041">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1</w:t>
                  </w:r>
                  <w:r>
                    <w:rPr>
                      <w:rFonts w:hint="eastAsia" w:cs="Times New Roman"/>
                      <w:color w:val="000000" w:themeColor="text1"/>
                      <w:sz w:val="21"/>
                      <w:szCs w:val="21"/>
                      <w:highlight w:val="none"/>
                      <w:u w:val="none"/>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0</w:t>
                  </w:r>
                </w:p>
              </w:tc>
              <w:tc>
                <w:tcPr>
                  <w:tcW w:w="500" w:type="dxa"/>
                  <w:tcBorders>
                    <w:tl2br w:val="nil"/>
                    <w:tr2bl w:val="nil"/>
                  </w:tcBorders>
                  <w:noWrap w:val="0"/>
                  <w:vAlign w:val="center"/>
                </w:tcPr>
                <w:p w14:paraId="01F731D1">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u w:val="none"/>
                      <w:lang w:val="en-US" w:eastAsia="zh-CN"/>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15</w:t>
                  </w:r>
                </w:p>
              </w:tc>
              <w:tc>
                <w:tcPr>
                  <w:tcW w:w="1145" w:type="dxa"/>
                  <w:tcBorders>
                    <w:tl2br w:val="nil"/>
                    <w:tr2bl w:val="nil"/>
                  </w:tcBorders>
                  <w:noWrap w:val="0"/>
                  <w:vAlign w:val="center"/>
                </w:tcPr>
                <w:p w14:paraId="528B04DF">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80</w:t>
                  </w:r>
                </w:p>
              </w:tc>
              <w:tc>
                <w:tcPr>
                  <w:tcW w:w="1726" w:type="dxa"/>
                  <w:vMerge w:val="restart"/>
                  <w:tcBorders>
                    <w:tl2br w:val="nil"/>
                    <w:tr2bl w:val="nil"/>
                  </w:tcBorders>
                  <w:noWrap w:val="0"/>
                  <w:vAlign w:val="center"/>
                </w:tcPr>
                <w:p w14:paraId="705C81B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采取低噪声设备，建筑物隔声、基础减振</w:t>
                  </w:r>
                </w:p>
              </w:tc>
              <w:tc>
                <w:tcPr>
                  <w:tcW w:w="897" w:type="dxa"/>
                  <w:tcBorders>
                    <w:tl2br w:val="nil"/>
                    <w:tr2bl w:val="nil"/>
                  </w:tcBorders>
                  <w:noWrap w:val="0"/>
                  <w:vAlign w:val="center"/>
                </w:tcPr>
                <w:p w14:paraId="47032F6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昼夜间</w:t>
                  </w:r>
                </w:p>
              </w:tc>
            </w:tr>
            <w:tr w14:paraId="60880B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614" w:type="dxa"/>
                  <w:tcBorders>
                    <w:tl2br w:val="nil"/>
                    <w:tr2bl w:val="nil"/>
                  </w:tcBorders>
                  <w:noWrap w:val="0"/>
                  <w:vAlign w:val="center"/>
                </w:tcPr>
                <w:p w14:paraId="2C0FB86A">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2</w:t>
                  </w:r>
                </w:p>
              </w:tc>
              <w:tc>
                <w:tcPr>
                  <w:tcW w:w="1129" w:type="dxa"/>
                  <w:tcBorders>
                    <w:tl2br w:val="nil"/>
                    <w:tr2bl w:val="nil"/>
                  </w:tcBorders>
                  <w:noWrap w:val="0"/>
                  <w:vAlign w:val="center"/>
                </w:tcPr>
                <w:p w14:paraId="4948AEA3">
                  <w:pPr>
                    <w:pStyle w:val="58"/>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u w:val="none"/>
                      <w14:textFill>
                        <w14:solidFill>
                          <w14:schemeClr w14:val="tx1"/>
                        </w14:solidFill>
                      </w14:textFill>
                    </w:rPr>
                  </w:pPr>
                  <w:r>
                    <w:rPr>
                      <w:rFonts w:hint="default"/>
                      <w:snapToGrid w:val="0"/>
                      <w:color w:val="000000" w:themeColor="text1"/>
                      <w:sz w:val="21"/>
                      <w:szCs w:val="21"/>
                      <w:highlight w:val="none"/>
                      <w14:textFill>
                        <w14:solidFill>
                          <w14:schemeClr w14:val="tx1"/>
                        </w14:solidFill>
                      </w14:textFill>
                    </w:rPr>
                    <w:t>输送机</w:t>
                  </w:r>
                </w:p>
              </w:tc>
              <w:tc>
                <w:tcPr>
                  <w:tcW w:w="662" w:type="dxa"/>
                  <w:tcBorders>
                    <w:tl2br w:val="nil"/>
                    <w:tr2bl w:val="nil"/>
                  </w:tcBorders>
                  <w:noWrap w:val="0"/>
                  <w:vAlign w:val="center"/>
                </w:tcPr>
                <w:p w14:paraId="08459AB8">
                  <w:pPr>
                    <w:pStyle w:val="10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14:textFill>
                        <w14:solidFill>
                          <w14:schemeClr w14:val="tx1"/>
                        </w14:solidFill>
                      </w14:textFill>
                    </w:rPr>
                  </w:pPr>
                  <w:r>
                    <w:rPr>
                      <w:rFonts w:hint="default"/>
                      <w:bCs/>
                      <w:color w:val="000000" w:themeColor="text1"/>
                      <w:sz w:val="21"/>
                      <w:szCs w:val="21"/>
                      <w:highlight w:val="none"/>
                      <w14:textFill>
                        <w14:solidFill>
                          <w14:schemeClr w14:val="tx1"/>
                        </w14:solidFill>
                      </w14:textFill>
                    </w:rPr>
                    <w:t>/</w:t>
                  </w:r>
                </w:p>
              </w:tc>
              <w:tc>
                <w:tcPr>
                  <w:tcW w:w="516" w:type="dxa"/>
                  <w:tcBorders>
                    <w:tl2br w:val="nil"/>
                    <w:tr2bl w:val="nil"/>
                  </w:tcBorders>
                  <w:noWrap w:val="0"/>
                  <w:vAlign w:val="center"/>
                </w:tcPr>
                <w:p w14:paraId="7148D738">
                  <w:pPr>
                    <w:pStyle w:val="10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lang w:val="en-US" w:eastAsia="zh-CN"/>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70</w:t>
                  </w:r>
                </w:p>
              </w:tc>
              <w:tc>
                <w:tcPr>
                  <w:tcW w:w="580" w:type="dxa"/>
                  <w:tcBorders>
                    <w:tl2br w:val="nil"/>
                    <w:tr2bl w:val="nil"/>
                  </w:tcBorders>
                  <w:noWrap w:val="0"/>
                  <w:vAlign w:val="center"/>
                </w:tcPr>
                <w:p w14:paraId="121CAD91">
                  <w:pPr>
                    <w:pStyle w:val="105"/>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120</w:t>
                  </w:r>
                </w:p>
              </w:tc>
              <w:tc>
                <w:tcPr>
                  <w:tcW w:w="500" w:type="dxa"/>
                  <w:tcBorders>
                    <w:tl2br w:val="nil"/>
                    <w:tr2bl w:val="nil"/>
                  </w:tcBorders>
                  <w:noWrap w:val="0"/>
                  <w:vAlign w:val="center"/>
                </w:tcPr>
                <w:p w14:paraId="56F76DC1">
                  <w:pPr>
                    <w:pStyle w:val="105"/>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4</w:t>
                  </w:r>
                </w:p>
              </w:tc>
              <w:tc>
                <w:tcPr>
                  <w:tcW w:w="1145" w:type="dxa"/>
                  <w:tcBorders>
                    <w:tl2br w:val="nil"/>
                    <w:tr2bl w:val="nil"/>
                  </w:tcBorders>
                  <w:noWrap w:val="0"/>
                  <w:vAlign w:val="center"/>
                </w:tcPr>
                <w:p w14:paraId="7F24D278">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pPr>
                  <w:r>
                    <w:rPr>
                      <w:rFonts w:hint="default"/>
                      <w:color w:val="000000" w:themeColor="text1"/>
                      <w:sz w:val="21"/>
                      <w:szCs w:val="21"/>
                      <w:highlight w:val="none"/>
                      <w14:textFill>
                        <w14:solidFill>
                          <w14:schemeClr w14:val="tx1"/>
                        </w14:solidFill>
                      </w14:textFill>
                    </w:rPr>
                    <w:t>80</w:t>
                  </w:r>
                </w:p>
              </w:tc>
              <w:tc>
                <w:tcPr>
                  <w:tcW w:w="1726" w:type="dxa"/>
                  <w:vMerge w:val="continue"/>
                  <w:tcBorders>
                    <w:tl2br w:val="nil"/>
                    <w:tr2bl w:val="nil"/>
                  </w:tcBorders>
                  <w:noWrap w:val="0"/>
                  <w:vAlign w:val="center"/>
                </w:tcPr>
                <w:p w14:paraId="00BF27F5">
                  <w:pPr>
                    <w:pStyle w:val="10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bCs/>
                      <w:color w:val="000000" w:themeColor="text1"/>
                      <w:sz w:val="21"/>
                      <w:szCs w:val="21"/>
                      <w:highlight w:val="none"/>
                      <w14:textFill>
                        <w14:solidFill>
                          <w14:schemeClr w14:val="tx1"/>
                        </w14:solidFill>
                      </w14:textFill>
                    </w:rPr>
                  </w:pPr>
                </w:p>
              </w:tc>
              <w:tc>
                <w:tcPr>
                  <w:tcW w:w="897" w:type="dxa"/>
                  <w:vMerge w:val="restart"/>
                  <w:tcBorders>
                    <w:tl2br w:val="nil"/>
                    <w:tr2bl w:val="nil"/>
                  </w:tcBorders>
                  <w:noWrap w:val="0"/>
                  <w:vAlign w:val="center"/>
                </w:tcPr>
                <w:p w14:paraId="0B26459A">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1"/>
                      <w:szCs w:val="21"/>
                      <w:highlight w:val="none"/>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昼间</w:t>
                  </w:r>
                </w:p>
              </w:tc>
            </w:tr>
            <w:tr w14:paraId="6CCBEA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614" w:type="dxa"/>
                  <w:tcBorders>
                    <w:tl2br w:val="nil"/>
                    <w:tr2bl w:val="nil"/>
                  </w:tcBorders>
                  <w:noWrap w:val="0"/>
                  <w:vAlign w:val="center"/>
                </w:tcPr>
                <w:p w14:paraId="6C04FC29">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3</w:t>
                  </w:r>
                </w:p>
              </w:tc>
              <w:tc>
                <w:tcPr>
                  <w:tcW w:w="1129" w:type="dxa"/>
                  <w:tcBorders>
                    <w:tl2br w:val="nil"/>
                    <w:tr2bl w:val="nil"/>
                  </w:tcBorders>
                  <w:noWrap w:val="0"/>
                  <w:vAlign w:val="center"/>
                </w:tcPr>
                <w:p w14:paraId="375C027E">
                  <w:pPr>
                    <w:pStyle w:val="58"/>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u w:val="none"/>
                      <w14:textFill>
                        <w14:solidFill>
                          <w14:schemeClr w14:val="tx1"/>
                        </w14:solidFill>
                      </w14:textFill>
                    </w:rPr>
                  </w:pPr>
                  <w:r>
                    <w:rPr>
                      <w:rFonts w:hint="default"/>
                      <w:snapToGrid w:val="0"/>
                      <w:color w:val="000000" w:themeColor="text1"/>
                      <w:sz w:val="21"/>
                      <w:szCs w:val="21"/>
                      <w:highlight w:val="none"/>
                      <w14:textFill>
                        <w14:solidFill>
                          <w14:schemeClr w14:val="tx1"/>
                        </w14:solidFill>
                      </w14:textFill>
                    </w:rPr>
                    <w:t>运输车辆</w:t>
                  </w:r>
                </w:p>
              </w:tc>
              <w:tc>
                <w:tcPr>
                  <w:tcW w:w="662" w:type="dxa"/>
                  <w:tcBorders>
                    <w:tl2br w:val="nil"/>
                    <w:tr2bl w:val="nil"/>
                  </w:tcBorders>
                  <w:noWrap w:val="0"/>
                  <w:vAlign w:val="center"/>
                </w:tcPr>
                <w:p w14:paraId="7A54494A">
                  <w:pPr>
                    <w:pStyle w:val="10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14:textFill>
                        <w14:solidFill>
                          <w14:schemeClr w14:val="tx1"/>
                        </w14:solidFill>
                      </w14:textFill>
                    </w:rPr>
                  </w:pPr>
                  <w:r>
                    <w:rPr>
                      <w:rFonts w:hint="default"/>
                      <w:bCs/>
                      <w:color w:val="000000" w:themeColor="text1"/>
                      <w:sz w:val="21"/>
                      <w:szCs w:val="21"/>
                      <w:highlight w:val="none"/>
                      <w14:textFill>
                        <w14:solidFill>
                          <w14:schemeClr w14:val="tx1"/>
                        </w14:solidFill>
                      </w14:textFill>
                    </w:rPr>
                    <w:t>/</w:t>
                  </w:r>
                </w:p>
              </w:tc>
              <w:tc>
                <w:tcPr>
                  <w:tcW w:w="516" w:type="dxa"/>
                  <w:tcBorders>
                    <w:tl2br w:val="nil"/>
                    <w:tr2bl w:val="nil"/>
                  </w:tcBorders>
                  <w:noWrap w:val="0"/>
                  <w:vAlign w:val="center"/>
                </w:tcPr>
                <w:p w14:paraId="0BF991F8">
                  <w:pPr>
                    <w:pStyle w:val="10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lang w:val="en-US" w:eastAsia="zh-CN"/>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65</w:t>
                  </w:r>
                </w:p>
              </w:tc>
              <w:tc>
                <w:tcPr>
                  <w:tcW w:w="580" w:type="dxa"/>
                  <w:tcBorders>
                    <w:tl2br w:val="nil"/>
                    <w:tr2bl w:val="nil"/>
                  </w:tcBorders>
                  <w:noWrap w:val="0"/>
                  <w:vAlign w:val="center"/>
                </w:tcPr>
                <w:p w14:paraId="19F2C39B">
                  <w:pPr>
                    <w:pStyle w:val="10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lang w:val="en-US" w:eastAsia="zh-CN"/>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80</w:t>
                  </w:r>
                </w:p>
              </w:tc>
              <w:tc>
                <w:tcPr>
                  <w:tcW w:w="500" w:type="dxa"/>
                  <w:tcBorders>
                    <w:tl2br w:val="nil"/>
                    <w:tr2bl w:val="nil"/>
                  </w:tcBorders>
                  <w:noWrap w:val="0"/>
                  <w:vAlign w:val="center"/>
                </w:tcPr>
                <w:p w14:paraId="4675C6D7">
                  <w:pPr>
                    <w:pStyle w:val="10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lang w:val="en-US" w:eastAsia="zh-CN"/>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1.0</w:t>
                  </w:r>
                </w:p>
              </w:tc>
              <w:tc>
                <w:tcPr>
                  <w:tcW w:w="1145" w:type="dxa"/>
                  <w:tcBorders>
                    <w:tl2br w:val="nil"/>
                    <w:tr2bl w:val="nil"/>
                  </w:tcBorders>
                  <w:noWrap w:val="0"/>
                  <w:vAlign w:val="center"/>
                </w:tcPr>
                <w:p w14:paraId="2AE73AB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pPr>
                  <w:r>
                    <w:rPr>
                      <w:rFonts w:hint="default"/>
                      <w:color w:val="000000" w:themeColor="text1"/>
                      <w:sz w:val="21"/>
                      <w:szCs w:val="21"/>
                      <w:highlight w:val="none"/>
                      <w14:textFill>
                        <w14:solidFill>
                          <w14:schemeClr w14:val="tx1"/>
                        </w14:solidFill>
                      </w14:textFill>
                    </w:rPr>
                    <w:t>75</w:t>
                  </w:r>
                </w:p>
              </w:tc>
              <w:tc>
                <w:tcPr>
                  <w:tcW w:w="1726" w:type="dxa"/>
                  <w:vMerge w:val="continue"/>
                  <w:tcBorders>
                    <w:tl2br w:val="nil"/>
                    <w:tr2bl w:val="nil"/>
                  </w:tcBorders>
                  <w:noWrap w:val="0"/>
                  <w:vAlign w:val="center"/>
                </w:tcPr>
                <w:p w14:paraId="2CAD452D">
                  <w:pPr>
                    <w:pStyle w:val="10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bCs/>
                      <w:color w:val="000000" w:themeColor="text1"/>
                      <w:sz w:val="21"/>
                      <w:szCs w:val="21"/>
                      <w:highlight w:val="none"/>
                      <w14:textFill>
                        <w14:solidFill>
                          <w14:schemeClr w14:val="tx1"/>
                        </w14:solidFill>
                      </w14:textFill>
                    </w:rPr>
                  </w:pPr>
                </w:p>
              </w:tc>
              <w:tc>
                <w:tcPr>
                  <w:tcW w:w="897" w:type="dxa"/>
                  <w:vMerge w:val="continue"/>
                  <w:tcBorders>
                    <w:tl2br w:val="nil"/>
                    <w:tr2bl w:val="nil"/>
                  </w:tcBorders>
                  <w:noWrap w:val="0"/>
                  <w:vAlign w:val="center"/>
                </w:tcPr>
                <w:p w14:paraId="2AFFE6BD">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1"/>
                      <w:szCs w:val="21"/>
                      <w:highlight w:val="none"/>
                      <w14:textFill>
                        <w14:solidFill>
                          <w14:schemeClr w14:val="tx1"/>
                        </w14:solidFill>
                      </w14:textFill>
                    </w:rPr>
                  </w:pPr>
                </w:p>
              </w:tc>
            </w:tr>
            <w:tr w14:paraId="38388D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614" w:type="dxa"/>
                  <w:tcBorders>
                    <w:tl2br w:val="nil"/>
                    <w:tr2bl w:val="nil"/>
                  </w:tcBorders>
                  <w:noWrap w:val="0"/>
                  <w:vAlign w:val="center"/>
                </w:tcPr>
                <w:p w14:paraId="6C1283F3">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cs="Times New Roman"/>
                      <w:color w:val="000000" w:themeColor="text1"/>
                      <w:sz w:val="21"/>
                      <w:szCs w:val="21"/>
                      <w:highlight w:val="none"/>
                      <w:u w:val="none"/>
                      <w:lang w:val="en-US" w:eastAsia="zh-CN"/>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4</w:t>
                  </w:r>
                </w:p>
              </w:tc>
              <w:tc>
                <w:tcPr>
                  <w:tcW w:w="1129" w:type="dxa"/>
                  <w:tcBorders>
                    <w:tl2br w:val="nil"/>
                    <w:tr2bl w:val="nil"/>
                  </w:tcBorders>
                  <w:noWrap w:val="0"/>
                  <w:vAlign w:val="center"/>
                </w:tcPr>
                <w:p w14:paraId="1B32A74A">
                  <w:pPr>
                    <w:pStyle w:val="58"/>
                    <w:keepNext w:val="0"/>
                    <w:keepLines w:val="0"/>
                    <w:suppressLineNumbers w:val="0"/>
                    <w:spacing w:before="0" w:beforeAutospacing="0" w:after="0" w:afterAutospacing="0"/>
                    <w:ind w:left="0" w:right="0"/>
                    <w:jc w:val="center"/>
                    <w:rPr>
                      <w:rFonts w:hint="default"/>
                      <w:snapToGrid w:val="0"/>
                      <w:color w:val="000000" w:themeColor="text1"/>
                      <w:sz w:val="21"/>
                      <w:szCs w:val="21"/>
                      <w:highlight w:val="none"/>
                      <w14:textFill>
                        <w14:solidFill>
                          <w14:schemeClr w14:val="tx1"/>
                        </w14:solidFill>
                      </w14:textFill>
                    </w:rPr>
                  </w:pPr>
                  <w:r>
                    <w:rPr>
                      <w:rFonts w:hint="eastAsia"/>
                      <w:snapToGrid w:val="0"/>
                      <w:color w:val="000000" w:themeColor="text1"/>
                      <w:sz w:val="21"/>
                      <w:szCs w:val="21"/>
                      <w:highlight w:val="none"/>
                      <w:lang w:val="en-US" w:eastAsia="zh-CN"/>
                      <w14:textFill>
                        <w14:solidFill>
                          <w14:schemeClr w14:val="tx1"/>
                        </w14:solidFill>
                      </w14:textFill>
                    </w:rPr>
                    <w:t>初</w:t>
                  </w:r>
                  <w:r>
                    <w:rPr>
                      <w:rFonts w:hint="default"/>
                      <w:snapToGrid w:val="0"/>
                      <w:color w:val="000000" w:themeColor="text1"/>
                      <w:sz w:val="21"/>
                      <w:szCs w:val="21"/>
                      <w:highlight w:val="none"/>
                      <w14:textFill>
                        <w14:solidFill>
                          <w14:schemeClr w14:val="tx1"/>
                        </w14:solidFill>
                      </w14:textFill>
                    </w:rPr>
                    <w:t>清筛</w:t>
                  </w:r>
                </w:p>
              </w:tc>
              <w:tc>
                <w:tcPr>
                  <w:tcW w:w="662" w:type="dxa"/>
                  <w:tcBorders>
                    <w:tl2br w:val="nil"/>
                    <w:tr2bl w:val="nil"/>
                  </w:tcBorders>
                  <w:shd w:val="clear" w:color="auto" w:fill="auto"/>
                  <w:noWrap w:val="0"/>
                  <w:vAlign w:val="center"/>
                </w:tcPr>
                <w:p w14:paraId="6A72A67C">
                  <w:pPr>
                    <w:pStyle w:val="105"/>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bCs/>
                      <w:color w:val="000000" w:themeColor="text1"/>
                      <w:sz w:val="21"/>
                      <w:szCs w:val="21"/>
                      <w:highlight w:val="none"/>
                      <w14:textFill>
                        <w14:solidFill>
                          <w14:schemeClr w14:val="tx1"/>
                        </w14:solidFill>
                      </w14:textFill>
                    </w:rPr>
                    <w:t>/</w:t>
                  </w:r>
                </w:p>
              </w:tc>
              <w:tc>
                <w:tcPr>
                  <w:tcW w:w="516" w:type="dxa"/>
                  <w:tcBorders>
                    <w:tl2br w:val="nil"/>
                    <w:tr2bl w:val="nil"/>
                  </w:tcBorders>
                  <w:shd w:val="clear" w:color="auto" w:fill="auto"/>
                  <w:noWrap w:val="0"/>
                  <w:vAlign w:val="center"/>
                </w:tcPr>
                <w:p w14:paraId="48AC1AE2">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7</w:t>
                  </w:r>
                  <w: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3</w:t>
                  </w:r>
                </w:p>
              </w:tc>
              <w:tc>
                <w:tcPr>
                  <w:tcW w:w="580" w:type="dxa"/>
                  <w:tcBorders>
                    <w:tl2br w:val="nil"/>
                    <w:tr2bl w:val="nil"/>
                  </w:tcBorders>
                  <w:shd w:val="clear" w:color="auto" w:fill="auto"/>
                  <w:noWrap w:val="0"/>
                  <w:vAlign w:val="center"/>
                </w:tcPr>
                <w:p w14:paraId="75535172">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1</w:t>
                  </w:r>
                  <w:r>
                    <w:rPr>
                      <w:rFonts w:hint="eastAsia" w:cs="Times New Roman"/>
                      <w:color w:val="000000" w:themeColor="text1"/>
                      <w:sz w:val="21"/>
                      <w:szCs w:val="21"/>
                      <w:highlight w:val="none"/>
                      <w:u w:val="none"/>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3</w:t>
                  </w:r>
                </w:p>
              </w:tc>
              <w:tc>
                <w:tcPr>
                  <w:tcW w:w="500" w:type="dxa"/>
                  <w:tcBorders>
                    <w:tl2br w:val="nil"/>
                    <w:tr2bl w:val="nil"/>
                  </w:tcBorders>
                  <w:shd w:val="clear" w:color="auto" w:fill="auto"/>
                  <w:noWrap w:val="0"/>
                  <w:vAlign w:val="center"/>
                </w:tcPr>
                <w:p w14:paraId="0E9F355E">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1</w:t>
                  </w:r>
                </w:p>
              </w:tc>
              <w:tc>
                <w:tcPr>
                  <w:tcW w:w="1145" w:type="dxa"/>
                  <w:tcBorders>
                    <w:tl2br w:val="nil"/>
                    <w:tr2bl w:val="nil"/>
                  </w:tcBorders>
                  <w:noWrap w:val="0"/>
                  <w:vAlign w:val="center"/>
                </w:tcPr>
                <w:p w14:paraId="2648F80C">
                  <w:pPr>
                    <w:keepNext w:val="0"/>
                    <w:keepLines w:val="0"/>
                    <w:suppressLineNumbers w:val="0"/>
                    <w:spacing w:before="0" w:beforeAutospacing="0" w:after="0" w:afterAutospacing="0"/>
                    <w:ind w:left="0" w:right="0"/>
                    <w:jc w:val="center"/>
                    <w:rPr>
                      <w:rFonts w:hint="default"/>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70</w:t>
                  </w:r>
                </w:p>
              </w:tc>
              <w:tc>
                <w:tcPr>
                  <w:tcW w:w="1726" w:type="dxa"/>
                  <w:vMerge w:val="continue"/>
                  <w:tcBorders>
                    <w:tl2br w:val="nil"/>
                    <w:tr2bl w:val="nil"/>
                  </w:tcBorders>
                  <w:noWrap w:val="0"/>
                  <w:vAlign w:val="center"/>
                </w:tcPr>
                <w:p w14:paraId="78AF1DDD">
                  <w:pPr>
                    <w:pStyle w:val="10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bCs/>
                      <w:color w:val="000000" w:themeColor="text1"/>
                      <w:sz w:val="21"/>
                      <w:szCs w:val="21"/>
                      <w:highlight w:val="none"/>
                      <w14:textFill>
                        <w14:solidFill>
                          <w14:schemeClr w14:val="tx1"/>
                        </w14:solidFill>
                      </w14:textFill>
                    </w:rPr>
                  </w:pPr>
                </w:p>
              </w:tc>
              <w:tc>
                <w:tcPr>
                  <w:tcW w:w="897" w:type="dxa"/>
                  <w:vMerge w:val="continue"/>
                  <w:tcBorders>
                    <w:tl2br w:val="nil"/>
                    <w:tr2bl w:val="nil"/>
                  </w:tcBorders>
                  <w:noWrap w:val="0"/>
                  <w:vAlign w:val="center"/>
                </w:tcPr>
                <w:p w14:paraId="31921A64">
                  <w:pPr>
                    <w:keepNext w:val="0"/>
                    <w:keepLines w:val="0"/>
                    <w:suppressLineNumbers w:val="0"/>
                    <w:spacing w:before="0" w:beforeAutospacing="0" w:after="0" w:afterAutospacing="0"/>
                    <w:ind w:left="0" w:right="0"/>
                    <w:jc w:val="center"/>
                    <w:rPr>
                      <w:rFonts w:hint="eastAsia"/>
                      <w:color w:val="000000" w:themeColor="text1"/>
                      <w:sz w:val="21"/>
                      <w:szCs w:val="21"/>
                      <w:highlight w:val="none"/>
                      <w:lang w:val="en-US" w:eastAsia="zh-CN"/>
                      <w14:textFill>
                        <w14:solidFill>
                          <w14:schemeClr w14:val="tx1"/>
                        </w14:solidFill>
                      </w14:textFill>
                    </w:rPr>
                  </w:pPr>
                </w:p>
              </w:tc>
            </w:tr>
            <w:tr w14:paraId="5614EA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614" w:type="dxa"/>
                  <w:tcBorders>
                    <w:tl2br w:val="nil"/>
                    <w:tr2bl w:val="nil"/>
                  </w:tcBorders>
                  <w:noWrap w:val="0"/>
                  <w:vAlign w:val="center"/>
                </w:tcPr>
                <w:p w14:paraId="0281CE69">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cs="Times New Roman"/>
                      <w:color w:val="000000" w:themeColor="text1"/>
                      <w:sz w:val="21"/>
                      <w:szCs w:val="21"/>
                      <w:highlight w:val="none"/>
                      <w:u w:val="none"/>
                      <w:lang w:val="en-US" w:eastAsia="zh-CN"/>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5</w:t>
                  </w:r>
                </w:p>
              </w:tc>
              <w:tc>
                <w:tcPr>
                  <w:tcW w:w="1129" w:type="dxa"/>
                  <w:tcBorders>
                    <w:tl2br w:val="nil"/>
                    <w:tr2bl w:val="nil"/>
                  </w:tcBorders>
                  <w:noWrap w:val="0"/>
                  <w:vAlign w:val="center"/>
                </w:tcPr>
                <w:p w14:paraId="1BC422D9">
                  <w:pPr>
                    <w:pStyle w:val="58"/>
                    <w:keepNext w:val="0"/>
                    <w:keepLines w:val="0"/>
                    <w:suppressLineNumbers w:val="0"/>
                    <w:spacing w:before="0" w:beforeAutospacing="0" w:after="0" w:afterAutospacing="0"/>
                    <w:ind w:left="0" w:right="0"/>
                    <w:jc w:val="center"/>
                    <w:rPr>
                      <w:rFonts w:hint="default"/>
                      <w:snapToGrid w:val="0"/>
                      <w:color w:val="000000" w:themeColor="text1"/>
                      <w:sz w:val="21"/>
                      <w:szCs w:val="21"/>
                      <w:highlight w:val="none"/>
                      <w14:textFill>
                        <w14:solidFill>
                          <w14:schemeClr w14:val="tx1"/>
                        </w14:solidFill>
                      </w14:textFill>
                    </w:rPr>
                  </w:pPr>
                  <w:r>
                    <w:rPr>
                      <w:rFonts w:hint="eastAsia"/>
                      <w:snapToGrid w:val="0"/>
                      <w:color w:val="000000" w:themeColor="text1"/>
                      <w:sz w:val="21"/>
                      <w:szCs w:val="21"/>
                      <w:highlight w:val="none"/>
                      <w:lang w:val="en-US" w:eastAsia="zh-CN"/>
                      <w14:textFill>
                        <w14:solidFill>
                          <w14:schemeClr w14:val="tx1"/>
                        </w14:solidFill>
                      </w14:textFill>
                    </w:rPr>
                    <w:t>初</w:t>
                  </w:r>
                  <w:r>
                    <w:rPr>
                      <w:rFonts w:hint="default"/>
                      <w:snapToGrid w:val="0"/>
                      <w:color w:val="000000" w:themeColor="text1"/>
                      <w:sz w:val="21"/>
                      <w:szCs w:val="21"/>
                      <w:highlight w:val="none"/>
                      <w14:textFill>
                        <w14:solidFill>
                          <w14:schemeClr w14:val="tx1"/>
                        </w14:solidFill>
                      </w14:textFill>
                    </w:rPr>
                    <w:t>清筛</w:t>
                  </w:r>
                </w:p>
              </w:tc>
              <w:tc>
                <w:tcPr>
                  <w:tcW w:w="662" w:type="dxa"/>
                  <w:tcBorders>
                    <w:tl2br w:val="nil"/>
                    <w:tr2bl w:val="nil"/>
                  </w:tcBorders>
                  <w:shd w:val="clear" w:color="auto" w:fill="auto"/>
                  <w:noWrap w:val="0"/>
                  <w:vAlign w:val="center"/>
                </w:tcPr>
                <w:p w14:paraId="799D4D5B">
                  <w:pPr>
                    <w:pStyle w:val="105"/>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bCs/>
                      <w:color w:val="000000" w:themeColor="text1"/>
                      <w:sz w:val="21"/>
                      <w:szCs w:val="21"/>
                      <w:highlight w:val="none"/>
                      <w14:textFill>
                        <w14:solidFill>
                          <w14:schemeClr w14:val="tx1"/>
                        </w14:solidFill>
                      </w14:textFill>
                    </w:rPr>
                    <w:t>/</w:t>
                  </w:r>
                </w:p>
              </w:tc>
              <w:tc>
                <w:tcPr>
                  <w:tcW w:w="516" w:type="dxa"/>
                  <w:tcBorders>
                    <w:tl2br w:val="nil"/>
                    <w:tr2bl w:val="nil"/>
                  </w:tcBorders>
                  <w:shd w:val="clear" w:color="auto" w:fill="auto"/>
                  <w:noWrap w:val="0"/>
                  <w:vAlign w:val="center"/>
                </w:tcPr>
                <w:p w14:paraId="6F6462AD">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5</w:t>
                  </w:r>
                  <w: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3</w:t>
                  </w:r>
                </w:p>
              </w:tc>
              <w:tc>
                <w:tcPr>
                  <w:tcW w:w="580" w:type="dxa"/>
                  <w:tcBorders>
                    <w:tl2br w:val="nil"/>
                    <w:tr2bl w:val="nil"/>
                  </w:tcBorders>
                  <w:shd w:val="clear" w:color="auto" w:fill="auto"/>
                  <w:noWrap w:val="0"/>
                  <w:vAlign w:val="center"/>
                </w:tcPr>
                <w:p w14:paraId="6FCE8D36">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1</w:t>
                  </w:r>
                  <w:r>
                    <w:rPr>
                      <w:rFonts w:hint="eastAsia" w:cs="Times New Roman"/>
                      <w:color w:val="000000" w:themeColor="text1"/>
                      <w:sz w:val="21"/>
                      <w:szCs w:val="21"/>
                      <w:highlight w:val="none"/>
                      <w:u w:val="none"/>
                      <w:lang w:val="en-US" w:eastAsia="zh-CN"/>
                      <w14:textFill>
                        <w14:solidFill>
                          <w14:schemeClr w14:val="tx1"/>
                        </w14:solidFill>
                      </w14:textFill>
                    </w:rPr>
                    <w:t>0</w:t>
                  </w:r>
                  <w: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3</w:t>
                  </w:r>
                </w:p>
              </w:tc>
              <w:tc>
                <w:tcPr>
                  <w:tcW w:w="500" w:type="dxa"/>
                  <w:tcBorders>
                    <w:tl2br w:val="nil"/>
                    <w:tr2bl w:val="nil"/>
                  </w:tcBorders>
                  <w:shd w:val="clear" w:color="auto" w:fill="auto"/>
                  <w:noWrap w:val="0"/>
                  <w:vAlign w:val="center"/>
                </w:tcPr>
                <w:p w14:paraId="5DC8BFB7">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eastAsia"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1</w:t>
                  </w:r>
                </w:p>
              </w:tc>
              <w:tc>
                <w:tcPr>
                  <w:tcW w:w="1145" w:type="dxa"/>
                  <w:tcBorders>
                    <w:tl2br w:val="nil"/>
                    <w:tr2bl w:val="nil"/>
                  </w:tcBorders>
                  <w:shd w:val="clear" w:color="auto" w:fill="auto"/>
                  <w:noWrap w:val="0"/>
                  <w:vAlign w:val="center"/>
                </w:tcPr>
                <w:p w14:paraId="1F1CD34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color w:val="000000" w:themeColor="text1"/>
                      <w:sz w:val="21"/>
                      <w:szCs w:val="21"/>
                      <w:highlight w:val="none"/>
                      <w14:textFill>
                        <w14:solidFill>
                          <w14:schemeClr w14:val="tx1"/>
                        </w14:solidFill>
                      </w14:textFill>
                    </w:rPr>
                    <w:t>70</w:t>
                  </w:r>
                </w:p>
              </w:tc>
              <w:tc>
                <w:tcPr>
                  <w:tcW w:w="1726" w:type="dxa"/>
                  <w:vMerge w:val="continue"/>
                  <w:tcBorders>
                    <w:tl2br w:val="nil"/>
                    <w:tr2bl w:val="nil"/>
                  </w:tcBorders>
                  <w:noWrap w:val="0"/>
                  <w:vAlign w:val="center"/>
                </w:tcPr>
                <w:p w14:paraId="0B6C2E9B">
                  <w:pPr>
                    <w:pStyle w:val="10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bCs/>
                      <w:color w:val="000000" w:themeColor="text1"/>
                      <w:sz w:val="21"/>
                      <w:szCs w:val="21"/>
                      <w:highlight w:val="none"/>
                      <w14:textFill>
                        <w14:solidFill>
                          <w14:schemeClr w14:val="tx1"/>
                        </w14:solidFill>
                      </w14:textFill>
                    </w:rPr>
                  </w:pPr>
                </w:p>
              </w:tc>
              <w:tc>
                <w:tcPr>
                  <w:tcW w:w="897" w:type="dxa"/>
                  <w:vMerge w:val="continue"/>
                  <w:tcBorders>
                    <w:tl2br w:val="nil"/>
                    <w:tr2bl w:val="nil"/>
                  </w:tcBorders>
                  <w:noWrap w:val="0"/>
                  <w:vAlign w:val="center"/>
                </w:tcPr>
                <w:p w14:paraId="58DAFA4C">
                  <w:pPr>
                    <w:keepNext w:val="0"/>
                    <w:keepLines w:val="0"/>
                    <w:suppressLineNumbers w:val="0"/>
                    <w:spacing w:before="0" w:beforeAutospacing="0" w:after="0" w:afterAutospacing="0"/>
                    <w:ind w:left="0" w:right="0"/>
                    <w:jc w:val="center"/>
                    <w:rPr>
                      <w:rFonts w:hint="eastAsia"/>
                      <w:color w:val="000000" w:themeColor="text1"/>
                      <w:sz w:val="21"/>
                      <w:szCs w:val="21"/>
                      <w:highlight w:val="none"/>
                      <w:lang w:val="en-US" w:eastAsia="zh-CN"/>
                      <w14:textFill>
                        <w14:solidFill>
                          <w14:schemeClr w14:val="tx1"/>
                        </w14:solidFill>
                      </w14:textFill>
                    </w:rPr>
                  </w:pPr>
                </w:p>
              </w:tc>
            </w:tr>
            <w:tr w14:paraId="4677CF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614" w:type="dxa"/>
                  <w:tcBorders>
                    <w:tl2br w:val="nil"/>
                    <w:tr2bl w:val="nil"/>
                  </w:tcBorders>
                  <w:noWrap w:val="0"/>
                  <w:vAlign w:val="center"/>
                </w:tcPr>
                <w:p w14:paraId="68022E76">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cs="Times New Roman"/>
                      <w:color w:val="000000" w:themeColor="text1"/>
                      <w:sz w:val="21"/>
                      <w:szCs w:val="21"/>
                      <w:highlight w:val="none"/>
                      <w:u w:val="none"/>
                      <w:lang w:val="en-US" w:eastAsia="zh-CN"/>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6</w:t>
                  </w:r>
                </w:p>
              </w:tc>
              <w:tc>
                <w:tcPr>
                  <w:tcW w:w="1129" w:type="dxa"/>
                  <w:tcBorders>
                    <w:tl2br w:val="nil"/>
                    <w:tr2bl w:val="nil"/>
                  </w:tcBorders>
                  <w:noWrap w:val="0"/>
                  <w:vAlign w:val="center"/>
                </w:tcPr>
                <w:p w14:paraId="5A61500F">
                  <w:pPr>
                    <w:pStyle w:val="58"/>
                    <w:keepNext w:val="0"/>
                    <w:keepLines w:val="0"/>
                    <w:suppressLineNumbers w:val="0"/>
                    <w:spacing w:before="0" w:beforeAutospacing="0" w:after="0" w:afterAutospacing="0"/>
                    <w:ind w:left="0" w:right="0"/>
                    <w:jc w:val="center"/>
                    <w:rPr>
                      <w:rFonts w:hint="default"/>
                      <w:snapToGrid w:val="0"/>
                      <w:color w:val="000000" w:themeColor="text1"/>
                      <w:sz w:val="21"/>
                      <w:szCs w:val="21"/>
                      <w:highlight w:val="none"/>
                      <w14:textFill>
                        <w14:solidFill>
                          <w14:schemeClr w14:val="tx1"/>
                        </w14:solidFill>
                      </w14:textFill>
                    </w:rPr>
                  </w:pPr>
                  <w:r>
                    <w:rPr>
                      <w:rFonts w:hint="default"/>
                      <w:snapToGrid w:val="0"/>
                      <w:color w:val="000000" w:themeColor="text1"/>
                      <w:sz w:val="21"/>
                      <w:szCs w:val="21"/>
                      <w:highlight w:val="none"/>
                      <w:lang w:val="en-US" w:eastAsia="zh-CN"/>
                      <w14:textFill>
                        <w14:solidFill>
                          <w14:schemeClr w14:val="tx1"/>
                        </w14:solidFill>
                      </w14:textFill>
                    </w:rPr>
                    <w:t>鼓风机</w:t>
                  </w:r>
                </w:p>
              </w:tc>
              <w:tc>
                <w:tcPr>
                  <w:tcW w:w="662" w:type="dxa"/>
                  <w:tcBorders>
                    <w:tl2br w:val="nil"/>
                    <w:tr2bl w:val="nil"/>
                  </w:tcBorders>
                  <w:shd w:val="clear" w:color="auto" w:fill="auto"/>
                  <w:noWrap w:val="0"/>
                  <w:vAlign w:val="center"/>
                </w:tcPr>
                <w:p w14:paraId="56B7AE8B">
                  <w:pPr>
                    <w:pStyle w:val="105"/>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bCs/>
                      <w:color w:val="000000" w:themeColor="text1"/>
                      <w:sz w:val="21"/>
                      <w:szCs w:val="21"/>
                      <w:highlight w:val="none"/>
                      <w14:textFill>
                        <w14:solidFill>
                          <w14:schemeClr w14:val="tx1"/>
                        </w14:solidFill>
                      </w14:textFill>
                    </w:rPr>
                    <w:t>/</w:t>
                  </w:r>
                </w:p>
              </w:tc>
              <w:tc>
                <w:tcPr>
                  <w:tcW w:w="516" w:type="dxa"/>
                  <w:tcBorders>
                    <w:tl2br w:val="nil"/>
                    <w:tr2bl w:val="nil"/>
                  </w:tcBorders>
                  <w:noWrap w:val="0"/>
                  <w:vAlign w:val="center"/>
                </w:tcPr>
                <w:p w14:paraId="411DD943">
                  <w:pPr>
                    <w:pStyle w:val="105"/>
                    <w:keepNext w:val="0"/>
                    <w:keepLines w:val="0"/>
                    <w:suppressLineNumbers w:val="0"/>
                    <w:spacing w:before="0" w:beforeAutospacing="0" w:after="0" w:afterAutospacing="0" w:line="240" w:lineRule="auto"/>
                    <w:ind w:left="0" w:right="0" w:firstLine="0" w:firstLineChars="0"/>
                    <w:jc w:val="center"/>
                    <w:rPr>
                      <w:rFonts w:hint="default"/>
                      <w:bCs/>
                      <w:color w:val="000000" w:themeColor="text1"/>
                      <w:sz w:val="21"/>
                      <w:szCs w:val="21"/>
                      <w:highlight w:val="none"/>
                      <w:lang w:val="en-US" w:eastAsia="zh-CN"/>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50</w:t>
                  </w:r>
                </w:p>
              </w:tc>
              <w:tc>
                <w:tcPr>
                  <w:tcW w:w="580" w:type="dxa"/>
                  <w:tcBorders>
                    <w:tl2br w:val="nil"/>
                    <w:tr2bl w:val="nil"/>
                  </w:tcBorders>
                  <w:noWrap w:val="0"/>
                  <w:vAlign w:val="center"/>
                </w:tcPr>
                <w:p w14:paraId="018B88B6">
                  <w:pPr>
                    <w:pStyle w:val="105"/>
                    <w:keepNext w:val="0"/>
                    <w:keepLines w:val="0"/>
                    <w:suppressLineNumbers w:val="0"/>
                    <w:spacing w:before="0" w:beforeAutospacing="0" w:after="0" w:afterAutospacing="0" w:line="240" w:lineRule="auto"/>
                    <w:ind w:left="0" w:right="0" w:firstLine="0" w:firstLineChars="0"/>
                    <w:jc w:val="center"/>
                    <w:rPr>
                      <w:rFonts w:hint="default"/>
                      <w:bCs/>
                      <w:color w:val="000000" w:themeColor="text1"/>
                      <w:sz w:val="21"/>
                      <w:szCs w:val="21"/>
                      <w:highlight w:val="none"/>
                      <w:lang w:val="en-US" w:eastAsia="zh-CN"/>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100</w:t>
                  </w:r>
                </w:p>
              </w:tc>
              <w:tc>
                <w:tcPr>
                  <w:tcW w:w="500" w:type="dxa"/>
                  <w:tcBorders>
                    <w:tl2br w:val="nil"/>
                    <w:tr2bl w:val="nil"/>
                  </w:tcBorders>
                  <w:noWrap w:val="0"/>
                  <w:vAlign w:val="center"/>
                </w:tcPr>
                <w:p w14:paraId="06B0277A">
                  <w:pPr>
                    <w:pStyle w:val="105"/>
                    <w:keepNext w:val="0"/>
                    <w:keepLines w:val="0"/>
                    <w:suppressLineNumbers w:val="0"/>
                    <w:spacing w:before="0" w:beforeAutospacing="0" w:after="0" w:afterAutospacing="0" w:line="240" w:lineRule="auto"/>
                    <w:ind w:left="0" w:right="0" w:firstLine="0" w:firstLineChars="0"/>
                    <w:jc w:val="center"/>
                    <w:rPr>
                      <w:rFonts w:hint="default" w:cs="Times New Roman"/>
                      <w:color w:val="000000" w:themeColor="text1"/>
                      <w:sz w:val="21"/>
                      <w:szCs w:val="21"/>
                      <w:highlight w:val="none"/>
                      <w:u w:val="none"/>
                      <w:lang w:val="en-US" w:eastAsia="zh-CN"/>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1</w:t>
                  </w:r>
                </w:p>
              </w:tc>
              <w:tc>
                <w:tcPr>
                  <w:tcW w:w="1145" w:type="dxa"/>
                  <w:tcBorders>
                    <w:tl2br w:val="nil"/>
                    <w:tr2bl w:val="nil"/>
                  </w:tcBorders>
                  <w:noWrap w:val="0"/>
                  <w:vAlign w:val="center"/>
                </w:tcPr>
                <w:p w14:paraId="5BF326E3">
                  <w:pPr>
                    <w:keepNext w:val="0"/>
                    <w:keepLines w:val="0"/>
                    <w:suppressLineNumbers w:val="0"/>
                    <w:spacing w:before="0" w:beforeAutospacing="0" w:after="0" w:afterAutospacing="0"/>
                    <w:ind w:left="0" w:right="0"/>
                    <w:jc w:val="center"/>
                    <w:rPr>
                      <w:rFonts w:hint="default"/>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70</w:t>
                  </w:r>
                </w:p>
              </w:tc>
              <w:tc>
                <w:tcPr>
                  <w:tcW w:w="1726" w:type="dxa"/>
                  <w:vMerge w:val="continue"/>
                  <w:tcBorders>
                    <w:tl2br w:val="nil"/>
                    <w:tr2bl w:val="nil"/>
                  </w:tcBorders>
                  <w:noWrap w:val="0"/>
                  <w:vAlign w:val="center"/>
                </w:tcPr>
                <w:p w14:paraId="50D2C4B8">
                  <w:pPr>
                    <w:pStyle w:val="10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bCs/>
                      <w:color w:val="000000" w:themeColor="text1"/>
                      <w:sz w:val="21"/>
                      <w:szCs w:val="21"/>
                      <w:highlight w:val="none"/>
                      <w14:textFill>
                        <w14:solidFill>
                          <w14:schemeClr w14:val="tx1"/>
                        </w14:solidFill>
                      </w14:textFill>
                    </w:rPr>
                  </w:pPr>
                </w:p>
              </w:tc>
              <w:tc>
                <w:tcPr>
                  <w:tcW w:w="897" w:type="dxa"/>
                  <w:vMerge w:val="continue"/>
                  <w:tcBorders>
                    <w:tl2br w:val="nil"/>
                    <w:tr2bl w:val="nil"/>
                  </w:tcBorders>
                  <w:noWrap w:val="0"/>
                  <w:vAlign w:val="center"/>
                </w:tcPr>
                <w:p w14:paraId="6089F53D">
                  <w:pPr>
                    <w:keepNext w:val="0"/>
                    <w:keepLines w:val="0"/>
                    <w:suppressLineNumbers w:val="0"/>
                    <w:spacing w:before="0" w:beforeAutospacing="0" w:after="0" w:afterAutospacing="0"/>
                    <w:ind w:left="0" w:right="0"/>
                    <w:jc w:val="center"/>
                    <w:rPr>
                      <w:rFonts w:hint="eastAsia"/>
                      <w:color w:val="000000" w:themeColor="text1"/>
                      <w:sz w:val="21"/>
                      <w:szCs w:val="21"/>
                      <w:highlight w:val="none"/>
                      <w:lang w:val="en-US" w:eastAsia="zh-CN"/>
                      <w14:textFill>
                        <w14:solidFill>
                          <w14:schemeClr w14:val="tx1"/>
                        </w14:solidFill>
                      </w14:textFill>
                    </w:rPr>
                  </w:pPr>
                </w:p>
              </w:tc>
            </w:tr>
            <w:tr w14:paraId="45F6C5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614" w:type="dxa"/>
                  <w:tcBorders>
                    <w:tl2br w:val="nil"/>
                    <w:tr2bl w:val="nil"/>
                  </w:tcBorders>
                  <w:noWrap w:val="0"/>
                  <w:vAlign w:val="center"/>
                </w:tcPr>
                <w:p w14:paraId="70ABB3EA">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cs="Times New Roman"/>
                      <w:color w:val="000000" w:themeColor="text1"/>
                      <w:sz w:val="21"/>
                      <w:szCs w:val="21"/>
                      <w:highlight w:val="none"/>
                      <w:u w:val="none"/>
                      <w:lang w:val="en-US" w:eastAsia="zh-CN"/>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7</w:t>
                  </w:r>
                </w:p>
              </w:tc>
              <w:tc>
                <w:tcPr>
                  <w:tcW w:w="1129" w:type="dxa"/>
                  <w:tcBorders>
                    <w:tl2br w:val="nil"/>
                    <w:tr2bl w:val="nil"/>
                  </w:tcBorders>
                  <w:noWrap w:val="0"/>
                  <w:vAlign w:val="center"/>
                </w:tcPr>
                <w:p w14:paraId="355D8006">
                  <w:pPr>
                    <w:pStyle w:val="58"/>
                    <w:keepNext w:val="0"/>
                    <w:keepLines w:val="0"/>
                    <w:suppressLineNumbers w:val="0"/>
                    <w:spacing w:before="0" w:beforeAutospacing="0" w:after="0" w:afterAutospacing="0"/>
                    <w:ind w:left="0" w:right="0"/>
                    <w:jc w:val="center"/>
                    <w:rPr>
                      <w:rFonts w:hint="default"/>
                      <w:snapToGrid w:val="0"/>
                      <w:color w:val="000000" w:themeColor="text1"/>
                      <w:sz w:val="21"/>
                      <w:szCs w:val="21"/>
                      <w:highlight w:val="none"/>
                      <w:lang w:val="en-US" w:eastAsia="zh-CN"/>
                      <w14:textFill>
                        <w14:solidFill>
                          <w14:schemeClr w14:val="tx1"/>
                        </w14:solidFill>
                      </w14:textFill>
                    </w:rPr>
                  </w:pPr>
                  <w:r>
                    <w:rPr>
                      <w:rFonts w:hint="default"/>
                      <w:snapToGrid w:val="0"/>
                      <w:color w:val="000000" w:themeColor="text1"/>
                      <w:sz w:val="21"/>
                      <w:szCs w:val="21"/>
                      <w:highlight w:val="none"/>
                      <w:lang w:val="en-US" w:eastAsia="zh-CN"/>
                      <w14:textFill>
                        <w14:solidFill>
                          <w14:schemeClr w14:val="tx1"/>
                        </w14:solidFill>
                      </w14:textFill>
                    </w:rPr>
                    <w:t>提升机</w:t>
                  </w:r>
                </w:p>
              </w:tc>
              <w:tc>
                <w:tcPr>
                  <w:tcW w:w="662" w:type="dxa"/>
                  <w:tcBorders>
                    <w:tl2br w:val="nil"/>
                    <w:tr2bl w:val="nil"/>
                  </w:tcBorders>
                  <w:shd w:val="clear" w:color="auto" w:fill="auto"/>
                  <w:noWrap w:val="0"/>
                  <w:vAlign w:val="center"/>
                </w:tcPr>
                <w:p w14:paraId="4B05FD4F">
                  <w:pPr>
                    <w:pStyle w:val="105"/>
                    <w:keepNext w:val="0"/>
                    <w:keepLines w:val="0"/>
                    <w:suppressLineNumbers w:val="0"/>
                    <w:spacing w:before="0" w:beforeAutospacing="0" w:after="0" w:afterAutospacing="0" w:line="240" w:lineRule="auto"/>
                    <w:ind w:left="0" w:leftChars="0" w:right="0" w:rightChars="0" w:firstLine="0" w:firstLineChars="0"/>
                    <w:jc w:val="center"/>
                    <w:rPr>
                      <w:rFonts w:hint="eastAsia" w:eastAsia="宋体"/>
                      <w:bCs/>
                      <w:color w:val="000000" w:themeColor="text1"/>
                      <w:sz w:val="21"/>
                      <w:szCs w:val="21"/>
                      <w:highlight w:val="none"/>
                      <w:lang w:val="en-US" w:eastAsia="zh-CN"/>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w:t>
                  </w:r>
                </w:p>
              </w:tc>
              <w:tc>
                <w:tcPr>
                  <w:tcW w:w="516" w:type="dxa"/>
                  <w:tcBorders>
                    <w:tl2br w:val="nil"/>
                    <w:tr2bl w:val="nil"/>
                  </w:tcBorders>
                  <w:noWrap w:val="0"/>
                  <w:vAlign w:val="center"/>
                </w:tcPr>
                <w:p w14:paraId="36A67B34">
                  <w:pPr>
                    <w:pStyle w:val="105"/>
                    <w:keepNext w:val="0"/>
                    <w:keepLines w:val="0"/>
                    <w:suppressLineNumbers w:val="0"/>
                    <w:spacing w:before="0" w:beforeAutospacing="0" w:after="0" w:afterAutospacing="0" w:line="240" w:lineRule="auto"/>
                    <w:ind w:left="0" w:right="0" w:firstLine="0" w:firstLineChars="0"/>
                    <w:jc w:val="center"/>
                    <w:rPr>
                      <w:rFonts w:hint="default"/>
                      <w:bCs/>
                      <w:color w:val="000000" w:themeColor="text1"/>
                      <w:sz w:val="21"/>
                      <w:szCs w:val="21"/>
                      <w:highlight w:val="none"/>
                      <w:lang w:val="en-US" w:eastAsia="zh-CN"/>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45</w:t>
                  </w:r>
                </w:p>
              </w:tc>
              <w:tc>
                <w:tcPr>
                  <w:tcW w:w="580" w:type="dxa"/>
                  <w:tcBorders>
                    <w:tl2br w:val="nil"/>
                    <w:tr2bl w:val="nil"/>
                  </w:tcBorders>
                  <w:noWrap w:val="0"/>
                  <w:vAlign w:val="center"/>
                </w:tcPr>
                <w:p w14:paraId="33E9134E">
                  <w:pPr>
                    <w:pStyle w:val="105"/>
                    <w:keepNext w:val="0"/>
                    <w:keepLines w:val="0"/>
                    <w:suppressLineNumbers w:val="0"/>
                    <w:spacing w:before="0" w:beforeAutospacing="0" w:after="0" w:afterAutospacing="0" w:line="240" w:lineRule="auto"/>
                    <w:ind w:left="0" w:right="0" w:firstLine="0" w:firstLineChars="0"/>
                    <w:jc w:val="center"/>
                    <w:rPr>
                      <w:rFonts w:hint="default"/>
                      <w:bCs/>
                      <w:color w:val="000000" w:themeColor="text1"/>
                      <w:sz w:val="21"/>
                      <w:szCs w:val="21"/>
                      <w:highlight w:val="none"/>
                      <w:lang w:val="en-US" w:eastAsia="zh-CN"/>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80</w:t>
                  </w:r>
                </w:p>
              </w:tc>
              <w:tc>
                <w:tcPr>
                  <w:tcW w:w="500" w:type="dxa"/>
                  <w:tcBorders>
                    <w:tl2br w:val="nil"/>
                    <w:tr2bl w:val="nil"/>
                  </w:tcBorders>
                  <w:noWrap w:val="0"/>
                  <w:vAlign w:val="center"/>
                </w:tcPr>
                <w:p w14:paraId="64988D88">
                  <w:pPr>
                    <w:pStyle w:val="105"/>
                    <w:keepNext w:val="0"/>
                    <w:keepLines w:val="0"/>
                    <w:suppressLineNumbers w:val="0"/>
                    <w:spacing w:before="0" w:beforeAutospacing="0" w:after="0" w:afterAutospacing="0" w:line="240" w:lineRule="auto"/>
                    <w:ind w:left="0" w:right="0" w:firstLine="0" w:firstLineChars="0"/>
                    <w:jc w:val="center"/>
                    <w:rPr>
                      <w:rFonts w:hint="default" w:cs="Times New Roman"/>
                      <w:color w:val="000000" w:themeColor="text1"/>
                      <w:sz w:val="21"/>
                      <w:szCs w:val="21"/>
                      <w:highlight w:val="none"/>
                      <w:u w:val="none"/>
                      <w:lang w:val="en-US" w:eastAsia="zh-CN"/>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1.5</w:t>
                  </w:r>
                </w:p>
              </w:tc>
              <w:tc>
                <w:tcPr>
                  <w:tcW w:w="1145" w:type="dxa"/>
                  <w:tcBorders>
                    <w:tl2br w:val="nil"/>
                    <w:tr2bl w:val="nil"/>
                  </w:tcBorders>
                  <w:noWrap w:val="0"/>
                  <w:vAlign w:val="center"/>
                </w:tcPr>
                <w:p w14:paraId="04E63EE5">
                  <w:pPr>
                    <w:keepNext w:val="0"/>
                    <w:keepLines w:val="0"/>
                    <w:suppressLineNumbers w:val="0"/>
                    <w:spacing w:before="0" w:beforeAutospacing="0" w:after="0" w:afterAutospacing="0"/>
                    <w:ind w:left="0" w:right="0"/>
                    <w:jc w:val="center"/>
                    <w:rPr>
                      <w:rFonts w:hint="default"/>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70</w:t>
                  </w:r>
                </w:p>
              </w:tc>
              <w:tc>
                <w:tcPr>
                  <w:tcW w:w="1726" w:type="dxa"/>
                  <w:vMerge w:val="continue"/>
                  <w:tcBorders>
                    <w:tl2br w:val="nil"/>
                    <w:tr2bl w:val="nil"/>
                  </w:tcBorders>
                  <w:noWrap w:val="0"/>
                  <w:vAlign w:val="center"/>
                </w:tcPr>
                <w:p w14:paraId="59517784">
                  <w:pPr>
                    <w:pStyle w:val="10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bCs/>
                      <w:color w:val="000000" w:themeColor="text1"/>
                      <w:sz w:val="21"/>
                      <w:szCs w:val="21"/>
                      <w:highlight w:val="none"/>
                      <w14:textFill>
                        <w14:solidFill>
                          <w14:schemeClr w14:val="tx1"/>
                        </w14:solidFill>
                      </w14:textFill>
                    </w:rPr>
                  </w:pPr>
                </w:p>
              </w:tc>
              <w:tc>
                <w:tcPr>
                  <w:tcW w:w="897" w:type="dxa"/>
                  <w:tcBorders>
                    <w:tl2br w:val="nil"/>
                    <w:tr2bl w:val="nil"/>
                  </w:tcBorders>
                  <w:noWrap w:val="0"/>
                  <w:vAlign w:val="center"/>
                </w:tcPr>
                <w:p w14:paraId="008AC0E4">
                  <w:pPr>
                    <w:keepNext w:val="0"/>
                    <w:keepLines w:val="0"/>
                    <w:suppressLineNumbers w:val="0"/>
                    <w:spacing w:before="0" w:beforeAutospacing="0" w:after="0" w:afterAutospacing="0"/>
                    <w:ind w:left="0" w:right="0"/>
                    <w:jc w:val="center"/>
                    <w:rPr>
                      <w:rFonts w:hint="eastAsia"/>
                      <w:color w:val="000000" w:themeColor="text1"/>
                      <w:sz w:val="21"/>
                      <w:szCs w:val="21"/>
                      <w:highlight w:val="none"/>
                      <w:lang w:val="en-US" w:eastAsia="zh-CN"/>
                      <w14:textFill>
                        <w14:solidFill>
                          <w14:schemeClr w14:val="tx1"/>
                        </w14:solidFill>
                      </w14:textFill>
                    </w:rPr>
                  </w:pPr>
                </w:p>
              </w:tc>
            </w:tr>
            <w:tr w14:paraId="225936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614" w:type="dxa"/>
                  <w:tcBorders>
                    <w:tl2br w:val="nil"/>
                    <w:tr2bl w:val="nil"/>
                  </w:tcBorders>
                  <w:noWrap w:val="0"/>
                  <w:vAlign w:val="center"/>
                </w:tcPr>
                <w:p w14:paraId="543E9A33">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cs="Times New Roman"/>
                      <w:color w:val="000000" w:themeColor="text1"/>
                      <w:sz w:val="21"/>
                      <w:szCs w:val="21"/>
                      <w:highlight w:val="none"/>
                      <w:u w:val="none"/>
                      <w:lang w:val="en-US" w:eastAsia="zh-CN"/>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8</w:t>
                  </w:r>
                </w:p>
              </w:tc>
              <w:tc>
                <w:tcPr>
                  <w:tcW w:w="1129" w:type="dxa"/>
                  <w:tcBorders>
                    <w:tl2br w:val="nil"/>
                    <w:tr2bl w:val="nil"/>
                  </w:tcBorders>
                  <w:shd w:val="clear" w:color="auto" w:fill="auto"/>
                  <w:noWrap w:val="0"/>
                  <w:vAlign w:val="center"/>
                </w:tcPr>
                <w:p w14:paraId="7CA2209D">
                  <w:pPr>
                    <w:pStyle w:val="58"/>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snapToGrid w:val="0"/>
                      <w:color w:val="000000" w:themeColor="text1"/>
                      <w:sz w:val="21"/>
                      <w:szCs w:val="21"/>
                      <w:highlight w:val="none"/>
                      <w:lang w:val="en-US" w:eastAsia="zh-CN"/>
                      <w14:textFill>
                        <w14:solidFill>
                          <w14:schemeClr w14:val="tx1"/>
                        </w14:solidFill>
                      </w14:textFill>
                    </w:rPr>
                    <w:t>提升机</w:t>
                  </w:r>
                </w:p>
              </w:tc>
              <w:tc>
                <w:tcPr>
                  <w:tcW w:w="662" w:type="dxa"/>
                  <w:tcBorders>
                    <w:tl2br w:val="nil"/>
                    <w:tr2bl w:val="nil"/>
                  </w:tcBorders>
                  <w:shd w:val="clear" w:color="auto" w:fill="auto"/>
                  <w:noWrap w:val="0"/>
                  <w:vAlign w:val="center"/>
                </w:tcPr>
                <w:p w14:paraId="2F73337F">
                  <w:pPr>
                    <w:pStyle w:val="105"/>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w:t>
                  </w:r>
                </w:p>
              </w:tc>
              <w:tc>
                <w:tcPr>
                  <w:tcW w:w="516" w:type="dxa"/>
                  <w:tcBorders>
                    <w:tl2br w:val="nil"/>
                    <w:tr2bl w:val="nil"/>
                  </w:tcBorders>
                  <w:noWrap w:val="0"/>
                  <w:vAlign w:val="center"/>
                </w:tcPr>
                <w:p w14:paraId="08DF766F">
                  <w:pPr>
                    <w:pStyle w:val="105"/>
                    <w:keepNext w:val="0"/>
                    <w:keepLines w:val="0"/>
                    <w:suppressLineNumbers w:val="0"/>
                    <w:spacing w:before="0" w:beforeAutospacing="0" w:after="0" w:afterAutospacing="0" w:line="240" w:lineRule="auto"/>
                    <w:ind w:left="0" w:right="0" w:firstLine="0" w:firstLineChars="0"/>
                    <w:jc w:val="center"/>
                    <w:rPr>
                      <w:rFonts w:hint="default"/>
                      <w:bCs/>
                      <w:color w:val="000000" w:themeColor="text1"/>
                      <w:sz w:val="21"/>
                      <w:szCs w:val="21"/>
                      <w:highlight w:val="none"/>
                      <w:lang w:val="en-US" w:eastAsia="zh-CN"/>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35</w:t>
                  </w:r>
                </w:p>
              </w:tc>
              <w:tc>
                <w:tcPr>
                  <w:tcW w:w="580" w:type="dxa"/>
                  <w:tcBorders>
                    <w:tl2br w:val="nil"/>
                    <w:tr2bl w:val="nil"/>
                  </w:tcBorders>
                  <w:noWrap w:val="0"/>
                  <w:vAlign w:val="center"/>
                </w:tcPr>
                <w:p w14:paraId="60631502">
                  <w:pPr>
                    <w:pStyle w:val="105"/>
                    <w:keepNext w:val="0"/>
                    <w:keepLines w:val="0"/>
                    <w:suppressLineNumbers w:val="0"/>
                    <w:spacing w:before="0" w:beforeAutospacing="0" w:after="0" w:afterAutospacing="0" w:line="240" w:lineRule="auto"/>
                    <w:ind w:left="0" w:right="0" w:firstLine="0" w:firstLineChars="0"/>
                    <w:jc w:val="center"/>
                    <w:rPr>
                      <w:rFonts w:hint="default"/>
                      <w:bCs/>
                      <w:color w:val="000000" w:themeColor="text1"/>
                      <w:sz w:val="21"/>
                      <w:szCs w:val="21"/>
                      <w:highlight w:val="none"/>
                      <w:lang w:val="en-US" w:eastAsia="zh-CN"/>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80</w:t>
                  </w:r>
                </w:p>
              </w:tc>
              <w:tc>
                <w:tcPr>
                  <w:tcW w:w="500" w:type="dxa"/>
                  <w:tcBorders>
                    <w:tl2br w:val="nil"/>
                    <w:tr2bl w:val="nil"/>
                  </w:tcBorders>
                  <w:noWrap w:val="0"/>
                  <w:vAlign w:val="center"/>
                </w:tcPr>
                <w:p w14:paraId="11CD5BE8">
                  <w:pPr>
                    <w:pStyle w:val="105"/>
                    <w:keepNext w:val="0"/>
                    <w:keepLines w:val="0"/>
                    <w:suppressLineNumbers w:val="0"/>
                    <w:spacing w:before="0" w:beforeAutospacing="0" w:after="0" w:afterAutospacing="0" w:line="240" w:lineRule="auto"/>
                    <w:ind w:left="0" w:right="0" w:firstLine="0" w:firstLineChars="0"/>
                    <w:jc w:val="center"/>
                    <w:rPr>
                      <w:rFonts w:hint="default" w:cs="Times New Roman"/>
                      <w:color w:val="000000" w:themeColor="text1"/>
                      <w:sz w:val="21"/>
                      <w:szCs w:val="21"/>
                      <w:highlight w:val="none"/>
                      <w:u w:val="none"/>
                      <w:lang w:val="en-US" w:eastAsia="zh-CN"/>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1.5</w:t>
                  </w:r>
                </w:p>
              </w:tc>
              <w:tc>
                <w:tcPr>
                  <w:tcW w:w="1145" w:type="dxa"/>
                  <w:tcBorders>
                    <w:tl2br w:val="nil"/>
                    <w:tr2bl w:val="nil"/>
                  </w:tcBorders>
                  <w:noWrap w:val="0"/>
                  <w:vAlign w:val="center"/>
                </w:tcPr>
                <w:p w14:paraId="3EABAE92">
                  <w:pPr>
                    <w:keepNext w:val="0"/>
                    <w:keepLines w:val="0"/>
                    <w:suppressLineNumbers w:val="0"/>
                    <w:spacing w:before="0" w:beforeAutospacing="0" w:after="0" w:afterAutospacing="0"/>
                    <w:ind w:left="0" w:right="0"/>
                    <w:jc w:val="center"/>
                    <w:rPr>
                      <w:rFonts w:hint="default"/>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70</w:t>
                  </w:r>
                </w:p>
              </w:tc>
              <w:tc>
                <w:tcPr>
                  <w:tcW w:w="1726" w:type="dxa"/>
                  <w:vMerge w:val="continue"/>
                  <w:tcBorders>
                    <w:tl2br w:val="nil"/>
                    <w:tr2bl w:val="nil"/>
                  </w:tcBorders>
                  <w:noWrap w:val="0"/>
                  <w:vAlign w:val="center"/>
                </w:tcPr>
                <w:p w14:paraId="0810D818">
                  <w:pPr>
                    <w:pStyle w:val="10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bCs/>
                      <w:color w:val="000000" w:themeColor="text1"/>
                      <w:sz w:val="21"/>
                      <w:szCs w:val="21"/>
                      <w:highlight w:val="none"/>
                      <w14:textFill>
                        <w14:solidFill>
                          <w14:schemeClr w14:val="tx1"/>
                        </w14:solidFill>
                      </w14:textFill>
                    </w:rPr>
                  </w:pPr>
                </w:p>
              </w:tc>
              <w:tc>
                <w:tcPr>
                  <w:tcW w:w="897" w:type="dxa"/>
                  <w:tcBorders>
                    <w:tl2br w:val="nil"/>
                    <w:tr2bl w:val="nil"/>
                  </w:tcBorders>
                  <w:noWrap w:val="0"/>
                  <w:vAlign w:val="center"/>
                </w:tcPr>
                <w:p w14:paraId="12F7B19B">
                  <w:pPr>
                    <w:keepNext w:val="0"/>
                    <w:keepLines w:val="0"/>
                    <w:suppressLineNumbers w:val="0"/>
                    <w:spacing w:before="0" w:beforeAutospacing="0" w:after="0" w:afterAutospacing="0"/>
                    <w:ind w:left="0" w:right="0"/>
                    <w:jc w:val="center"/>
                    <w:rPr>
                      <w:rFonts w:hint="eastAsia"/>
                      <w:color w:val="000000" w:themeColor="text1"/>
                      <w:sz w:val="21"/>
                      <w:szCs w:val="21"/>
                      <w:highlight w:val="none"/>
                      <w:lang w:val="en-US" w:eastAsia="zh-CN"/>
                      <w14:textFill>
                        <w14:solidFill>
                          <w14:schemeClr w14:val="tx1"/>
                        </w14:solidFill>
                      </w14:textFill>
                    </w:rPr>
                  </w:pPr>
                </w:p>
              </w:tc>
            </w:tr>
            <w:tr w14:paraId="73C8EF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614" w:type="dxa"/>
                  <w:tcBorders>
                    <w:tl2br w:val="nil"/>
                    <w:tr2bl w:val="nil"/>
                  </w:tcBorders>
                  <w:noWrap w:val="0"/>
                  <w:vAlign w:val="center"/>
                </w:tcPr>
                <w:p w14:paraId="3520AA44">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leftChars="0" w:right="0" w:rightChars="0"/>
                    <w:jc w:val="center"/>
                    <w:rPr>
                      <w:rFonts w:hint="default" w:cs="Times New Roman"/>
                      <w:color w:val="000000" w:themeColor="text1"/>
                      <w:sz w:val="21"/>
                      <w:szCs w:val="21"/>
                      <w:highlight w:val="none"/>
                      <w:u w:val="none"/>
                      <w:lang w:val="en-US" w:eastAsia="zh-CN"/>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9</w:t>
                  </w:r>
                </w:p>
              </w:tc>
              <w:tc>
                <w:tcPr>
                  <w:tcW w:w="1129" w:type="dxa"/>
                  <w:tcBorders>
                    <w:tl2br w:val="nil"/>
                    <w:tr2bl w:val="nil"/>
                  </w:tcBorders>
                  <w:shd w:val="clear" w:color="auto" w:fill="auto"/>
                  <w:noWrap w:val="0"/>
                  <w:vAlign w:val="center"/>
                </w:tcPr>
                <w:p w14:paraId="5AAA76F1">
                  <w:pPr>
                    <w:pStyle w:val="58"/>
                    <w:keepNext w:val="0"/>
                    <w:keepLines w:val="0"/>
                    <w:suppressLineNumbers w:val="0"/>
                    <w:spacing w:before="0" w:beforeAutospacing="0" w:after="0" w:afterAutospacing="0"/>
                    <w:ind w:left="0" w:leftChars="0" w:right="0" w:rightChars="0"/>
                    <w:jc w:val="center"/>
                    <w:rPr>
                      <w:rFonts w:hint="default"/>
                      <w:snapToGrid w:val="0"/>
                      <w:color w:val="000000" w:themeColor="text1"/>
                      <w:sz w:val="21"/>
                      <w:szCs w:val="21"/>
                      <w:highlight w:val="none"/>
                      <w:lang w:val="en-US" w:eastAsia="zh-CN"/>
                      <w14:textFill>
                        <w14:solidFill>
                          <w14:schemeClr w14:val="tx1"/>
                        </w14:solidFill>
                      </w14:textFill>
                    </w:rPr>
                  </w:pPr>
                  <w:r>
                    <w:rPr>
                      <w:rFonts w:hint="eastAsia"/>
                      <w:snapToGrid w:val="0"/>
                      <w:color w:val="000000" w:themeColor="text1"/>
                      <w:sz w:val="21"/>
                      <w:szCs w:val="21"/>
                      <w:highlight w:val="none"/>
                      <w:lang w:val="en-US" w:eastAsia="zh-CN"/>
                      <w14:textFill>
                        <w14:solidFill>
                          <w14:schemeClr w14:val="tx1"/>
                        </w14:solidFill>
                      </w14:textFill>
                    </w:rPr>
                    <w:t>水泵</w:t>
                  </w:r>
                </w:p>
              </w:tc>
              <w:tc>
                <w:tcPr>
                  <w:tcW w:w="662" w:type="dxa"/>
                  <w:tcBorders>
                    <w:tl2br w:val="nil"/>
                    <w:tr2bl w:val="nil"/>
                  </w:tcBorders>
                  <w:shd w:val="clear" w:color="auto" w:fill="auto"/>
                  <w:noWrap w:val="0"/>
                  <w:vAlign w:val="center"/>
                </w:tcPr>
                <w:p w14:paraId="4C322F11">
                  <w:pPr>
                    <w:pStyle w:val="105"/>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w:t>
                  </w:r>
                </w:p>
              </w:tc>
              <w:tc>
                <w:tcPr>
                  <w:tcW w:w="516" w:type="dxa"/>
                  <w:tcBorders>
                    <w:tl2br w:val="nil"/>
                    <w:tr2bl w:val="nil"/>
                  </w:tcBorders>
                  <w:shd w:val="clear" w:color="auto" w:fill="auto"/>
                  <w:noWrap w:val="0"/>
                  <w:vAlign w:val="center"/>
                </w:tcPr>
                <w:p w14:paraId="1017BE41">
                  <w:pPr>
                    <w:pStyle w:val="105"/>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78</w:t>
                  </w:r>
                </w:p>
              </w:tc>
              <w:tc>
                <w:tcPr>
                  <w:tcW w:w="580" w:type="dxa"/>
                  <w:tcBorders>
                    <w:tl2br w:val="nil"/>
                    <w:tr2bl w:val="nil"/>
                  </w:tcBorders>
                  <w:shd w:val="clear" w:color="auto" w:fill="auto"/>
                  <w:noWrap w:val="0"/>
                  <w:vAlign w:val="center"/>
                </w:tcPr>
                <w:p w14:paraId="35235ADF">
                  <w:pPr>
                    <w:pStyle w:val="105"/>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bCs/>
                      <w:color w:val="000000" w:themeColor="text1"/>
                      <w:sz w:val="21"/>
                      <w:szCs w:val="21"/>
                      <w:highlight w:val="none"/>
                      <w:lang w:val="en-US" w:eastAsia="zh-CN"/>
                      <w14:textFill>
                        <w14:solidFill>
                          <w14:schemeClr w14:val="tx1"/>
                        </w14:solidFill>
                      </w14:textFill>
                    </w:rPr>
                    <w:t>80</w:t>
                  </w:r>
                </w:p>
              </w:tc>
              <w:tc>
                <w:tcPr>
                  <w:tcW w:w="500" w:type="dxa"/>
                  <w:tcBorders>
                    <w:tl2br w:val="nil"/>
                    <w:tr2bl w:val="nil"/>
                  </w:tcBorders>
                  <w:shd w:val="clear" w:color="auto" w:fill="auto"/>
                  <w:noWrap w:val="0"/>
                  <w:vAlign w:val="center"/>
                </w:tcPr>
                <w:p w14:paraId="468743B2">
                  <w:pPr>
                    <w:pStyle w:val="105"/>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1.0</w:t>
                  </w:r>
                </w:p>
              </w:tc>
              <w:tc>
                <w:tcPr>
                  <w:tcW w:w="1145" w:type="dxa"/>
                  <w:tcBorders>
                    <w:tl2br w:val="nil"/>
                    <w:tr2bl w:val="nil"/>
                  </w:tcBorders>
                  <w:noWrap w:val="0"/>
                  <w:vAlign w:val="center"/>
                </w:tcPr>
                <w:p w14:paraId="3DDAB7C5">
                  <w:pPr>
                    <w:keepNext w:val="0"/>
                    <w:keepLines w:val="0"/>
                    <w:suppressLineNumbers w:val="0"/>
                    <w:spacing w:before="0" w:beforeAutospacing="0" w:after="0" w:afterAutospacing="0"/>
                    <w:ind w:left="0" w:right="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75</w:t>
                  </w:r>
                </w:p>
              </w:tc>
              <w:tc>
                <w:tcPr>
                  <w:tcW w:w="1726" w:type="dxa"/>
                  <w:vMerge w:val="continue"/>
                  <w:tcBorders>
                    <w:tl2br w:val="nil"/>
                    <w:tr2bl w:val="nil"/>
                  </w:tcBorders>
                  <w:noWrap w:val="0"/>
                  <w:vAlign w:val="center"/>
                </w:tcPr>
                <w:p w14:paraId="1AA5C688">
                  <w:pPr>
                    <w:pStyle w:val="10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bCs/>
                      <w:color w:val="000000" w:themeColor="text1"/>
                      <w:sz w:val="21"/>
                      <w:szCs w:val="21"/>
                      <w:highlight w:val="none"/>
                      <w14:textFill>
                        <w14:solidFill>
                          <w14:schemeClr w14:val="tx1"/>
                        </w14:solidFill>
                      </w14:textFill>
                    </w:rPr>
                  </w:pPr>
                </w:p>
              </w:tc>
              <w:tc>
                <w:tcPr>
                  <w:tcW w:w="897" w:type="dxa"/>
                  <w:tcBorders>
                    <w:tl2br w:val="nil"/>
                    <w:tr2bl w:val="nil"/>
                  </w:tcBorders>
                  <w:noWrap w:val="0"/>
                  <w:vAlign w:val="center"/>
                </w:tcPr>
                <w:p w14:paraId="37D6D337">
                  <w:pPr>
                    <w:keepNext w:val="0"/>
                    <w:keepLines w:val="0"/>
                    <w:suppressLineNumbers w:val="0"/>
                    <w:spacing w:before="0" w:beforeAutospacing="0" w:after="0" w:afterAutospacing="0"/>
                    <w:ind w:left="0" w:right="0"/>
                    <w:jc w:val="center"/>
                    <w:rPr>
                      <w:rFonts w:hint="eastAsia"/>
                      <w:color w:val="000000" w:themeColor="text1"/>
                      <w:sz w:val="21"/>
                      <w:szCs w:val="21"/>
                      <w:highlight w:val="none"/>
                      <w:lang w:val="en-US" w:eastAsia="zh-CN"/>
                      <w14:textFill>
                        <w14:solidFill>
                          <w14:schemeClr w14:val="tx1"/>
                        </w14:solidFill>
                      </w14:textFill>
                    </w:rPr>
                  </w:pPr>
                </w:p>
              </w:tc>
            </w:tr>
          </w:tbl>
          <w:p w14:paraId="7C1A6211">
            <w:pPr>
              <w:pStyle w:val="56"/>
              <w:keepNext w:val="0"/>
              <w:keepLines w:val="0"/>
              <w:suppressLineNumbers w:val="0"/>
              <w:adjustRightInd w:val="0"/>
              <w:snapToGrid w:val="0"/>
              <w:spacing w:before="0" w:beforeAutospacing="0" w:after="0" w:afterAutospacing="0" w:line="500" w:lineRule="atLeast"/>
              <w:ind w:left="0" w:leftChars="0" w:right="0" w:firstLine="0" w:firstLineChars="0"/>
              <w:jc w:val="cente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表4-</w:t>
            </w:r>
            <w:r>
              <w:rPr>
                <w:rFonts w:hint="eastAsia" w:cs="Times New Roman"/>
                <w:b/>
                <w:color w:val="000000" w:themeColor="text1"/>
                <w:kern w:val="2"/>
                <w:sz w:val="21"/>
                <w:szCs w:val="21"/>
                <w:highlight w:val="none"/>
                <w:lang w:val="en-US" w:eastAsia="zh-CN" w:bidi="ar-SA"/>
                <w14:textFill>
                  <w14:solidFill>
                    <w14:schemeClr w14:val="tx1"/>
                  </w14:solidFill>
                </w14:textFill>
              </w:rPr>
              <w:t>8</w:t>
            </w:r>
            <w: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 xml:space="preserve"> 工业企业噪声源强调查清单（室内声源）单位：dB（A）</w:t>
            </w:r>
          </w:p>
          <w:tbl>
            <w:tblPr>
              <w:tblStyle w:val="36"/>
              <w:tblW w:w="784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19"/>
              <w:gridCol w:w="513"/>
              <w:gridCol w:w="537"/>
              <w:gridCol w:w="484"/>
              <w:gridCol w:w="620"/>
              <w:gridCol w:w="707"/>
              <w:gridCol w:w="416"/>
              <w:gridCol w:w="416"/>
              <w:gridCol w:w="418"/>
              <w:gridCol w:w="473"/>
              <w:gridCol w:w="471"/>
              <w:gridCol w:w="384"/>
              <w:gridCol w:w="737"/>
              <w:gridCol w:w="625"/>
              <w:gridCol w:w="627"/>
            </w:tblGrid>
            <w:tr w14:paraId="54912F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419" w:type="dxa"/>
                  <w:vMerge w:val="restart"/>
                  <w:tcBorders>
                    <w:tl2br w:val="nil"/>
                    <w:tr2bl w:val="nil"/>
                  </w:tcBorders>
                  <w:noWrap w:val="0"/>
                  <w:vAlign w:val="center"/>
                </w:tcPr>
                <w:p w14:paraId="7922E78C">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序号</w:t>
                  </w:r>
                </w:p>
              </w:tc>
              <w:tc>
                <w:tcPr>
                  <w:tcW w:w="513" w:type="dxa"/>
                  <w:vMerge w:val="restart"/>
                  <w:tcBorders>
                    <w:tl2br w:val="nil"/>
                    <w:tr2bl w:val="nil"/>
                  </w:tcBorders>
                  <w:noWrap w:val="0"/>
                  <w:vAlign w:val="center"/>
                </w:tcPr>
                <w:p w14:paraId="4300C721">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建筑物名称</w:t>
                  </w:r>
                </w:p>
              </w:tc>
              <w:tc>
                <w:tcPr>
                  <w:tcW w:w="537" w:type="dxa"/>
                  <w:vMerge w:val="restart"/>
                  <w:tcBorders>
                    <w:tl2br w:val="nil"/>
                    <w:tr2bl w:val="nil"/>
                  </w:tcBorders>
                  <w:noWrap w:val="0"/>
                  <w:vAlign w:val="center"/>
                </w:tcPr>
                <w:p w14:paraId="439D0BED">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声源名称</w:t>
                  </w:r>
                </w:p>
              </w:tc>
              <w:tc>
                <w:tcPr>
                  <w:tcW w:w="484" w:type="dxa"/>
                  <w:vMerge w:val="restart"/>
                  <w:tcBorders>
                    <w:tl2br w:val="nil"/>
                    <w:tr2bl w:val="nil"/>
                  </w:tcBorders>
                  <w:noWrap w:val="0"/>
                  <w:vAlign w:val="center"/>
                </w:tcPr>
                <w:p w14:paraId="12EE9E17">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型号</w:t>
                  </w:r>
                </w:p>
              </w:tc>
              <w:tc>
                <w:tcPr>
                  <w:tcW w:w="620" w:type="dxa"/>
                  <w:vMerge w:val="restart"/>
                  <w:tcBorders>
                    <w:tl2br w:val="nil"/>
                    <w:tr2bl w:val="nil"/>
                  </w:tcBorders>
                  <w:noWrap w:val="0"/>
                  <w:vAlign w:val="center"/>
                </w:tcPr>
                <w:p w14:paraId="6E023BFA">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声源源强声功率级/dB（A）</w:t>
                  </w:r>
                </w:p>
              </w:tc>
              <w:tc>
                <w:tcPr>
                  <w:tcW w:w="707" w:type="dxa"/>
                  <w:vMerge w:val="restart"/>
                  <w:tcBorders>
                    <w:tl2br w:val="nil"/>
                    <w:tr2bl w:val="nil"/>
                  </w:tcBorders>
                  <w:noWrap w:val="0"/>
                  <w:vAlign w:val="center"/>
                </w:tcPr>
                <w:p w14:paraId="5495E316">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声源控制措施</w:t>
                  </w:r>
                </w:p>
              </w:tc>
              <w:tc>
                <w:tcPr>
                  <w:tcW w:w="1250" w:type="dxa"/>
                  <w:gridSpan w:val="3"/>
                  <w:vMerge w:val="restart"/>
                  <w:tcBorders>
                    <w:tl2br w:val="nil"/>
                    <w:tr2bl w:val="nil"/>
                  </w:tcBorders>
                  <w:noWrap w:val="0"/>
                  <w:vAlign w:val="center"/>
                </w:tcPr>
                <w:p w14:paraId="1D20B341">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空间相对位置/m</w:t>
                  </w:r>
                </w:p>
              </w:tc>
              <w:tc>
                <w:tcPr>
                  <w:tcW w:w="473" w:type="dxa"/>
                  <w:vMerge w:val="restart"/>
                  <w:tcBorders>
                    <w:tl2br w:val="nil"/>
                    <w:tr2bl w:val="nil"/>
                  </w:tcBorders>
                  <w:noWrap w:val="0"/>
                  <w:vAlign w:val="center"/>
                </w:tcPr>
                <w:p w14:paraId="3EF4C9FE">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距室内边界距离/m</w:t>
                  </w:r>
                </w:p>
              </w:tc>
              <w:tc>
                <w:tcPr>
                  <w:tcW w:w="471" w:type="dxa"/>
                  <w:vMerge w:val="restart"/>
                  <w:tcBorders>
                    <w:tl2br w:val="nil"/>
                    <w:tr2bl w:val="nil"/>
                  </w:tcBorders>
                  <w:noWrap w:val="0"/>
                  <w:vAlign w:val="center"/>
                </w:tcPr>
                <w:p w14:paraId="7B79EF8D">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室内边界声级/dB（A）</w:t>
                  </w:r>
                </w:p>
              </w:tc>
              <w:tc>
                <w:tcPr>
                  <w:tcW w:w="384" w:type="dxa"/>
                  <w:vMerge w:val="restart"/>
                  <w:tcBorders>
                    <w:tl2br w:val="nil"/>
                    <w:tr2bl w:val="nil"/>
                  </w:tcBorders>
                  <w:noWrap w:val="0"/>
                  <w:vAlign w:val="center"/>
                </w:tcPr>
                <w:p w14:paraId="3A95E531">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运行时段</w:t>
                  </w:r>
                </w:p>
              </w:tc>
              <w:tc>
                <w:tcPr>
                  <w:tcW w:w="737" w:type="dxa"/>
                  <w:vMerge w:val="restart"/>
                  <w:tcBorders>
                    <w:tl2br w:val="nil"/>
                    <w:tr2bl w:val="nil"/>
                  </w:tcBorders>
                  <w:noWrap w:val="0"/>
                  <w:vAlign w:val="center"/>
                </w:tcPr>
                <w:p w14:paraId="5E7AF773">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建筑物插入损失/dB（A）</w:t>
                  </w:r>
                </w:p>
              </w:tc>
              <w:tc>
                <w:tcPr>
                  <w:tcW w:w="1252" w:type="dxa"/>
                  <w:gridSpan w:val="2"/>
                  <w:tcBorders>
                    <w:tl2br w:val="nil"/>
                    <w:tr2bl w:val="nil"/>
                  </w:tcBorders>
                  <w:noWrap w:val="0"/>
                  <w:vAlign w:val="center"/>
                </w:tcPr>
                <w:p w14:paraId="75C2EB2F">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建筑物外噪声</w:t>
                  </w:r>
                </w:p>
              </w:tc>
            </w:tr>
            <w:tr w14:paraId="2222BD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19" w:type="dxa"/>
                  <w:vMerge w:val="continue"/>
                  <w:tcBorders>
                    <w:tl2br w:val="nil"/>
                    <w:tr2bl w:val="nil"/>
                  </w:tcBorders>
                  <w:noWrap w:val="0"/>
                  <w:vAlign w:val="center"/>
                </w:tcPr>
                <w:p w14:paraId="2EA580E4">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513" w:type="dxa"/>
                  <w:vMerge w:val="continue"/>
                  <w:tcBorders>
                    <w:tl2br w:val="nil"/>
                    <w:tr2bl w:val="nil"/>
                  </w:tcBorders>
                  <w:noWrap w:val="0"/>
                  <w:vAlign w:val="center"/>
                </w:tcPr>
                <w:p w14:paraId="008EEFB5">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537" w:type="dxa"/>
                  <w:vMerge w:val="continue"/>
                  <w:tcBorders>
                    <w:tl2br w:val="nil"/>
                    <w:tr2bl w:val="nil"/>
                  </w:tcBorders>
                  <w:noWrap w:val="0"/>
                  <w:vAlign w:val="center"/>
                </w:tcPr>
                <w:p w14:paraId="314896AF">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484" w:type="dxa"/>
                  <w:vMerge w:val="continue"/>
                  <w:tcBorders>
                    <w:tl2br w:val="nil"/>
                    <w:tr2bl w:val="nil"/>
                  </w:tcBorders>
                  <w:noWrap w:val="0"/>
                  <w:vAlign w:val="center"/>
                </w:tcPr>
                <w:p w14:paraId="1A2104AC">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620" w:type="dxa"/>
                  <w:vMerge w:val="continue"/>
                  <w:tcBorders>
                    <w:tl2br w:val="nil"/>
                    <w:tr2bl w:val="nil"/>
                  </w:tcBorders>
                  <w:noWrap w:val="0"/>
                  <w:vAlign w:val="center"/>
                </w:tcPr>
                <w:p w14:paraId="04DCB95C">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707" w:type="dxa"/>
                  <w:vMerge w:val="continue"/>
                  <w:tcBorders>
                    <w:tl2br w:val="nil"/>
                    <w:tr2bl w:val="nil"/>
                  </w:tcBorders>
                  <w:noWrap w:val="0"/>
                  <w:vAlign w:val="center"/>
                </w:tcPr>
                <w:p w14:paraId="75C16B44">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1250" w:type="dxa"/>
                  <w:gridSpan w:val="3"/>
                  <w:vMerge w:val="continue"/>
                  <w:tcBorders>
                    <w:tl2br w:val="nil"/>
                    <w:tr2bl w:val="nil"/>
                  </w:tcBorders>
                  <w:noWrap w:val="0"/>
                  <w:vAlign w:val="center"/>
                </w:tcPr>
                <w:p w14:paraId="340E6A83">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473" w:type="dxa"/>
                  <w:vMerge w:val="continue"/>
                  <w:tcBorders>
                    <w:tl2br w:val="nil"/>
                    <w:tr2bl w:val="nil"/>
                  </w:tcBorders>
                  <w:noWrap w:val="0"/>
                  <w:vAlign w:val="center"/>
                </w:tcPr>
                <w:p w14:paraId="66970396">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471" w:type="dxa"/>
                  <w:vMerge w:val="continue"/>
                  <w:tcBorders>
                    <w:tl2br w:val="nil"/>
                    <w:tr2bl w:val="nil"/>
                  </w:tcBorders>
                  <w:noWrap w:val="0"/>
                  <w:vAlign w:val="center"/>
                </w:tcPr>
                <w:p w14:paraId="796ECD58">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384" w:type="dxa"/>
                  <w:vMerge w:val="continue"/>
                  <w:tcBorders>
                    <w:tl2br w:val="nil"/>
                    <w:tr2bl w:val="nil"/>
                  </w:tcBorders>
                  <w:noWrap w:val="0"/>
                  <w:vAlign w:val="center"/>
                </w:tcPr>
                <w:p w14:paraId="08FAA285">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737" w:type="dxa"/>
                  <w:vMerge w:val="continue"/>
                  <w:tcBorders>
                    <w:tl2br w:val="nil"/>
                    <w:tr2bl w:val="nil"/>
                  </w:tcBorders>
                  <w:noWrap w:val="0"/>
                  <w:vAlign w:val="center"/>
                </w:tcPr>
                <w:p w14:paraId="5627D84D">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625" w:type="dxa"/>
                  <w:vMerge w:val="restart"/>
                  <w:tcBorders>
                    <w:tl2br w:val="nil"/>
                    <w:tr2bl w:val="nil"/>
                  </w:tcBorders>
                  <w:noWrap w:val="0"/>
                  <w:vAlign w:val="center"/>
                </w:tcPr>
                <w:p w14:paraId="32CBC27A">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声压级/dB（A）</w:t>
                  </w:r>
                </w:p>
              </w:tc>
              <w:tc>
                <w:tcPr>
                  <w:tcW w:w="627" w:type="dxa"/>
                  <w:vMerge w:val="restart"/>
                  <w:tcBorders>
                    <w:tl2br w:val="nil"/>
                    <w:tr2bl w:val="nil"/>
                  </w:tcBorders>
                  <w:noWrap w:val="0"/>
                  <w:vAlign w:val="center"/>
                </w:tcPr>
                <w:p w14:paraId="5690DC0E">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建筑物外距离（m）</w:t>
                  </w:r>
                </w:p>
              </w:tc>
            </w:tr>
            <w:tr w14:paraId="641EC9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419" w:type="dxa"/>
                  <w:vMerge w:val="continue"/>
                  <w:tcBorders>
                    <w:tl2br w:val="nil"/>
                    <w:tr2bl w:val="nil"/>
                  </w:tcBorders>
                  <w:noWrap w:val="0"/>
                  <w:vAlign w:val="center"/>
                </w:tcPr>
                <w:p w14:paraId="0F10C3B8">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513" w:type="dxa"/>
                  <w:vMerge w:val="continue"/>
                  <w:tcBorders>
                    <w:tl2br w:val="nil"/>
                    <w:tr2bl w:val="nil"/>
                  </w:tcBorders>
                  <w:noWrap w:val="0"/>
                  <w:vAlign w:val="center"/>
                </w:tcPr>
                <w:p w14:paraId="7DBC10E3">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537" w:type="dxa"/>
                  <w:vMerge w:val="continue"/>
                  <w:tcBorders>
                    <w:tl2br w:val="nil"/>
                    <w:tr2bl w:val="nil"/>
                  </w:tcBorders>
                  <w:noWrap w:val="0"/>
                  <w:vAlign w:val="center"/>
                </w:tcPr>
                <w:p w14:paraId="3A527782">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484" w:type="dxa"/>
                  <w:vMerge w:val="continue"/>
                  <w:tcBorders>
                    <w:tl2br w:val="nil"/>
                    <w:tr2bl w:val="nil"/>
                  </w:tcBorders>
                  <w:noWrap w:val="0"/>
                  <w:vAlign w:val="center"/>
                </w:tcPr>
                <w:p w14:paraId="057D80ED">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620" w:type="dxa"/>
                  <w:vMerge w:val="continue"/>
                  <w:tcBorders>
                    <w:tl2br w:val="nil"/>
                    <w:tr2bl w:val="nil"/>
                  </w:tcBorders>
                  <w:noWrap w:val="0"/>
                  <w:vAlign w:val="center"/>
                </w:tcPr>
                <w:p w14:paraId="3CCC695E">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707" w:type="dxa"/>
                  <w:vMerge w:val="continue"/>
                  <w:tcBorders>
                    <w:tl2br w:val="nil"/>
                    <w:tr2bl w:val="nil"/>
                  </w:tcBorders>
                  <w:noWrap w:val="0"/>
                  <w:vAlign w:val="center"/>
                </w:tcPr>
                <w:p w14:paraId="38979586">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416" w:type="dxa"/>
                  <w:tcBorders>
                    <w:tl2br w:val="nil"/>
                    <w:tr2bl w:val="nil"/>
                  </w:tcBorders>
                  <w:noWrap w:val="0"/>
                  <w:vAlign w:val="center"/>
                </w:tcPr>
                <w:p w14:paraId="5B9AD951">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X</w:t>
                  </w:r>
                </w:p>
              </w:tc>
              <w:tc>
                <w:tcPr>
                  <w:tcW w:w="416" w:type="dxa"/>
                  <w:tcBorders>
                    <w:tl2br w:val="nil"/>
                    <w:tr2bl w:val="nil"/>
                  </w:tcBorders>
                  <w:noWrap w:val="0"/>
                  <w:vAlign w:val="center"/>
                </w:tcPr>
                <w:p w14:paraId="5D05F2FB">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Y</w:t>
                  </w:r>
                </w:p>
              </w:tc>
              <w:tc>
                <w:tcPr>
                  <w:tcW w:w="418" w:type="dxa"/>
                  <w:tcBorders>
                    <w:tl2br w:val="nil"/>
                    <w:tr2bl w:val="nil"/>
                  </w:tcBorders>
                  <w:noWrap w:val="0"/>
                  <w:vAlign w:val="center"/>
                </w:tcPr>
                <w:p w14:paraId="0D310D2D">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Z</w:t>
                  </w:r>
                </w:p>
              </w:tc>
              <w:tc>
                <w:tcPr>
                  <w:tcW w:w="473" w:type="dxa"/>
                  <w:vMerge w:val="continue"/>
                  <w:tcBorders>
                    <w:tl2br w:val="nil"/>
                    <w:tr2bl w:val="nil"/>
                  </w:tcBorders>
                  <w:noWrap w:val="0"/>
                  <w:vAlign w:val="center"/>
                </w:tcPr>
                <w:p w14:paraId="0D1A3C7C">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471" w:type="dxa"/>
                  <w:vMerge w:val="continue"/>
                  <w:tcBorders>
                    <w:tl2br w:val="nil"/>
                    <w:tr2bl w:val="nil"/>
                  </w:tcBorders>
                  <w:noWrap w:val="0"/>
                  <w:vAlign w:val="center"/>
                </w:tcPr>
                <w:p w14:paraId="015694FC">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384" w:type="dxa"/>
                  <w:vMerge w:val="continue"/>
                  <w:tcBorders>
                    <w:tl2br w:val="nil"/>
                    <w:tr2bl w:val="nil"/>
                  </w:tcBorders>
                  <w:noWrap w:val="0"/>
                  <w:vAlign w:val="center"/>
                </w:tcPr>
                <w:p w14:paraId="0EF6F7CA">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737" w:type="dxa"/>
                  <w:vMerge w:val="continue"/>
                  <w:tcBorders>
                    <w:tl2br w:val="nil"/>
                    <w:tr2bl w:val="nil"/>
                  </w:tcBorders>
                  <w:noWrap w:val="0"/>
                  <w:vAlign w:val="center"/>
                </w:tcPr>
                <w:p w14:paraId="7ABEB09B">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625" w:type="dxa"/>
                  <w:vMerge w:val="continue"/>
                  <w:tcBorders>
                    <w:tl2br w:val="nil"/>
                    <w:tr2bl w:val="nil"/>
                  </w:tcBorders>
                  <w:noWrap w:val="0"/>
                  <w:vAlign w:val="center"/>
                </w:tcPr>
                <w:p w14:paraId="1544D468">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627" w:type="dxa"/>
                  <w:vMerge w:val="continue"/>
                  <w:tcBorders>
                    <w:tl2br w:val="nil"/>
                    <w:tr2bl w:val="nil"/>
                  </w:tcBorders>
                  <w:noWrap w:val="0"/>
                  <w:vAlign w:val="center"/>
                </w:tcPr>
                <w:p w14:paraId="7CF385EC">
                  <w:pPr>
                    <w:pStyle w:val="50"/>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r>
            <w:tr w14:paraId="0078A4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419" w:type="dxa"/>
                  <w:tcBorders>
                    <w:tl2br w:val="nil"/>
                    <w:tr2bl w:val="nil"/>
                  </w:tcBorders>
                  <w:noWrap w:val="0"/>
                  <w:vAlign w:val="center"/>
                </w:tcPr>
                <w:p w14:paraId="65016AF6">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1</w:t>
                  </w:r>
                </w:p>
              </w:tc>
              <w:tc>
                <w:tcPr>
                  <w:tcW w:w="513" w:type="dxa"/>
                  <w:tcBorders>
                    <w:tl2br w:val="nil"/>
                    <w:tr2bl w:val="nil"/>
                  </w:tcBorders>
                  <w:noWrap w:val="0"/>
                  <w:vAlign w:val="center"/>
                </w:tcPr>
                <w:p w14:paraId="5E2759CE">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热风炉</w:t>
                  </w:r>
                </w:p>
              </w:tc>
              <w:tc>
                <w:tcPr>
                  <w:tcW w:w="537" w:type="dxa"/>
                  <w:tcBorders>
                    <w:tl2br w:val="nil"/>
                    <w:tr2bl w:val="nil"/>
                  </w:tcBorders>
                  <w:noWrap w:val="0"/>
                  <w:vAlign w:val="center"/>
                </w:tcPr>
                <w:p w14:paraId="017F83E2">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14:textFill>
                        <w14:solidFill>
                          <w14:schemeClr w14:val="tx1"/>
                        </w14:solidFill>
                      </w14:textFill>
                    </w:rPr>
                    <w:t>热风炉</w:t>
                  </w:r>
                </w:p>
              </w:tc>
              <w:tc>
                <w:tcPr>
                  <w:tcW w:w="484" w:type="dxa"/>
                  <w:tcBorders>
                    <w:tl2br w:val="nil"/>
                    <w:tr2bl w:val="nil"/>
                  </w:tcBorders>
                  <w:noWrap w:val="0"/>
                  <w:vAlign w:val="center"/>
                </w:tcPr>
                <w:p w14:paraId="38F0307C">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w:t>
                  </w:r>
                </w:p>
              </w:tc>
              <w:tc>
                <w:tcPr>
                  <w:tcW w:w="620" w:type="dxa"/>
                  <w:tcBorders>
                    <w:tl2br w:val="nil"/>
                    <w:tr2bl w:val="nil"/>
                  </w:tcBorders>
                  <w:noWrap w:val="0"/>
                  <w:vAlign w:val="center"/>
                </w:tcPr>
                <w:p w14:paraId="39689CD9">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u w:val="none"/>
                      <w:lang w:val="en-US" w:eastAsia="zh-CN" w:bidi="ar-SA"/>
                      <w14:textFill>
                        <w14:solidFill>
                          <w14:schemeClr w14:val="tx1"/>
                        </w14:solidFill>
                      </w14:textFill>
                    </w:rPr>
                    <w:t>8</w:t>
                  </w:r>
                  <w:r>
                    <w:rPr>
                      <w:rFonts w:hint="eastAsia"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5</w:t>
                  </w:r>
                </w:p>
              </w:tc>
              <w:tc>
                <w:tcPr>
                  <w:tcW w:w="707" w:type="dxa"/>
                  <w:tcBorders>
                    <w:tl2br w:val="nil"/>
                    <w:tr2bl w:val="nil"/>
                  </w:tcBorders>
                  <w:noWrap w:val="0"/>
                  <w:vAlign w:val="center"/>
                </w:tcPr>
                <w:p w14:paraId="703692E0">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基础减振、厂房隔声等</w:t>
                  </w:r>
                </w:p>
              </w:tc>
              <w:tc>
                <w:tcPr>
                  <w:tcW w:w="416" w:type="dxa"/>
                  <w:tcBorders>
                    <w:tl2br w:val="nil"/>
                    <w:tr2bl w:val="nil"/>
                  </w:tcBorders>
                  <w:noWrap w:val="0"/>
                  <w:vAlign w:val="center"/>
                </w:tcPr>
                <w:p w14:paraId="14310E15">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u w:val="none"/>
                      <w:lang w:val="en-US" w:eastAsia="zh-CN" w:bidi="ar-SA"/>
                      <w14:textFill>
                        <w14:solidFill>
                          <w14:schemeClr w14:val="tx1"/>
                        </w14:solidFill>
                      </w14:textFill>
                    </w:rPr>
                    <w:t>70</w:t>
                  </w:r>
                </w:p>
              </w:tc>
              <w:tc>
                <w:tcPr>
                  <w:tcW w:w="416" w:type="dxa"/>
                  <w:tcBorders>
                    <w:tl2br w:val="nil"/>
                    <w:tr2bl w:val="nil"/>
                  </w:tcBorders>
                  <w:noWrap w:val="0"/>
                  <w:vAlign w:val="center"/>
                </w:tcPr>
                <w:p w14:paraId="4BB4F026">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u w:val="none"/>
                      <w:lang w:val="en-US" w:eastAsia="zh-CN" w:bidi="ar-SA"/>
                      <w14:textFill>
                        <w14:solidFill>
                          <w14:schemeClr w14:val="tx1"/>
                        </w14:solidFill>
                      </w14:textFill>
                    </w:rPr>
                    <w:t>75</w:t>
                  </w:r>
                </w:p>
              </w:tc>
              <w:tc>
                <w:tcPr>
                  <w:tcW w:w="418" w:type="dxa"/>
                  <w:tcBorders>
                    <w:tl2br w:val="nil"/>
                    <w:tr2bl w:val="nil"/>
                  </w:tcBorders>
                  <w:noWrap w:val="0"/>
                  <w:vAlign w:val="center"/>
                </w:tcPr>
                <w:p w14:paraId="462D46CE">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u w:val="none"/>
                      <w:lang w:val="en-US" w:eastAsia="zh-CN" w:bidi="ar-SA"/>
                      <w14:textFill>
                        <w14:solidFill>
                          <w14:schemeClr w14:val="tx1"/>
                        </w14:solidFill>
                      </w14:textFill>
                    </w:rPr>
                    <w:t>3</w:t>
                  </w:r>
                </w:p>
              </w:tc>
              <w:tc>
                <w:tcPr>
                  <w:tcW w:w="473" w:type="dxa"/>
                  <w:tcBorders>
                    <w:tl2br w:val="nil"/>
                    <w:tr2bl w:val="nil"/>
                  </w:tcBorders>
                  <w:noWrap w:val="0"/>
                  <w:vAlign w:val="center"/>
                </w:tcPr>
                <w:p w14:paraId="6154AA94">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u w:val="none"/>
                      <w:lang w:val="en-US" w:eastAsia="zh-CN" w:bidi="ar-SA"/>
                      <w14:textFill>
                        <w14:solidFill>
                          <w14:schemeClr w14:val="tx1"/>
                        </w14:solidFill>
                      </w14:textFill>
                    </w:rPr>
                    <w:t>3</w:t>
                  </w:r>
                </w:p>
              </w:tc>
              <w:tc>
                <w:tcPr>
                  <w:tcW w:w="471" w:type="dxa"/>
                  <w:tcBorders>
                    <w:tl2br w:val="nil"/>
                    <w:tr2bl w:val="nil"/>
                  </w:tcBorders>
                  <w:noWrap w:val="0"/>
                  <w:vAlign w:val="center"/>
                </w:tcPr>
                <w:p w14:paraId="202B9EBF">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u w:val="none"/>
                      <w:lang w:val="en-US" w:eastAsia="zh-CN" w:bidi="ar-SA"/>
                      <w14:textFill>
                        <w14:solidFill>
                          <w14:schemeClr w14:val="tx1"/>
                        </w14:solidFill>
                      </w14:textFill>
                    </w:rPr>
                    <w:t>76</w:t>
                  </w:r>
                </w:p>
              </w:tc>
              <w:tc>
                <w:tcPr>
                  <w:tcW w:w="384" w:type="dxa"/>
                  <w:vMerge w:val="restart"/>
                  <w:tcBorders>
                    <w:tl2br w:val="nil"/>
                    <w:tr2bl w:val="nil"/>
                  </w:tcBorders>
                  <w:noWrap w:val="0"/>
                  <w:vAlign w:val="center"/>
                </w:tcPr>
                <w:p w14:paraId="094B259E">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昼间、夜间</w:t>
                  </w:r>
                </w:p>
              </w:tc>
              <w:tc>
                <w:tcPr>
                  <w:tcW w:w="737" w:type="dxa"/>
                  <w:tcBorders>
                    <w:tl2br w:val="nil"/>
                    <w:tr2bl w:val="nil"/>
                  </w:tcBorders>
                  <w:noWrap w:val="0"/>
                  <w:vAlign w:val="center"/>
                </w:tcPr>
                <w:p w14:paraId="6D378F5D">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20</w:t>
                  </w:r>
                </w:p>
              </w:tc>
              <w:tc>
                <w:tcPr>
                  <w:tcW w:w="625" w:type="dxa"/>
                  <w:tcBorders>
                    <w:tl2br w:val="nil"/>
                    <w:tr2bl w:val="nil"/>
                  </w:tcBorders>
                  <w:noWrap w:val="0"/>
                  <w:vAlign w:val="center"/>
                </w:tcPr>
                <w:p w14:paraId="6A1E56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50</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 </w:t>
                  </w:r>
                </w:p>
              </w:tc>
              <w:tc>
                <w:tcPr>
                  <w:tcW w:w="627" w:type="dxa"/>
                  <w:tcBorders>
                    <w:tl2br w:val="nil"/>
                    <w:tr2bl w:val="nil"/>
                  </w:tcBorders>
                  <w:noWrap w:val="0"/>
                  <w:vAlign w:val="center"/>
                </w:tcPr>
                <w:p w14:paraId="3BC2B657">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1</w:t>
                  </w:r>
                </w:p>
              </w:tc>
            </w:tr>
            <w:tr w14:paraId="6B7E23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419" w:type="dxa"/>
                  <w:tcBorders>
                    <w:tl2br w:val="nil"/>
                    <w:tr2bl w:val="nil"/>
                  </w:tcBorders>
                  <w:noWrap w:val="0"/>
                  <w:vAlign w:val="center"/>
                </w:tcPr>
                <w:p w14:paraId="7A3D1523">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2</w:t>
                  </w:r>
                </w:p>
              </w:tc>
              <w:tc>
                <w:tcPr>
                  <w:tcW w:w="513" w:type="dxa"/>
                  <w:tcBorders>
                    <w:tl2br w:val="nil"/>
                    <w:tr2bl w:val="nil"/>
                  </w:tcBorders>
                  <w:noWrap w:val="0"/>
                  <w:vAlign w:val="center"/>
                </w:tcPr>
                <w:p w14:paraId="21AAEF3F">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eastAsia"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热风炉</w:t>
                  </w:r>
                </w:p>
              </w:tc>
              <w:tc>
                <w:tcPr>
                  <w:tcW w:w="537" w:type="dxa"/>
                  <w:tcBorders>
                    <w:tl2br w:val="nil"/>
                    <w:tr2bl w:val="nil"/>
                  </w:tcBorders>
                  <w:noWrap w:val="0"/>
                  <w:vAlign w:val="center"/>
                </w:tcPr>
                <w:p w14:paraId="4A6DA56B">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eastAsia"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hAnsi="宋体" w:cs="宋体"/>
                      <w:color w:val="000000" w:themeColor="text1"/>
                      <w:kern w:val="0"/>
                      <w:sz w:val="21"/>
                      <w:szCs w:val="21"/>
                      <w:highlight w:val="none"/>
                      <w:lang w:eastAsia="zh-CN" w:bidi="ar"/>
                      <w14:textFill>
                        <w14:solidFill>
                          <w14:schemeClr w14:val="tx1"/>
                        </w14:solidFill>
                      </w14:textFill>
                    </w:rPr>
                    <w:t>风机</w:t>
                  </w:r>
                </w:p>
              </w:tc>
              <w:tc>
                <w:tcPr>
                  <w:tcW w:w="484" w:type="dxa"/>
                  <w:tcBorders>
                    <w:tl2br w:val="nil"/>
                    <w:tr2bl w:val="nil"/>
                  </w:tcBorders>
                  <w:noWrap w:val="0"/>
                  <w:vAlign w:val="center"/>
                </w:tcPr>
                <w:p w14:paraId="1923282A">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w:t>
                  </w:r>
                </w:p>
              </w:tc>
              <w:tc>
                <w:tcPr>
                  <w:tcW w:w="620" w:type="dxa"/>
                  <w:tcBorders>
                    <w:tl2br w:val="nil"/>
                    <w:tr2bl w:val="nil"/>
                  </w:tcBorders>
                  <w:noWrap w:val="0"/>
                  <w:vAlign w:val="center"/>
                </w:tcPr>
                <w:p w14:paraId="4980D6B4">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eastAsia"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80</w:t>
                  </w:r>
                </w:p>
              </w:tc>
              <w:tc>
                <w:tcPr>
                  <w:tcW w:w="707" w:type="dxa"/>
                  <w:tcBorders>
                    <w:tl2br w:val="nil"/>
                    <w:tr2bl w:val="nil"/>
                  </w:tcBorders>
                  <w:noWrap w:val="0"/>
                  <w:vAlign w:val="center"/>
                </w:tcPr>
                <w:p w14:paraId="74F8204C">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基础减</w:t>
                  </w:r>
                </w:p>
                <w:p w14:paraId="4B698DD5">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振、厂房隔声等</w:t>
                  </w:r>
                </w:p>
              </w:tc>
              <w:tc>
                <w:tcPr>
                  <w:tcW w:w="416" w:type="dxa"/>
                  <w:tcBorders>
                    <w:tl2br w:val="nil"/>
                    <w:tr2bl w:val="nil"/>
                  </w:tcBorders>
                  <w:noWrap w:val="0"/>
                  <w:vAlign w:val="center"/>
                </w:tcPr>
                <w:p w14:paraId="60502E19">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u w:val="none"/>
                      <w:lang w:val="en-US" w:eastAsia="zh-CN" w:bidi="ar-SA"/>
                      <w14:textFill>
                        <w14:solidFill>
                          <w14:schemeClr w14:val="tx1"/>
                        </w14:solidFill>
                      </w14:textFill>
                    </w:rPr>
                    <w:t>70</w:t>
                  </w:r>
                </w:p>
              </w:tc>
              <w:tc>
                <w:tcPr>
                  <w:tcW w:w="416" w:type="dxa"/>
                  <w:tcBorders>
                    <w:tl2br w:val="nil"/>
                    <w:tr2bl w:val="nil"/>
                  </w:tcBorders>
                  <w:noWrap w:val="0"/>
                  <w:vAlign w:val="center"/>
                </w:tcPr>
                <w:p w14:paraId="3B7CDC57">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u w:val="none"/>
                      <w:lang w:val="en-US" w:eastAsia="zh-CN" w:bidi="ar-SA"/>
                      <w14:textFill>
                        <w14:solidFill>
                          <w14:schemeClr w14:val="tx1"/>
                        </w14:solidFill>
                      </w14:textFill>
                    </w:rPr>
                    <w:t>70</w:t>
                  </w:r>
                </w:p>
              </w:tc>
              <w:tc>
                <w:tcPr>
                  <w:tcW w:w="418" w:type="dxa"/>
                  <w:tcBorders>
                    <w:tl2br w:val="nil"/>
                    <w:tr2bl w:val="nil"/>
                  </w:tcBorders>
                  <w:noWrap w:val="0"/>
                  <w:vAlign w:val="center"/>
                </w:tcPr>
                <w:p w14:paraId="6D7334ED">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u w:val="none"/>
                      <w:lang w:val="en-US" w:eastAsia="zh-CN" w:bidi="ar-SA"/>
                      <w14:textFill>
                        <w14:solidFill>
                          <w14:schemeClr w14:val="tx1"/>
                        </w14:solidFill>
                      </w14:textFill>
                    </w:rPr>
                    <w:t>1</w:t>
                  </w:r>
                </w:p>
              </w:tc>
              <w:tc>
                <w:tcPr>
                  <w:tcW w:w="473" w:type="dxa"/>
                  <w:tcBorders>
                    <w:tl2br w:val="nil"/>
                    <w:tr2bl w:val="nil"/>
                  </w:tcBorders>
                  <w:noWrap w:val="0"/>
                  <w:vAlign w:val="center"/>
                </w:tcPr>
                <w:p w14:paraId="0BE4F273">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eastAsia"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u w:val="none"/>
                      <w:lang w:val="en-US" w:eastAsia="zh-CN" w:bidi="ar-SA"/>
                      <w14:textFill>
                        <w14:solidFill>
                          <w14:schemeClr w14:val="tx1"/>
                        </w14:solidFill>
                      </w14:textFill>
                    </w:rPr>
                    <w:t>2</w:t>
                  </w:r>
                </w:p>
              </w:tc>
              <w:tc>
                <w:tcPr>
                  <w:tcW w:w="471" w:type="dxa"/>
                  <w:tcBorders>
                    <w:tl2br w:val="nil"/>
                    <w:tr2bl w:val="nil"/>
                  </w:tcBorders>
                  <w:noWrap w:val="0"/>
                  <w:vAlign w:val="center"/>
                </w:tcPr>
                <w:p w14:paraId="6FEB9D0C">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u w:val="none"/>
                      <w:lang w:val="en-US" w:eastAsia="zh-CN" w:bidi="ar-SA"/>
                      <w14:textFill>
                        <w14:solidFill>
                          <w14:schemeClr w14:val="tx1"/>
                        </w14:solidFill>
                      </w14:textFill>
                    </w:rPr>
                    <w:t>74</w:t>
                  </w:r>
                </w:p>
              </w:tc>
              <w:tc>
                <w:tcPr>
                  <w:tcW w:w="384" w:type="dxa"/>
                  <w:vMerge w:val="continue"/>
                  <w:tcBorders>
                    <w:tl2br w:val="nil"/>
                    <w:tr2bl w:val="nil"/>
                  </w:tcBorders>
                  <w:noWrap w:val="0"/>
                  <w:vAlign w:val="center"/>
                </w:tcPr>
                <w:p w14:paraId="5C855AB5">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p>
              </w:tc>
              <w:tc>
                <w:tcPr>
                  <w:tcW w:w="737" w:type="dxa"/>
                  <w:tcBorders>
                    <w:tl2br w:val="nil"/>
                    <w:tr2bl w:val="nil"/>
                  </w:tcBorders>
                  <w:noWrap w:val="0"/>
                  <w:vAlign w:val="center"/>
                </w:tcPr>
                <w:p w14:paraId="15508052">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20</w:t>
                  </w:r>
                </w:p>
              </w:tc>
              <w:tc>
                <w:tcPr>
                  <w:tcW w:w="625" w:type="dxa"/>
                  <w:tcBorders>
                    <w:tl2br w:val="nil"/>
                    <w:tr2bl w:val="nil"/>
                  </w:tcBorders>
                  <w:noWrap w:val="0"/>
                  <w:vAlign w:val="center"/>
                </w:tcPr>
                <w:p w14:paraId="21B76A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48</w:t>
                  </w:r>
                </w:p>
              </w:tc>
              <w:tc>
                <w:tcPr>
                  <w:tcW w:w="627" w:type="dxa"/>
                  <w:tcBorders>
                    <w:tl2br w:val="nil"/>
                    <w:tr2bl w:val="nil"/>
                  </w:tcBorders>
                  <w:noWrap w:val="0"/>
                  <w:vAlign w:val="center"/>
                </w:tcPr>
                <w:p w14:paraId="048E3022">
                  <w:pPr>
                    <w:pStyle w:val="50"/>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t>1</w:t>
                  </w:r>
                </w:p>
              </w:tc>
            </w:tr>
          </w:tbl>
          <w:p w14:paraId="343F4C9F">
            <w:pPr>
              <w:keepNext w:val="0"/>
              <w:keepLines w:val="0"/>
              <w:suppressLineNumbers w:val="0"/>
              <w:adjustRightIn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（二）噪声影响</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预测</w:t>
            </w:r>
          </w:p>
          <w:p w14:paraId="239EDC2D">
            <w:pPr>
              <w:pStyle w:val="105"/>
              <w:keepNext w:val="0"/>
              <w:keepLines w:val="0"/>
              <w:suppressLineNumbers w:val="0"/>
              <w:adjustRightInd/>
              <w:snapToGrid/>
              <w:spacing w:before="0" w:beforeAutospacing="0" w:after="0" w:afterAutospacing="0"/>
              <w:ind w:left="0" w:right="0" w:firstLine="48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预测模式采用《环境影响评价技术导则-声环境》（HJ2.4-2021）中推荐的预测模式。</w:t>
            </w:r>
          </w:p>
          <w:p w14:paraId="2FCB9FFF">
            <w:pPr>
              <w:pStyle w:val="67"/>
              <w:keepNext w:val="0"/>
              <w:keepLines w:val="0"/>
              <w:suppressLineNumbers w:val="0"/>
              <w:spacing w:before="0" w:beforeAutospacing="0" w:after="0" w:afterAutospacing="0" w:line="360" w:lineRule="auto"/>
              <w:ind w:left="0" w:leftChars="0" w:right="0" w:rightChars="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（1）室内设备噪声影响预测采用室内声场扩散衰减模式，具体如下：</w:t>
            </w:r>
          </w:p>
          <w:p w14:paraId="5556DED5">
            <w:pPr>
              <w:pStyle w:val="67"/>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drawing>
                <wp:anchor distT="0" distB="0" distL="114300" distR="114300" simplePos="0" relativeHeight="251661312" behindDoc="0" locked="0" layoutInCell="1" allowOverlap="1">
                  <wp:simplePos x="0" y="0"/>
                  <wp:positionH relativeFrom="column">
                    <wp:posOffset>1333500</wp:posOffset>
                  </wp:positionH>
                  <wp:positionV relativeFrom="paragraph">
                    <wp:posOffset>227330</wp:posOffset>
                  </wp:positionV>
                  <wp:extent cx="2409825" cy="428625"/>
                  <wp:effectExtent l="0" t="0" r="0" b="3175"/>
                  <wp:wrapSquare wrapText="bothSides"/>
                  <wp:docPr id="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pic:cNvPicPr>
                            <a:picLocks noChangeAspect="1"/>
                          </pic:cNvPicPr>
                        </pic:nvPicPr>
                        <pic:blipFill>
                          <a:blip r:embed="rId31"/>
                          <a:stretch>
                            <a:fillRect/>
                          </a:stretch>
                        </pic:blipFill>
                        <pic:spPr>
                          <a:xfrm>
                            <a:off x="0" y="0"/>
                            <a:ext cx="2409825" cy="428625"/>
                          </a:xfrm>
                          <a:prstGeom prst="rect">
                            <a:avLst/>
                          </a:prstGeom>
                          <a:noFill/>
                          <a:ln>
                            <a:noFill/>
                          </a:ln>
                        </pic:spPr>
                      </pic:pic>
                    </a:graphicData>
                  </a:graphic>
                </wp:anchor>
              </w:drawing>
            </w:r>
          </w:p>
          <w:p w14:paraId="2D12826C">
            <w:pPr>
              <w:pStyle w:val="67"/>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3829050</wp:posOffset>
                      </wp:positionH>
                      <wp:positionV relativeFrom="paragraph">
                        <wp:posOffset>144780</wp:posOffset>
                      </wp:positionV>
                      <wp:extent cx="443865" cy="207010"/>
                      <wp:effectExtent l="0" t="0" r="0" b="0"/>
                      <wp:wrapNone/>
                      <wp:docPr id="12" name="文本框 9"/>
                      <wp:cNvGraphicFramePr/>
                      <a:graphic xmlns:a="http://schemas.openxmlformats.org/drawingml/2006/main">
                        <a:graphicData uri="http://schemas.microsoft.com/office/word/2010/wordprocessingShape">
                          <wps:wsp>
                            <wps:cNvSpPr txBox="1">
                              <a:spLocks noChangeArrowheads="1"/>
                            </wps:cNvSpPr>
                            <wps:spPr bwMode="auto">
                              <a:xfrm>
                                <a:off x="0" y="0"/>
                                <a:ext cx="443865" cy="207010"/>
                              </a:xfrm>
                              <a:prstGeom prst="rect">
                                <a:avLst/>
                              </a:prstGeom>
                              <a:noFill/>
                              <a:ln>
                                <a:noFill/>
                              </a:ln>
                              <a:effectLst/>
                            </wps:spPr>
                            <wps:txbx>
                              <w:txbxContent>
                                <w:p w14:paraId="5829391D">
                                  <w:r>
                                    <w:rPr>
                                      <w:rFonts w:hint="eastAsia"/>
                                    </w:rPr>
                                    <w:t>－</w:t>
                                  </w:r>
                                  <w:r>
                                    <w:rPr>
                                      <w:rFonts w:hint="eastAsia"/>
                                      <w:i/>
                                    </w:rPr>
                                    <w:t>L</w:t>
                                  </w:r>
                                  <w:r>
                                    <w:rPr>
                                      <w:rFonts w:hint="eastAsia"/>
                                      <w:i/>
                                      <w:vertAlign w:val="subscript"/>
                                    </w:rPr>
                                    <w:t>TL</w:t>
                                  </w:r>
                                </w:p>
                              </w:txbxContent>
                            </wps:txbx>
                            <wps:bodyPr rot="0" vert="horz" wrap="square" lIns="0" tIns="0" rIns="0" bIns="0" anchor="t" anchorCtr="0" upright="1">
                              <a:noAutofit/>
                            </wps:bodyPr>
                          </wps:wsp>
                        </a:graphicData>
                      </a:graphic>
                    </wp:anchor>
                  </w:drawing>
                </mc:Choice>
                <mc:Fallback>
                  <w:pict>
                    <v:shape id="文本框 9" o:spid="_x0000_s1026" o:spt="202" type="#_x0000_t202" style="position:absolute;left:0pt;margin-left:301.5pt;margin-top:11.4pt;height:16.3pt;width:34.95pt;z-index:251662336;mso-width-relative:page;mso-height-relative:page;" filled="f" stroked="f" coordsize="21600,21600" o:gfxdata="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Pvwoy2QAAAAkBAAAPAAAAAAAA&#10;AAEAIAAAACIAAABkcnMvZG93bnJldi54bWxQSwECFAAUAAAACACHTuJAcmXWyBECAAATBAAADgAA&#10;AAAAAAABACAAAAAoAQAAZHJzL2Uyb0RvYy54bWxQSwUGAAAAAAYABgBZAQAAqwUAAAAA&#10;">
                      <v:fill on="f" focussize="0,0"/>
                      <v:stroke on="f"/>
                      <v:imagedata o:title=""/>
                      <o:lock v:ext="edit" aspectratio="f"/>
                      <v:textbox inset="0mm,0mm,0mm,0mm">
                        <w:txbxContent>
                          <w:p w14:paraId="5829391D">
                            <w:r>
                              <w:rPr>
                                <w:rFonts w:hint="eastAsia"/>
                              </w:rPr>
                              <w:t>－</w:t>
                            </w:r>
                            <w:r>
                              <w:rPr>
                                <w:rFonts w:hint="eastAsia"/>
                                <w:i/>
                              </w:rPr>
                              <w:t>L</w:t>
                            </w:r>
                            <w:r>
                              <w:rPr>
                                <w:rFonts w:hint="eastAsia"/>
                                <w:i/>
                                <w:vertAlign w:val="subscript"/>
                              </w:rPr>
                              <w:t>TL</w:t>
                            </w:r>
                          </w:p>
                        </w:txbxContent>
                      </v:textbox>
                    </v:shape>
                  </w:pict>
                </mc:Fallback>
              </mc:AlternateContent>
            </w:r>
          </w:p>
          <w:p w14:paraId="23D67219">
            <w:pPr>
              <w:pStyle w:val="67"/>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color w:val="000000" w:themeColor="text1"/>
                <w:sz w:val="24"/>
                <w:szCs w:val="24"/>
                <w:highlight w:val="none"/>
                <w14:textFill>
                  <w14:solidFill>
                    <w14:schemeClr w14:val="tx1"/>
                  </w14:solidFill>
                </w14:textFill>
              </w:rPr>
            </w:pPr>
          </w:p>
          <w:p w14:paraId="5A2427BB">
            <w:pPr>
              <w:pStyle w:val="67"/>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式中：L</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P</w:t>
            </w:r>
            <w:r>
              <w:rPr>
                <w:rFonts w:hint="default" w:ascii="Times New Roman" w:hAnsi="Times New Roman" w:eastAsia="宋体" w:cs="Times New Roman"/>
                <w:color w:val="000000" w:themeColor="text1"/>
                <w:sz w:val="24"/>
                <w:szCs w:val="24"/>
                <w:highlight w:val="none"/>
                <w14:textFill>
                  <w14:solidFill>
                    <w14:schemeClr w14:val="tx1"/>
                  </w14:solidFill>
                </w14:textFill>
              </w:rPr>
              <w:t>——预测点的噪声级（dB）；</w:t>
            </w:r>
          </w:p>
          <w:p w14:paraId="5F1B44C0">
            <w:pPr>
              <w:pStyle w:val="67"/>
              <w:keepNext w:val="0"/>
              <w:keepLines w:val="0"/>
              <w:suppressLineNumbers w:val="0"/>
              <w:spacing w:before="0" w:beforeAutospacing="0" w:after="0" w:afterAutospacing="0" w:line="360" w:lineRule="auto"/>
              <w:ind w:left="0" w:leftChars="0" w:right="0" w:rightChars="0" w:firstLine="1260" w:firstLineChars="525"/>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Lw——声源声功率级（dB）；</w:t>
            </w:r>
          </w:p>
          <w:p w14:paraId="231A0D24">
            <w:pPr>
              <w:pStyle w:val="67"/>
              <w:keepNext w:val="0"/>
              <w:keepLines w:val="0"/>
              <w:suppressLineNumbers w:val="0"/>
              <w:spacing w:before="0" w:beforeAutospacing="0" w:after="0" w:afterAutospacing="0" w:line="360" w:lineRule="auto"/>
              <w:ind w:left="0" w:leftChars="0" w:right="0" w:rightChars="0" w:firstLine="1260" w:firstLineChars="525"/>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Q——室内空间指向因子，（完全自由空间Q=1，半自由空间Q=2，1/4自由空间Q=4，1/8自由空间Q=8）</w:t>
            </w:r>
          </w:p>
          <w:p w14:paraId="4B531F6E">
            <w:pPr>
              <w:pStyle w:val="67"/>
              <w:keepNext w:val="0"/>
              <w:keepLines w:val="0"/>
              <w:suppressLineNumbers w:val="0"/>
              <w:spacing w:before="0" w:beforeAutospacing="0" w:after="0" w:afterAutospacing="0" w:line="360" w:lineRule="auto"/>
              <w:ind w:left="0" w:leftChars="0" w:right="0" w:rightChars="0" w:firstLine="1260" w:firstLineChars="525"/>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R——预测点离声源距离（m）；</w:t>
            </w:r>
          </w:p>
          <w:p w14:paraId="3912B10E">
            <w:pPr>
              <w:pStyle w:val="67"/>
              <w:keepNext w:val="0"/>
              <w:keepLines w:val="0"/>
              <w:suppressLineNumbers w:val="0"/>
              <w:spacing w:before="0" w:beforeAutospacing="0" w:after="0" w:afterAutospacing="0" w:line="360" w:lineRule="auto"/>
              <w:ind w:left="0" w:leftChars="0" w:right="0" w:rightChars="0" w:firstLine="1260" w:firstLineChars="525"/>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R——室内房间常数（由房间材料决定）；</w:t>
            </w:r>
          </w:p>
          <w:p w14:paraId="65BE5896">
            <w:pPr>
              <w:pStyle w:val="67"/>
              <w:keepNext w:val="0"/>
              <w:keepLines w:val="0"/>
              <w:suppressLineNumbers w:val="0"/>
              <w:spacing w:before="0" w:beforeAutospacing="0" w:after="0" w:afterAutospacing="0" w:line="360" w:lineRule="auto"/>
              <w:ind w:left="0" w:leftChars="0" w:right="0" w:rightChars="0" w:firstLine="1260" w:firstLineChars="525"/>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C——空气中的声速（m/s）；</w:t>
            </w:r>
          </w:p>
          <w:p w14:paraId="1175B496">
            <w:pPr>
              <w:pStyle w:val="67"/>
              <w:keepNext w:val="0"/>
              <w:keepLines w:val="0"/>
              <w:suppressLineNumbers w:val="0"/>
              <w:spacing w:before="0" w:beforeAutospacing="0" w:after="0" w:afterAutospacing="0" w:line="360" w:lineRule="auto"/>
              <w:ind w:left="0" w:leftChars="0" w:right="0" w:rightChars="0" w:firstLine="1260" w:firstLineChars="525"/>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L</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TL</w:t>
            </w:r>
            <w:r>
              <w:rPr>
                <w:rFonts w:hint="default" w:ascii="Times New Roman" w:hAnsi="Times New Roman" w:eastAsia="宋体" w:cs="Times New Roman"/>
                <w:color w:val="000000" w:themeColor="text1"/>
                <w:sz w:val="24"/>
                <w:szCs w:val="24"/>
                <w:highlight w:val="none"/>
                <w14:textFill>
                  <w14:solidFill>
                    <w14:schemeClr w14:val="tx1"/>
                  </w14:solidFill>
                </w14:textFill>
              </w:rPr>
              <w:t>——隔墙的传声损失（dB）。</w:t>
            </w:r>
          </w:p>
          <w:p w14:paraId="72EDE09E">
            <w:pPr>
              <w:pStyle w:val="67"/>
              <w:keepNext w:val="0"/>
              <w:keepLines w:val="0"/>
              <w:suppressLineNumbers w:val="0"/>
              <w:spacing w:before="0" w:beforeAutospacing="0" w:after="0" w:afterAutospacing="0" w:line="360" w:lineRule="auto"/>
              <w:ind w:left="0" w:leftChars="0" w:right="0" w:rightChars="0" w:firstLine="480" w:firstLineChars="200"/>
              <w:jc w:val="both"/>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（2）室外设备噪声影响预测采用室外声场扩散衰减模式，具体如下：</w:t>
            </w:r>
          </w:p>
          <w:p w14:paraId="1C4A662F">
            <w:pPr>
              <w:pStyle w:val="67"/>
              <w:keepNext w:val="0"/>
              <w:keepLines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position w:val="-12"/>
                <w:sz w:val="24"/>
                <w:szCs w:val="24"/>
                <w:highlight w:val="none"/>
                <w14:textFill>
                  <w14:solidFill>
                    <w14:schemeClr w14:val="tx1"/>
                  </w14:solidFill>
                </w14:textFill>
              </w:rPr>
              <w:object>
                <v:shape id="_x0000_i1026" o:spt="75" type="#_x0000_t75" style="height:22.5pt;width:113.25pt;" o:ole="t" filled="f" o:preferrelative="t" stroked="f" coordsize="21600,21600">
                  <v:path/>
                  <v:fill on="f" focussize="0,0"/>
                  <v:stroke on="f" joinstyle="miter"/>
                  <v:imagedata r:id="rId33" o:title=""/>
                  <o:lock v:ext="edit" aspectratio="t"/>
                  <w10:wrap type="none"/>
                  <w10:anchorlock/>
                </v:shape>
                <o:OLEObject Type="Embed" ProgID="Equation.3" ShapeID="_x0000_i1026" DrawAspect="Content" ObjectID="_1468075726" r:id="rId32">
                  <o:LockedField>false</o:LockedField>
                </o:OLEObject>
              </w:object>
            </w:r>
          </w:p>
          <w:p w14:paraId="70899750">
            <w:pPr>
              <w:pStyle w:val="67"/>
              <w:keepNext w:val="0"/>
              <w:keepLines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position w:val="-14"/>
                <w:sz w:val="24"/>
                <w:szCs w:val="24"/>
                <w:highlight w:val="none"/>
                <w14:textFill>
                  <w14:solidFill>
                    <w14:schemeClr w14:val="tx1"/>
                  </w14:solidFill>
                </w14:textFill>
              </w:rPr>
              <w:object>
                <v:shape id="_x0000_i1027" o:spt="75" type="#_x0000_t75" style="height:26.25pt;width:218.25pt;" o:ole="t" filled="f" o:preferrelative="t" stroked="f" coordsize="21600,21600">
                  <v:path/>
                  <v:fill on="f" focussize="0,0"/>
                  <v:stroke on="f" joinstyle="miter"/>
                  <v:imagedata r:id="rId35" o:title=""/>
                  <o:lock v:ext="edit" aspectratio="t"/>
                  <w10:wrap type="none"/>
                  <w10:anchorlock/>
                </v:shape>
                <o:OLEObject Type="Embed" ProgID="Equation.3" ShapeID="_x0000_i1027" DrawAspect="Content" ObjectID="_1468075727" r:id="rId34">
                  <o:LockedField>false</o:LockedField>
                </o:OLEObject>
              </w:object>
            </w:r>
          </w:p>
          <w:p w14:paraId="649185A6">
            <w:pPr>
              <w:pStyle w:val="67"/>
              <w:keepNext w:val="0"/>
              <w:keepLines w:val="0"/>
              <w:suppressLineNumbers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式中：L</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A</w:t>
            </w:r>
            <w:r>
              <w:rPr>
                <w:rFonts w:hint="default" w:ascii="Times New Roman" w:hAnsi="Times New Roman" w:eastAsia="宋体" w:cs="Times New Roman"/>
                <w:color w:val="000000" w:themeColor="text1"/>
                <w:sz w:val="24"/>
                <w:szCs w:val="24"/>
                <w:highlight w:val="none"/>
                <w14:textFill>
                  <w14:solidFill>
                    <w14:schemeClr w14:val="tx1"/>
                  </w14:solidFill>
                </w14:textFill>
              </w:rPr>
              <w:t>（r）——预测点的噪声值，dB；</w:t>
            </w:r>
          </w:p>
          <w:p w14:paraId="0D9A71DC">
            <w:pPr>
              <w:pStyle w:val="67"/>
              <w:keepNext w:val="0"/>
              <w:keepLines w:val="0"/>
              <w:suppressLineNumbers w:val="0"/>
              <w:spacing w:before="0" w:beforeAutospacing="0" w:after="0" w:afterAutospacing="0"/>
              <w:ind w:left="0" w:leftChars="0" w:right="0" w:firstLine="1200" w:firstLineChars="5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L</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A</w:t>
            </w:r>
            <w:r>
              <w:rPr>
                <w:rFonts w:hint="default" w:ascii="Times New Roman" w:hAnsi="Times New Roman" w:eastAsia="宋体" w:cs="Times New Roman"/>
                <w:color w:val="000000" w:themeColor="text1"/>
                <w:sz w:val="24"/>
                <w:szCs w:val="24"/>
                <w:highlight w:val="none"/>
                <w14:textFill>
                  <w14:solidFill>
                    <w14:schemeClr w14:val="tx1"/>
                  </w14:solidFill>
                </w14:textFill>
              </w:rPr>
              <w:t>（r</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0</w:t>
            </w:r>
            <w:r>
              <w:rPr>
                <w:rFonts w:hint="default" w:ascii="Times New Roman" w:hAnsi="Times New Roman" w:eastAsia="宋体" w:cs="Times New Roman"/>
                <w:color w:val="000000" w:themeColor="text1"/>
                <w:sz w:val="24"/>
                <w:szCs w:val="24"/>
                <w:highlight w:val="none"/>
                <w14:textFill>
                  <w14:solidFill>
                    <w14:schemeClr w14:val="tx1"/>
                  </w14:solidFill>
                </w14:textFill>
              </w:rPr>
              <w:t>）——参照点的噪声值，dB；</w:t>
            </w:r>
          </w:p>
          <w:p w14:paraId="4BC33159">
            <w:pPr>
              <w:pStyle w:val="67"/>
              <w:keepNext w:val="0"/>
              <w:keepLines w:val="0"/>
              <w:suppressLineNumbers w:val="0"/>
              <w:spacing w:before="0" w:beforeAutospacing="0" w:after="0" w:afterAutospacing="0"/>
              <w:ind w:left="0" w:leftChars="0" w:right="0" w:firstLine="1200" w:firstLineChars="5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r、r</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0</w:t>
            </w:r>
            <w:r>
              <w:rPr>
                <w:rFonts w:hint="default" w:ascii="Times New Roman" w:hAnsi="Times New Roman" w:eastAsia="宋体" w:cs="Times New Roman"/>
                <w:color w:val="000000" w:themeColor="text1"/>
                <w:sz w:val="24"/>
                <w:szCs w:val="24"/>
                <w:highlight w:val="none"/>
                <w14:textFill>
                  <w14:solidFill>
                    <w14:schemeClr w14:val="tx1"/>
                  </w14:solidFill>
                </w14:textFill>
              </w:rPr>
              <w:t>——预测点、参照点到噪声源处的距离，m；</w:t>
            </w:r>
          </w:p>
          <w:p w14:paraId="3586484D">
            <w:pPr>
              <w:pStyle w:val="67"/>
              <w:keepNext w:val="0"/>
              <w:keepLines w:val="0"/>
              <w:suppressLineNumbers w:val="0"/>
              <w:spacing w:before="0" w:beforeAutospacing="0" w:after="0" w:afterAutospacing="0"/>
              <w:ind w:left="0" w:leftChars="0" w:right="0" w:firstLine="1200" w:firstLineChars="5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A——户外传播引起的衰减值，dB；</w:t>
            </w:r>
          </w:p>
          <w:p w14:paraId="62CAC6A4">
            <w:pPr>
              <w:pStyle w:val="67"/>
              <w:keepNext w:val="0"/>
              <w:keepLines w:val="0"/>
              <w:suppressLineNumbers w:val="0"/>
              <w:spacing w:before="0" w:beforeAutospacing="0" w:after="0" w:afterAutospacing="0"/>
              <w:ind w:left="0" w:leftChars="0" w:right="0" w:firstLine="1200" w:firstLineChars="5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A</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div</w:t>
            </w:r>
            <w:r>
              <w:rPr>
                <w:rFonts w:hint="default" w:ascii="Times New Roman" w:hAnsi="Times New Roman" w:eastAsia="宋体" w:cs="Times New Roman"/>
                <w:color w:val="000000" w:themeColor="text1"/>
                <w:sz w:val="24"/>
                <w:szCs w:val="24"/>
                <w:highlight w:val="none"/>
                <w14:textFill>
                  <w14:solidFill>
                    <w14:schemeClr w14:val="tx1"/>
                  </w14:solidFill>
                </w14:textFill>
              </w:rPr>
              <w:t>——几何发散衰减，A</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div</w:t>
            </w:r>
            <w:r>
              <w:rPr>
                <w:rFonts w:hint="default" w:ascii="Times New Roman" w:hAnsi="Times New Roman" w:eastAsia="宋体" w:cs="Times New Roman"/>
                <w:color w:val="000000" w:themeColor="text1"/>
                <w:sz w:val="24"/>
                <w:szCs w:val="24"/>
                <w:highlight w:val="none"/>
                <w14:textFill>
                  <w14:solidFill>
                    <w14:schemeClr w14:val="tx1"/>
                  </w14:solidFill>
                </w14:textFill>
              </w:rPr>
              <w:t>=20lg（r/r</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0</w:t>
            </w:r>
            <w:r>
              <w:rPr>
                <w:rFonts w:hint="default" w:ascii="Times New Roman" w:hAnsi="Times New Roman" w:eastAsia="宋体" w:cs="Times New Roman"/>
                <w:color w:val="000000" w:themeColor="text1"/>
                <w:sz w:val="24"/>
                <w:szCs w:val="24"/>
                <w:highlight w:val="none"/>
                <w14:textFill>
                  <w14:solidFill>
                    <w14:schemeClr w14:val="tx1"/>
                  </w14:solidFill>
                </w14:textFill>
              </w:rPr>
              <w:t>），dB；</w:t>
            </w:r>
          </w:p>
          <w:p w14:paraId="1603D761">
            <w:pPr>
              <w:pStyle w:val="67"/>
              <w:keepNext w:val="0"/>
              <w:keepLines w:val="0"/>
              <w:suppressLineNumbers w:val="0"/>
              <w:spacing w:before="0" w:beforeAutospacing="0" w:after="0" w:afterAutospacing="0"/>
              <w:ind w:left="0" w:leftChars="0" w:right="0" w:firstLine="1200" w:firstLineChars="5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A</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atm</w:t>
            </w:r>
            <w:r>
              <w:rPr>
                <w:rFonts w:hint="default" w:ascii="Times New Roman" w:hAnsi="Times New Roman" w:eastAsia="宋体" w:cs="Times New Roman"/>
                <w:color w:val="000000" w:themeColor="text1"/>
                <w:sz w:val="24"/>
                <w:szCs w:val="24"/>
                <w:highlight w:val="none"/>
                <w14:textFill>
                  <w14:solidFill>
                    <w14:schemeClr w14:val="tx1"/>
                  </w14:solidFill>
                </w14:textFill>
              </w:rPr>
              <w:t>——空气吸收引起的衰减，A</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atm</w:t>
            </w:r>
            <w:r>
              <w:rPr>
                <w:rFonts w:hint="default" w:ascii="Times New Roman" w:hAnsi="Times New Roman" w:eastAsia="宋体" w:cs="Times New Roman"/>
                <w:color w:val="000000" w:themeColor="text1"/>
                <w:sz w:val="24"/>
                <w:szCs w:val="24"/>
                <w:highlight w:val="none"/>
                <w14:textFill>
                  <w14:solidFill>
                    <w14:schemeClr w14:val="tx1"/>
                  </w14:solidFill>
                </w14:textFill>
              </w:rPr>
              <w:t>=a（r-r</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0</w:t>
            </w:r>
            <w:r>
              <w:rPr>
                <w:rFonts w:hint="default" w:ascii="Times New Roman" w:hAnsi="Times New Roman" w:eastAsia="宋体" w:cs="Times New Roman"/>
                <w:color w:val="000000" w:themeColor="text1"/>
                <w:sz w:val="24"/>
                <w:szCs w:val="24"/>
                <w:highlight w:val="none"/>
                <w14:textFill>
                  <w14:solidFill>
                    <w14:schemeClr w14:val="tx1"/>
                  </w14:solidFill>
                </w14:textFill>
              </w:rPr>
              <w:t>）/1000，dB；</w:t>
            </w:r>
          </w:p>
          <w:p w14:paraId="3FFAA2FE">
            <w:pPr>
              <w:pStyle w:val="67"/>
              <w:keepNext w:val="0"/>
              <w:keepLines w:val="0"/>
              <w:suppressLineNumbers w:val="0"/>
              <w:spacing w:before="0" w:beforeAutospacing="0" w:after="0" w:afterAutospacing="0"/>
              <w:ind w:left="0" w:leftChars="0" w:right="0" w:firstLine="1200" w:firstLineChars="5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A</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bar</w:t>
            </w:r>
            <w:r>
              <w:rPr>
                <w:rFonts w:hint="default" w:ascii="Times New Roman" w:hAnsi="Times New Roman" w:eastAsia="宋体" w:cs="Times New Roman"/>
                <w:color w:val="000000" w:themeColor="text1"/>
                <w:sz w:val="24"/>
                <w:szCs w:val="24"/>
                <w:highlight w:val="none"/>
                <w14:textFill>
                  <w14:solidFill>
                    <w14:schemeClr w14:val="tx1"/>
                  </w14:solidFill>
                </w14:textFill>
              </w:rPr>
              <w:t>——屏障引起的衰减，dB；</w:t>
            </w:r>
          </w:p>
          <w:p w14:paraId="6982626F">
            <w:pPr>
              <w:pStyle w:val="67"/>
              <w:keepNext w:val="0"/>
              <w:keepLines w:val="0"/>
              <w:suppressLineNumbers w:val="0"/>
              <w:spacing w:before="0" w:beforeAutospacing="0" w:after="0" w:afterAutospacing="0"/>
              <w:ind w:left="0" w:leftChars="0" w:right="0" w:firstLine="1200" w:firstLineChars="5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A</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g——</w:t>
            </w:r>
            <w:r>
              <w:rPr>
                <w:rFonts w:hint="default" w:ascii="Times New Roman" w:hAnsi="Times New Roman" w:eastAsia="宋体" w:cs="Times New Roman"/>
                <w:color w:val="000000" w:themeColor="text1"/>
                <w:sz w:val="24"/>
                <w:szCs w:val="24"/>
                <w:highlight w:val="none"/>
                <w14:textFill>
                  <w14:solidFill>
                    <w14:schemeClr w14:val="tx1"/>
                  </w14:solidFill>
                </w14:textFill>
              </w:rPr>
              <w:t>地面效应衰减，dB（计算了屏障衰减后，不再考虑地面效应衰减）；</w:t>
            </w:r>
          </w:p>
          <w:p w14:paraId="0DC739F7">
            <w:pPr>
              <w:pStyle w:val="67"/>
              <w:keepNext w:val="0"/>
              <w:keepLines w:val="0"/>
              <w:suppressLineNumbers w:val="0"/>
              <w:spacing w:before="0" w:beforeAutospacing="0" w:after="0" w:afterAutospacing="0"/>
              <w:ind w:left="0" w:leftChars="0" w:right="0" w:firstLine="1200" w:firstLineChars="5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A</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misc</w:t>
            </w:r>
            <w:r>
              <w:rPr>
                <w:rFonts w:hint="default" w:ascii="Times New Roman" w:hAnsi="Times New Roman" w:eastAsia="宋体" w:cs="Times New Roman"/>
                <w:color w:val="000000" w:themeColor="text1"/>
                <w:sz w:val="24"/>
                <w:szCs w:val="24"/>
                <w:highlight w:val="none"/>
                <w14:textFill>
                  <w14:solidFill>
                    <w14:schemeClr w14:val="tx1"/>
                  </w14:solidFill>
                </w14:textFill>
              </w:rPr>
              <w:t>——其他多方面原因引起的衰减，dB（0.025dB/m）。</w:t>
            </w:r>
          </w:p>
          <w:p w14:paraId="11181382">
            <w:pPr>
              <w:pStyle w:val="67"/>
              <w:keepNext w:val="0"/>
              <w:keepLines w:val="0"/>
              <w:suppressLineNumbers w:val="0"/>
              <w:spacing w:before="0" w:beforeAutospacing="0" w:after="0" w:afterAutospacing="0"/>
              <w:ind w:left="0" w:leftChars="0" w:right="0"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（3）噪声叠加公式：</w:t>
            </w:r>
          </w:p>
          <w:p w14:paraId="594BC595">
            <w:pPr>
              <w:pStyle w:val="67"/>
              <w:keepNext w:val="0"/>
              <w:keepLines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position w:val="-30"/>
                <w:sz w:val="24"/>
                <w:szCs w:val="24"/>
                <w:highlight w:val="none"/>
                <w14:textFill>
                  <w14:solidFill>
                    <w14:schemeClr w14:val="tx1"/>
                  </w14:solidFill>
                </w14:textFill>
              </w:rPr>
              <w:object>
                <v:shape id="_x0000_i1028" o:spt="75" type="#_x0000_t75" style="height:45pt;width:143.25pt;" o:ole="t" filled="f" o:preferrelative="t" stroked="f" coordsize="21600,21600">
                  <v:path/>
                  <v:fill on="f" focussize="0,0"/>
                  <v:stroke on="f" joinstyle="miter"/>
                  <v:imagedata r:id="rId37" o:title=""/>
                  <o:lock v:ext="edit" aspectratio="t"/>
                  <w10:wrap type="none"/>
                  <w10:anchorlock/>
                </v:shape>
                <o:OLEObject Type="Embed" ProgID="Equation.3" ShapeID="_x0000_i1028" DrawAspect="Content" ObjectID="_1468075728" r:id="rId36">
                  <o:LockedField>false</o:LockedField>
                </o:OLEObject>
              </w:object>
            </w:r>
          </w:p>
          <w:p w14:paraId="5B111D91">
            <w:pPr>
              <w:pStyle w:val="67"/>
              <w:keepNext w:val="0"/>
              <w:keepLines w:val="0"/>
              <w:suppressLineNumbers w:val="0"/>
              <w:spacing w:before="0" w:beforeAutospacing="0" w:after="0" w:afterAutospacing="0" w:line="360" w:lineRule="auto"/>
              <w:ind w:left="0" w:leftChars="0" w:right="0" w:rightChars="0" w:firstLine="1200" w:firstLineChars="5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式中：</w:t>
            </w:r>
            <w:r>
              <w:rPr>
                <w:rFonts w:hint="default" w:ascii="Times New Roman" w:hAnsi="Times New Roman" w:eastAsia="宋体" w:cs="Times New Roman"/>
                <w:color w:val="000000" w:themeColor="text1"/>
                <w:position w:val="-14"/>
                <w:sz w:val="24"/>
                <w:szCs w:val="24"/>
                <w:highlight w:val="none"/>
                <w14:textFill>
                  <w14:solidFill>
                    <w14:schemeClr w14:val="tx1"/>
                  </w14:solidFill>
                </w14:textFill>
              </w:rPr>
              <w:object>
                <v:shape id="_x0000_i1029" o:spt="75" type="#_x0000_t75" style="height:19.5pt;width:19.5pt;" o:ole="t" filled="f" o:preferrelative="t" stroked="f" coordsize="21600,21600">
                  <v:path/>
                  <v:fill on="f" focussize="0,0"/>
                  <v:stroke on="f" joinstyle="miter"/>
                  <v:imagedata r:id="rId39" o:title=""/>
                  <o:lock v:ext="edit" aspectratio="t"/>
                  <w10:wrap type="none"/>
                  <w10:anchorlock/>
                </v:shape>
                <o:OLEObject Type="Embed" ProgID="Equation.3" ShapeID="_x0000_i1029" DrawAspect="Content" ObjectID="_1468075729" r:id="rId38">
                  <o:LockedField>false</o:LockedField>
                </o:OLEObject>
              </w:object>
            </w:r>
            <w:r>
              <w:rPr>
                <w:rFonts w:hint="default" w:ascii="Times New Roman" w:hAnsi="Times New Roman" w:eastAsia="宋体" w:cs="Times New Roman"/>
                <w:color w:val="000000" w:themeColor="text1"/>
                <w:sz w:val="24"/>
                <w:szCs w:val="24"/>
                <w:highlight w:val="none"/>
                <w14:textFill>
                  <w14:solidFill>
                    <w14:schemeClr w14:val="tx1"/>
                  </w14:solidFill>
                </w14:textFill>
              </w:rPr>
              <w:t>——预测点处的等效声级，dB（A）；</w:t>
            </w:r>
          </w:p>
          <w:p w14:paraId="23754E44">
            <w:pPr>
              <w:pStyle w:val="67"/>
              <w:keepNext w:val="0"/>
              <w:keepLines w:val="0"/>
              <w:suppressLineNumbers w:val="0"/>
              <w:spacing w:before="0" w:beforeAutospacing="0" w:after="0" w:afterAutospacing="0" w:line="360" w:lineRule="auto"/>
              <w:ind w:left="0" w:leftChars="0" w:right="0" w:rightChars="0" w:firstLine="1980" w:firstLineChars="825"/>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position w:val="-14"/>
                <w:sz w:val="24"/>
                <w:szCs w:val="24"/>
                <w:highlight w:val="none"/>
                <w14:textFill>
                  <w14:solidFill>
                    <w14:schemeClr w14:val="tx1"/>
                  </w14:solidFill>
                </w14:textFill>
              </w:rPr>
              <w:object>
                <v:shape id="_x0000_i1030" o:spt="75" type="#_x0000_t75" style="height:19.5pt;width:19.5pt;" o:ole="t" filled="f" o:preferrelative="t" stroked="f" coordsize="21600,21600">
                  <v:path/>
                  <v:fill on="f" focussize="0,0"/>
                  <v:stroke on="f" joinstyle="miter"/>
                  <v:imagedata r:id="rId41" o:title=""/>
                  <o:lock v:ext="edit" aspectratio="t"/>
                  <w10:wrap type="none"/>
                  <w10:anchorlock/>
                </v:shape>
                <o:OLEObject Type="Embed" ProgID="Equation.3" ShapeID="_x0000_i1030" DrawAspect="Content" ObjectID="_1468075730" r:id="rId40">
                  <o:LockedField>false</o:LockedField>
                </o:OLEObject>
              </w:object>
            </w:r>
            <w:r>
              <w:rPr>
                <w:rFonts w:hint="default" w:ascii="Times New Roman" w:hAnsi="Times New Roman" w:eastAsia="宋体" w:cs="Times New Roman"/>
                <w:color w:val="000000" w:themeColor="text1"/>
                <w:sz w:val="24"/>
                <w:szCs w:val="24"/>
                <w:highlight w:val="none"/>
                <w14:textFill>
                  <w14:solidFill>
                    <w14:schemeClr w14:val="tx1"/>
                  </w14:solidFill>
                </w14:textFill>
              </w:rPr>
              <w:t>——第</w:t>
            </w:r>
            <w:r>
              <w:rPr>
                <w:rFonts w:hint="default" w:ascii="Times New Roman" w:hAnsi="Times New Roman" w:eastAsia="宋体" w:cs="Times New Roman"/>
                <w:color w:val="000000" w:themeColor="text1"/>
                <w:position w:val="-6"/>
                <w:sz w:val="24"/>
                <w:szCs w:val="24"/>
                <w:highlight w:val="none"/>
                <w14:textFill>
                  <w14:solidFill>
                    <w14:schemeClr w14:val="tx1"/>
                  </w14:solidFill>
                </w14:textFill>
              </w:rPr>
              <w:object>
                <v:shape id="_x0000_i1031" o:spt="75" type="#_x0000_t75" style="height:12.75pt;width:5.25pt;" o:ole="t" filled="f" o:preferrelative="t" stroked="f" coordsize="21600,21600">
                  <v:path/>
                  <v:fill on="f" focussize="0,0"/>
                  <v:stroke on="f" joinstyle="miter"/>
                  <v:imagedata r:id="rId43" o:title=""/>
                  <o:lock v:ext="edit" aspectratio="t"/>
                  <w10:wrap type="none"/>
                  <w10:anchorlock/>
                </v:shape>
                <o:OLEObject Type="Embed" ProgID="Equation.3" ShapeID="_x0000_i1031" DrawAspect="Content" ObjectID="_1468075731" r:id="rId42">
                  <o:LockedField>false</o:LockedField>
                </o:OLEObject>
              </w:object>
            </w:r>
            <w:r>
              <w:rPr>
                <w:rFonts w:hint="default" w:ascii="Times New Roman" w:hAnsi="Times New Roman" w:eastAsia="宋体" w:cs="Times New Roman"/>
                <w:color w:val="000000" w:themeColor="text1"/>
                <w:sz w:val="24"/>
                <w:szCs w:val="24"/>
                <w:highlight w:val="none"/>
                <w14:textFill>
                  <w14:solidFill>
                    <w14:schemeClr w14:val="tx1"/>
                  </w14:solidFill>
                </w14:textFill>
              </w:rPr>
              <w:t>个点声源对预测点的等效声级，dB（A）。</w:t>
            </w:r>
          </w:p>
          <w:p w14:paraId="3D0BCFD3">
            <w:pPr>
              <w:pStyle w:val="67"/>
              <w:keepNext w:val="0"/>
              <w:keepLines w:val="0"/>
              <w:suppressLineNumbers w:val="0"/>
              <w:spacing w:before="0" w:beforeAutospacing="0" w:after="0" w:afterAutospacing="0" w:line="360" w:lineRule="auto"/>
              <w:ind w:left="0" w:leftChars="0" w:right="0" w:rightChars="0" w:firstLineChars="200"/>
              <w:rPr>
                <w:rFonts w:hint="default" w:ascii="Times New Roman" w:hAnsi="Times New Roman" w:eastAsia="宋体" w:cs="Times New Roman"/>
                <w:bCs/>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（4）预测结果</w:t>
            </w:r>
          </w:p>
          <w:p w14:paraId="0CEE200F">
            <w:pPr>
              <w:keepNext w:val="0"/>
              <w:keepLines w:val="0"/>
              <w:suppressLineNumbers w:val="0"/>
              <w:adjustRightInd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highlight w:val="none"/>
                <w14:textFill>
                  <w14:solidFill>
                    <w14:schemeClr w14:val="tx1"/>
                  </w14:solidFill>
                </w14:textFill>
              </w:rPr>
              <w:t>本项目采用了噪声治理措施，</w:t>
            </w:r>
            <w:r>
              <w:rPr>
                <w:rFonts w:hint="default" w:ascii="Times New Roman" w:hAnsi="Times New Roman" w:eastAsia="宋体" w:cs="Times New Roman"/>
                <w:color w:val="000000" w:themeColor="text1"/>
                <w:sz w:val="24"/>
                <w:szCs w:val="24"/>
                <w:highlight w:val="none"/>
                <w14:textFill>
                  <w14:solidFill>
                    <w14:schemeClr w14:val="tx1"/>
                  </w14:solidFill>
                </w14:textFill>
              </w:rPr>
              <w:t>根据项目的机械设备声级、所在位置，利用噪声预测模式和方法，对厂界噪声进行预测计算，得到项目建成后各预测点的昼间和夜间噪声级，</w:t>
            </w:r>
            <w:r>
              <w:rPr>
                <w:rFonts w:hint="eastAsia" w:cs="Times New Roman"/>
                <w:color w:val="000000" w:themeColor="text1"/>
                <w:sz w:val="24"/>
                <w:szCs w:val="24"/>
                <w:highlight w:val="none"/>
                <w:lang w:val="en-US" w:eastAsia="zh-CN"/>
                <w14:textFill>
                  <w14:solidFill>
                    <w14:schemeClr w14:val="tx1"/>
                  </w14:solidFill>
                </w14:textFill>
              </w:rPr>
              <w:t>本次噪声预测</w:t>
            </w:r>
            <w:r>
              <w:rPr>
                <w:rFonts w:hint="default" w:ascii="Times New Roman" w:hAnsi="Times New Roman" w:eastAsia="宋体" w:cs="Times New Roman"/>
                <w:color w:val="000000" w:themeColor="text1"/>
                <w:sz w:val="24"/>
                <w:szCs w:val="24"/>
                <w:highlight w:val="none"/>
                <w14:textFill>
                  <w14:solidFill>
                    <w14:schemeClr w14:val="tx1"/>
                  </w14:solidFill>
                </w14:textFill>
              </w:rPr>
              <w:t>以</w:t>
            </w:r>
            <w:r>
              <w:rPr>
                <w:rFonts w:hint="eastAsia" w:cs="Times New Roman"/>
                <w:color w:val="000000" w:themeColor="text1"/>
                <w:sz w:val="24"/>
                <w:szCs w:val="24"/>
                <w:highlight w:val="none"/>
                <w:lang w:val="en-US" w:eastAsia="zh-CN"/>
                <w14:textFill>
                  <w14:solidFill>
                    <w14:schemeClr w14:val="tx1"/>
                  </w14:solidFill>
                </w14:textFill>
              </w:rPr>
              <w:t>厂区内</w:t>
            </w:r>
            <w:r>
              <w:rPr>
                <w:rFonts w:hint="default" w:ascii="Times New Roman" w:hAnsi="Times New Roman" w:eastAsia="宋体" w:cs="Times New Roman"/>
                <w:color w:val="000000" w:themeColor="text1"/>
                <w:sz w:val="24"/>
                <w:szCs w:val="24"/>
                <w:highlight w:val="none"/>
                <w14:textFill>
                  <w14:solidFill>
                    <w14:schemeClr w14:val="tx1"/>
                  </w14:solidFill>
                </w14:textFill>
              </w:rPr>
              <w:t>产噪设备进行预测，所以用贡献值达标</w:t>
            </w:r>
            <w:r>
              <w:rPr>
                <w:rFonts w:hint="eastAsia" w:cs="Times New Roman"/>
                <w:color w:val="000000" w:themeColor="text1"/>
                <w:sz w:val="24"/>
                <w:szCs w:val="24"/>
                <w:highlight w:val="none"/>
                <w:lang w:val="en-US" w:eastAsia="zh-CN"/>
                <w14:textFill>
                  <w14:solidFill>
                    <w14:schemeClr w14:val="tx1"/>
                  </w14:solidFill>
                </w14:textFill>
              </w:rPr>
              <w:t>来</w:t>
            </w:r>
            <w:r>
              <w:rPr>
                <w:rFonts w:hint="default" w:ascii="Times New Roman" w:hAnsi="Times New Roman" w:eastAsia="宋体" w:cs="Times New Roman"/>
                <w:color w:val="000000" w:themeColor="text1"/>
                <w:sz w:val="24"/>
                <w:szCs w:val="24"/>
                <w:highlight w:val="none"/>
                <w14:textFill>
                  <w14:solidFill>
                    <w14:schemeClr w14:val="tx1"/>
                  </w14:solidFill>
                </w14:textFill>
              </w:rPr>
              <w:t>判断</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噪声影响预测结果见</w:t>
            </w:r>
            <w:r>
              <w:rPr>
                <w:rFonts w:hint="eastAsia" w:cs="Times New Roman"/>
                <w:color w:val="000000" w:themeColor="text1"/>
                <w:sz w:val="24"/>
                <w:szCs w:val="24"/>
                <w:highlight w:val="none"/>
                <w:lang w:val="en-US" w:eastAsia="zh-CN"/>
                <w14:textFill>
                  <w14:solidFill>
                    <w14:schemeClr w14:val="tx1"/>
                  </w14:solidFill>
                </w14:textFill>
              </w:rPr>
              <w:t>下表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010ED586">
            <w:pPr>
              <w:pStyle w:val="86"/>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表</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eastAsia" w:cs="Times New Roman"/>
                <w:color w:val="000000" w:themeColor="text1"/>
                <w:sz w:val="21"/>
                <w:szCs w:val="21"/>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1"/>
                <w:szCs w:val="21"/>
                <w:highlight w:val="none"/>
                <w14:textFill>
                  <w14:solidFill>
                    <w14:schemeClr w14:val="tx1"/>
                  </w14:solidFill>
                </w14:textFill>
              </w:rPr>
              <w:t>噪声预测结果   单位：dB(A)</w:t>
            </w:r>
          </w:p>
          <w:tbl>
            <w:tblPr>
              <w:tblStyle w:val="35"/>
              <w:tblW w:w="7937" w:type="dxa"/>
              <w:jc w:val="center"/>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055"/>
              <w:gridCol w:w="672"/>
              <w:gridCol w:w="734"/>
              <w:gridCol w:w="680"/>
              <w:gridCol w:w="911"/>
              <w:gridCol w:w="918"/>
              <w:gridCol w:w="864"/>
              <w:gridCol w:w="1046"/>
              <w:gridCol w:w="1057"/>
            </w:tblGrid>
            <w:tr w14:paraId="2CC0F60D">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55" w:type="dxa"/>
                  <w:vMerge w:val="restart"/>
                  <w:tcBorders>
                    <w:tl2br w:val="nil"/>
                    <w:tr2bl w:val="nil"/>
                  </w:tcBorders>
                  <w:noWrap w:val="0"/>
                  <w:vAlign w:val="center"/>
                </w:tcPr>
                <w:p w14:paraId="0DF1AA2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项目</w:t>
                  </w:r>
                </w:p>
              </w:tc>
              <w:tc>
                <w:tcPr>
                  <w:tcW w:w="1406" w:type="dxa"/>
                  <w:gridSpan w:val="2"/>
                  <w:tcBorders>
                    <w:right w:val="single" w:color="auto" w:sz="4" w:space="0"/>
                    <w:tl2br w:val="nil"/>
                    <w:tr2bl w:val="nil"/>
                  </w:tcBorders>
                  <w:noWrap w:val="0"/>
                  <w:vAlign w:val="center"/>
                </w:tcPr>
                <w:p w14:paraId="07D81364">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现状值</w:t>
                  </w:r>
                </w:p>
              </w:tc>
              <w:tc>
                <w:tcPr>
                  <w:tcW w:w="1591" w:type="dxa"/>
                  <w:gridSpan w:val="2"/>
                  <w:tcBorders>
                    <w:left w:val="single" w:color="auto" w:sz="4" w:space="0"/>
                    <w:tl2br w:val="nil"/>
                    <w:tr2bl w:val="nil"/>
                  </w:tcBorders>
                  <w:noWrap w:val="0"/>
                  <w:vAlign w:val="center"/>
                </w:tcPr>
                <w:p w14:paraId="3605C4C8">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贡献值</w:t>
                  </w:r>
                </w:p>
              </w:tc>
              <w:tc>
                <w:tcPr>
                  <w:tcW w:w="1782" w:type="dxa"/>
                  <w:gridSpan w:val="2"/>
                  <w:tcBorders>
                    <w:tl2br w:val="nil"/>
                    <w:tr2bl w:val="nil"/>
                  </w:tcBorders>
                  <w:noWrap w:val="0"/>
                  <w:vAlign w:val="center"/>
                </w:tcPr>
                <w:p w14:paraId="7B61F3FF">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预测</w:t>
                  </w:r>
                  <w:r>
                    <w:rPr>
                      <w:rFonts w:hint="default" w:ascii="Times New Roman" w:hAnsi="Times New Roman" w:eastAsia="宋体" w:cs="Times New Roman"/>
                      <w:color w:val="000000" w:themeColor="text1"/>
                      <w:sz w:val="21"/>
                      <w:szCs w:val="21"/>
                      <w:highlight w:val="none"/>
                      <w14:textFill>
                        <w14:solidFill>
                          <w14:schemeClr w14:val="tx1"/>
                        </w14:solidFill>
                      </w14:textFill>
                    </w:rPr>
                    <w:t>值</w:t>
                  </w:r>
                </w:p>
              </w:tc>
              <w:tc>
                <w:tcPr>
                  <w:tcW w:w="2103" w:type="dxa"/>
                  <w:gridSpan w:val="2"/>
                  <w:tcBorders>
                    <w:tl2br w:val="nil"/>
                    <w:tr2bl w:val="nil"/>
                  </w:tcBorders>
                  <w:noWrap w:val="0"/>
                  <w:vAlign w:val="center"/>
                </w:tcPr>
                <w:p w14:paraId="1654428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超标和达标情况</w:t>
                  </w:r>
                </w:p>
              </w:tc>
            </w:tr>
            <w:tr w14:paraId="5783099C">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55" w:type="dxa"/>
                  <w:vMerge w:val="continue"/>
                  <w:tcBorders>
                    <w:tl2br w:val="nil"/>
                    <w:tr2bl w:val="nil"/>
                  </w:tcBorders>
                  <w:noWrap w:val="0"/>
                  <w:vAlign w:val="center"/>
                </w:tcPr>
                <w:p w14:paraId="581115F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72" w:type="dxa"/>
                  <w:tcBorders>
                    <w:right w:val="single" w:color="auto" w:sz="4" w:space="0"/>
                    <w:tl2br w:val="nil"/>
                    <w:tr2bl w:val="nil"/>
                  </w:tcBorders>
                  <w:noWrap w:val="0"/>
                  <w:vAlign w:val="center"/>
                </w:tcPr>
                <w:p w14:paraId="59ED31A5">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昼间</w:t>
                  </w:r>
                </w:p>
              </w:tc>
              <w:tc>
                <w:tcPr>
                  <w:tcW w:w="734" w:type="dxa"/>
                  <w:tcBorders>
                    <w:left w:val="single" w:color="auto" w:sz="4" w:space="0"/>
                    <w:right w:val="single" w:color="auto" w:sz="4" w:space="0"/>
                    <w:tl2br w:val="nil"/>
                    <w:tr2bl w:val="nil"/>
                  </w:tcBorders>
                  <w:noWrap w:val="0"/>
                  <w:vAlign w:val="center"/>
                </w:tcPr>
                <w:p w14:paraId="6A41BA76">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夜间</w:t>
                  </w:r>
                </w:p>
              </w:tc>
              <w:tc>
                <w:tcPr>
                  <w:tcW w:w="680" w:type="dxa"/>
                  <w:tcBorders>
                    <w:left w:val="single" w:color="auto" w:sz="4" w:space="0"/>
                    <w:tl2br w:val="nil"/>
                    <w:tr2bl w:val="nil"/>
                  </w:tcBorders>
                  <w:noWrap w:val="0"/>
                  <w:vAlign w:val="center"/>
                </w:tcPr>
                <w:p w14:paraId="527378AD">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昼间</w:t>
                  </w:r>
                </w:p>
              </w:tc>
              <w:tc>
                <w:tcPr>
                  <w:tcW w:w="911" w:type="dxa"/>
                  <w:tcBorders>
                    <w:tl2br w:val="nil"/>
                    <w:tr2bl w:val="nil"/>
                  </w:tcBorders>
                  <w:noWrap w:val="0"/>
                  <w:vAlign w:val="center"/>
                </w:tcPr>
                <w:p w14:paraId="47416F6C">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夜间</w:t>
                  </w:r>
                </w:p>
              </w:tc>
              <w:tc>
                <w:tcPr>
                  <w:tcW w:w="918" w:type="dxa"/>
                  <w:tcBorders>
                    <w:tl2br w:val="nil"/>
                    <w:tr2bl w:val="nil"/>
                  </w:tcBorders>
                  <w:noWrap w:val="0"/>
                  <w:vAlign w:val="center"/>
                </w:tcPr>
                <w:p w14:paraId="6AD2528C">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昼间</w:t>
                  </w:r>
                </w:p>
              </w:tc>
              <w:tc>
                <w:tcPr>
                  <w:tcW w:w="864" w:type="dxa"/>
                  <w:tcBorders>
                    <w:tl2br w:val="nil"/>
                    <w:tr2bl w:val="nil"/>
                  </w:tcBorders>
                  <w:noWrap w:val="0"/>
                  <w:vAlign w:val="center"/>
                </w:tcPr>
                <w:p w14:paraId="71F30BEE">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夜间</w:t>
                  </w:r>
                </w:p>
              </w:tc>
              <w:tc>
                <w:tcPr>
                  <w:tcW w:w="1046" w:type="dxa"/>
                  <w:tcBorders>
                    <w:tl2br w:val="nil"/>
                    <w:tr2bl w:val="nil"/>
                  </w:tcBorders>
                  <w:noWrap w:val="0"/>
                  <w:vAlign w:val="center"/>
                </w:tcPr>
                <w:p w14:paraId="039D9FC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昼间</w:t>
                  </w:r>
                </w:p>
              </w:tc>
              <w:tc>
                <w:tcPr>
                  <w:tcW w:w="1057" w:type="dxa"/>
                  <w:tcBorders>
                    <w:tl2br w:val="nil"/>
                    <w:tr2bl w:val="nil"/>
                  </w:tcBorders>
                  <w:noWrap w:val="0"/>
                  <w:vAlign w:val="center"/>
                </w:tcPr>
                <w:p w14:paraId="75FC169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夜间</w:t>
                  </w:r>
                </w:p>
              </w:tc>
            </w:tr>
            <w:tr w14:paraId="4A5A7639">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55" w:type="dxa"/>
                  <w:tcBorders>
                    <w:tl2br w:val="nil"/>
                    <w:tr2bl w:val="nil"/>
                  </w:tcBorders>
                  <w:noWrap w:val="0"/>
                  <w:vAlign w:val="center"/>
                </w:tcPr>
                <w:p w14:paraId="16250B0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厂界东侧</w:t>
                  </w:r>
                </w:p>
              </w:tc>
              <w:tc>
                <w:tcPr>
                  <w:tcW w:w="672" w:type="dxa"/>
                  <w:tcBorders>
                    <w:right w:val="single" w:color="auto" w:sz="4" w:space="0"/>
                    <w:tl2br w:val="nil"/>
                    <w:tr2bl w:val="nil"/>
                  </w:tcBorders>
                  <w:noWrap w:val="0"/>
                  <w:vAlign w:val="center"/>
                </w:tcPr>
                <w:p w14:paraId="0CC8CFD0">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734" w:type="dxa"/>
                  <w:tcBorders>
                    <w:left w:val="single" w:color="auto" w:sz="4" w:space="0"/>
                    <w:right w:val="single" w:color="auto" w:sz="4" w:space="0"/>
                    <w:tl2br w:val="nil"/>
                    <w:tr2bl w:val="nil"/>
                  </w:tcBorders>
                  <w:noWrap w:val="0"/>
                  <w:vAlign w:val="center"/>
                </w:tcPr>
                <w:p w14:paraId="09E20FAB">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680" w:type="dxa"/>
                  <w:tcBorders>
                    <w:left w:val="single" w:color="auto" w:sz="4" w:space="0"/>
                    <w:tl2br w:val="nil"/>
                    <w:tr2bl w:val="nil"/>
                  </w:tcBorders>
                  <w:noWrap w:val="0"/>
                  <w:vAlign w:val="center"/>
                </w:tcPr>
                <w:p w14:paraId="1F11F519">
                  <w:pPr>
                    <w:keepNext w:val="0"/>
                    <w:keepLines w:val="0"/>
                    <w:widowControl/>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eastAsia" w:cs="Times New Roman"/>
                      <w:color w:val="000000" w:themeColor="text1"/>
                      <w:sz w:val="21"/>
                      <w:szCs w:val="21"/>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7</w:t>
                  </w:r>
                </w:p>
              </w:tc>
              <w:tc>
                <w:tcPr>
                  <w:tcW w:w="911" w:type="dxa"/>
                  <w:tcBorders>
                    <w:tl2br w:val="nil"/>
                    <w:tr2bl w:val="nil"/>
                  </w:tcBorders>
                  <w:noWrap w:val="0"/>
                  <w:vAlign w:val="center"/>
                </w:tcPr>
                <w:p w14:paraId="3D3C4C10">
                  <w:pPr>
                    <w:keepNext w:val="0"/>
                    <w:keepLines w:val="0"/>
                    <w:widowControl/>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7</w:t>
                  </w:r>
                </w:p>
              </w:tc>
              <w:tc>
                <w:tcPr>
                  <w:tcW w:w="918" w:type="dxa"/>
                  <w:tcBorders>
                    <w:tl2br w:val="nil"/>
                    <w:tr2bl w:val="nil"/>
                  </w:tcBorders>
                  <w:noWrap w:val="0"/>
                  <w:vAlign w:val="center"/>
                </w:tcPr>
                <w:p w14:paraId="5AAEEC97">
                  <w:pPr>
                    <w:keepNext w:val="0"/>
                    <w:keepLines w:val="0"/>
                    <w:widowControl/>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64" w:type="dxa"/>
                  <w:tcBorders>
                    <w:tl2br w:val="nil"/>
                    <w:tr2bl w:val="nil"/>
                  </w:tcBorders>
                  <w:noWrap w:val="0"/>
                  <w:vAlign w:val="center"/>
                </w:tcPr>
                <w:p w14:paraId="5FEE0AA2">
                  <w:pPr>
                    <w:keepNext w:val="0"/>
                    <w:keepLines w:val="0"/>
                    <w:widowControl/>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046" w:type="dxa"/>
                  <w:tcBorders>
                    <w:tl2br w:val="nil"/>
                    <w:tr2bl w:val="nil"/>
                  </w:tcBorders>
                  <w:noWrap w:val="0"/>
                  <w:vAlign w:val="center"/>
                </w:tcPr>
                <w:p w14:paraId="76A5C5F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达标</w:t>
                  </w:r>
                </w:p>
              </w:tc>
              <w:tc>
                <w:tcPr>
                  <w:tcW w:w="1057" w:type="dxa"/>
                  <w:tcBorders>
                    <w:tl2br w:val="nil"/>
                    <w:tr2bl w:val="nil"/>
                  </w:tcBorders>
                  <w:noWrap w:val="0"/>
                  <w:vAlign w:val="center"/>
                </w:tcPr>
                <w:p w14:paraId="593A20A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达标</w:t>
                  </w:r>
                </w:p>
              </w:tc>
            </w:tr>
            <w:tr w14:paraId="6452C5C2">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55" w:type="dxa"/>
                  <w:tcBorders>
                    <w:tl2br w:val="nil"/>
                    <w:tr2bl w:val="nil"/>
                  </w:tcBorders>
                  <w:noWrap w:val="0"/>
                  <w:vAlign w:val="center"/>
                </w:tcPr>
                <w:p w14:paraId="4EF3BE8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厂界</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北</w:t>
                  </w:r>
                  <w:r>
                    <w:rPr>
                      <w:rFonts w:hint="default" w:ascii="Times New Roman" w:hAnsi="Times New Roman" w:eastAsia="宋体" w:cs="Times New Roman"/>
                      <w:color w:val="000000" w:themeColor="text1"/>
                      <w:sz w:val="21"/>
                      <w:szCs w:val="21"/>
                      <w:highlight w:val="none"/>
                      <w14:textFill>
                        <w14:solidFill>
                          <w14:schemeClr w14:val="tx1"/>
                        </w14:solidFill>
                      </w14:textFill>
                    </w:rPr>
                    <w:t>侧</w:t>
                  </w:r>
                </w:p>
              </w:tc>
              <w:tc>
                <w:tcPr>
                  <w:tcW w:w="672" w:type="dxa"/>
                  <w:tcBorders>
                    <w:right w:val="single" w:color="auto" w:sz="4" w:space="0"/>
                    <w:tl2br w:val="nil"/>
                    <w:tr2bl w:val="nil"/>
                  </w:tcBorders>
                  <w:noWrap w:val="0"/>
                  <w:vAlign w:val="center"/>
                </w:tcPr>
                <w:p w14:paraId="4766A588">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c>
                <w:tcPr>
                  <w:tcW w:w="734" w:type="dxa"/>
                  <w:tcBorders>
                    <w:left w:val="single" w:color="auto" w:sz="4" w:space="0"/>
                    <w:right w:val="single" w:color="auto" w:sz="4" w:space="0"/>
                    <w:tl2br w:val="nil"/>
                    <w:tr2bl w:val="nil"/>
                  </w:tcBorders>
                  <w:noWrap w:val="0"/>
                  <w:vAlign w:val="center"/>
                </w:tcPr>
                <w:p w14:paraId="438664B3">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c>
                <w:tcPr>
                  <w:tcW w:w="680" w:type="dxa"/>
                  <w:tcBorders>
                    <w:left w:val="single" w:color="auto" w:sz="4" w:space="0"/>
                    <w:tl2br w:val="nil"/>
                    <w:tr2bl w:val="nil"/>
                  </w:tcBorders>
                  <w:noWrap w:val="0"/>
                  <w:vAlign w:val="center"/>
                </w:tcPr>
                <w:p w14:paraId="50B2151D">
                  <w:pPr>
                    <w:keepNext w:val="0"/>
                    <w:keepLines w:val="0"/>
                    <w:widowControl/>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eastAsia"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5</w:t>
                  </w:r>
                </w:p>
              </w:tc>
              <w:tc>
                <w:tcPr>
                  <w:tcW w:w="911" w:type="dxa"/>
                  <w:tcBorders>
                    <w:tl2br w:val="nil"/>
                    <w:tr2bl w:val="nil"/>
                  </w:tcBorders>
                  <w:noWrap w:val="0"/>
                  <w:vAlign w:val="center"/>
                </w:tcPr>
                <w:p w14:paraId="495573D9">
                  <w:pPr>
                    <w:keepNext w:val="0"/>
                    <w:keepLines w:val="0"/>
                    <w:widowControl/>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eastAsia"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5</w:t>
                  </w:r>
                </w:p>
              </w:tc>
              <w:tc>
                <w:tcPr>
                  <w:tcW w:w="918" w:type="dxa"/>
                  <w:tcBorders>
                    <w:tl2br w:val="nil"/>
                    <w:tr2bl w:val="nil"/>
                  </w:tcBorders>
                  <w:noWrap w:val="0"/>
                  <w:vAlign w:val="center"/>
                </w:tcPr>
                <w:p w14:paraId="6DF9B0E0">
                  <w:pPr>
                    <w:keepNext w:val="0"/>
                    <w:keepLines w:val="0"/>
                    <w:widowControl/>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64" w:type="dxa"/>
                  <w:tcBorders>
                    <w:tl2br w:val="nil"/>
                    <w:tr2bl w:val="nil"/>
                  </w:tcBorders>
                  <w:noWrap w:val="0"/>
                  <w:vAlign w:val="center"/>
                </w:tcPr>
                <w:p w14:paraId="34631407">
                  <w:pPr>
                    <w:keepNext w:val="0"/>
                    <w:keepLines w:val="0"/>
                    <w:widowControl/>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046" w:type="dxa"/>
                  <w:tcBorders>
                    <w:tl2br w:val="nil"/>
                    <w:tr2bl w:val="nil"/>
                  </w:tcBorders>
                  <w:noWrap w:val="0"/>
                  <w:vAlign w:val="center"/>
                </w:tcPr>
                <w:p w14:paraId="73B74ED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达标</w:t>
                  </w:r>
                </w:p>
              </w:tc>
              <w:tc>
                <w:tcPr>
                  <w:tcW w:w="1057" w:type="dxa"/>
                  <w:tcBorders>
                    <w:tl2br w:val="nil"/>
                    <w:tr2bl w:val="nil"/>
                  </w:tcBorders>
                  <w:noWrap w:val="0"/>
                  <w:vAlign w:val="center"/>
                </w:tcPr>
                <w:p w14:paraId="7FD40C0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达标</w:t>
                  </w:r>
                </w:p>
              </w:tc>
            </w:tr>
            <w:tr w14:paraId="60389E93">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55" w:type="dxa"/>
                  <w:tcBorders>
                    <w:tl2br w:val="nil"/>
                    <w:tr2bl w:val="nil"/>
                  </w:tcBorders>
                  <w:noWrap w:val="0"/>
                  <w:vAlign w:val="center"/>
                </w:tcPr>
                <w:p w14:paraId="39E82AF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厂界西侧</w:t>
                  </w:r>
                </w:p>
              </w:tc>
              <w:tc>
                <w:tcPr>
                  <w:tcW w:w="672" w:type="dxa"/>
                  <w:tcBorders>
                    <w:right w:val="single" w:color="auto" w:sz="4" w:space="0"/>
                    <w:tl2br w:val="nil"/>
                    <w:tr2bl w:val="nil"/>
                  </w:tcBorders>
                  <w:noWrap w:val="0"/>
                  <w:vAlign w:val="center"/>
                </w:tcPr>
                <w:p w14:paraId="2921274F">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734" w:type="dxa"/>
                  <w:tcBorders>
                    <w:left w:val="single" w:color="auto" w:sz="4" w:space="0"/>
                    <w:right w:val="single" w:color="auto" w:sz="4" w:space="0"/>
                    <w:tl2br w:val="nil"/>
                    <w:tr2bl w:val="nil"/>
                  </w:tcBorders>
                  <w:noWrap w:val="0"/>
                  <w:vAlign w:val="center"/>
                </w:tcPr>
                <w:p w14:paraId="5BE01270">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680" w:type="dxa"/>
                  <w:tcBorders>
                    <w:left w:val="single" w:color="auto" w:sz="4" w:space="0"/>
                    <w:tl2br w:val="nil"/>
                    <w:tr2bl w:val="nil"/>
                  </w:tcBorders>
                  <w:noWrap w:val="0"/>
                  <w:vAlign w:val="center"/>
                </w:tcPr>
                <w:p w14:paraId="224E1EB8">
                  <w:pPr>
                    <w:keepNext w:val="0"/>
                    <w:keepLines w:val="0"/>
                    <w:widowControl/>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36</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2</w:t>
                  </w:r>
                </w:p>
              </w:tc>
              <w:tc>
                <w:tcPr>
                  <w:tcW w:w="911" w:type="dxa"/>
                  <w:tcBorders>
                    <w:tl2br w:val="nil"/>
                    <w:tr2bl w:val="nil"/>
                  </w:tcBorders>
                  <w:noWrap w:val="0"/>
                  <w:vAlign w:val="center"/>
                </w:tcPr>
                <w:p w14:paraId="16EAB71A">
                  <w:pPr>
                    <w:keepNext w:val="0"/>
                    <w:keepLines w:val="0"/>
                    <w:widowControl/>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36</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2</w:t>
                  </w:r>
                </w:p>
              </w:tc>
              <w:tc>
                <w:tcPr>
                  <w:tcW w:w="918" w:type="dxa"/>
                  <w:tcBorders>
                    <w:tl2br w:val="nil"/>
                    <w:tr2bl w:val="nil"/>
                  </w:tcBorders>
                  <w:noWrap w:val="0"/>
                  <w:vAlign w:val="center"/>
                </w:tcPr>
                <w:p w14:paraId="7A68BC86">
                  <w:pPr>
                    <w:keepNext w:val="0"/>
                    <w:keepLines w:val="0"/>
                    <w:widowControl/>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64" w:type="dxa"/>
                  <w:tcBorders>
                    <w:tl2br w:val="nil"/>
                    <w:tr2bl w:val="nil"/>
                  </w:tcBorders>
                  <w:noWrap w:val="0"/>
                  <w:vAlign w:val="center"/>
                </w:tcPr>
                <w:p w14:paraId="75BCE757">
                  <w:pPr>
                    <w:keepNext w:val="0"/>
                    <w:keepLines w:val="0"/>
                    <w:widowControl/>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046" w:type="dxa"/>
                  <w:tcBorders>
                    <w:tl2br w:val="nil"/>
                    <w:tr2bl w:val="nil"/>
                  </w:tcBorders>
                  <w:noWrap w:val="0"/>
                  <w:vAlign w:val="center"/>
                </w:tcPr>
                <w:p w14:paraId="5E8EC32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达标</w:t>
                  </w:r>
                </w:p>
              </w:tc>
              <w:tc>
                <w:tcPr>
                  <w:tcW w:w="1057" w:type="dxa"/>
                  <w:tcBorders>
                    <w:tl2br w:val="nil"/>
                    <w:tr2bl w:val="nil"/>
                  </w:tcBorders>
                  <w:noWrap w:val="0"/>
                  <w:vAlign w:val="center"/>
                </w:tcPr>
                <w:p w14:paraId="7B22F6A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达标</w:t>
                  </w:r>
                </w:p>
              </w:tc>
            </w:tr>
            <w:tr w14:paraId="76C64F6E">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55" w:type="dxa"/>
                  <w:tcBorders>
                    <w:tl2br w:val="nil"/>
                    <w:tr2bl w:val="nil"/>
                  </w:tcBorders>
                  <w:noWrap w:val="0"/>
                  <w:vAlign w:val="center"/>
                </w:tcPr>
                <w:p w14:paraId="2B16D17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厂界</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南</w:t>
                  </w:r>
                  <w:r>
                    <w:rPr>
                      <w:rFonts w:hint="default" w:ascii="Times New Roman" w:hAnsi="Times New Roman" w:eastAsia="宋体" w:cs="Times New Roman"/>
                      <w:color w:val="000000" w:themeColor="text1"/>
                      <w:sz w:val="21"/>
                      <w:szCs w:val="21"/>
                      <w:highlight w:val="none"/>
                      <w14:textFill>
                        <w14:solidFill>
                          <w14:schemeClr w14:val="tx1"/>
                        </w14:solidFill>
                      </w14:textFill>
                    </w:rPr>
                    <w:t>侧</w:t>
                  </w:r>
                </w:p>
              </w:tc>
              <w:tc>
                <w:tcPr>
                  <w:tcW w:w="672" w:type="dxa"/>
                  <w:tcBorders>
                    <w:right w:val="single" w:color="auto" w:sz="4" w:space="0"/>
                    <w:tl2br w:val="nil"/>
                    <w:tr2bl w:val="nil"/>
                  </w:tcBorders>
                  <w:noWrap w:val="0"/>
                  <w:vAlign w:val="center"/>
                </w:tcPr>
                <w:p w14:paraId="0D70EBC8">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734" w:type="dxa"/>
                  <w:tcBorders>
                    <w:left w:val="single" w:color="auto" w:sz="4" w:space="0"/>
                    <w:right w:val="single" w:color="auto" w:sz="4" w:space="0"/>
                    <w:tl2br w:val="nil"/>
                    <w:tr2bl w:val="nil"/>
                  </w:tcBorders>
                  <w:noWrap w:val="0"/>
                  <w:vAlign w:val="center"/>
                </w:tcPr>
                <w:p w14:paraId="08B7A05F">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680" w:type="dxa"/>
                  <w:tcBorders>
                    <w:left w:val="single" w:color="auto" w:sz="4" w:space="0"/>
                    <w:tl2br w:val="nil"/>
                    <w:tr2bl w:val="nil"/>
                  </w:tcBorders>
                  <w:noWrap w:val="0"/>
                  <w:vAlign w:val="center"/>
                </w:tcPr>
                <w:p w14:paraId="4133E647">
                  <w:pPr>
                    <w:keepNext w:val="0"/>
                    <w:keepLines w:val="0"/>
                    <w:widowControl/>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29</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3</w:t>
                  </w:r>
                </w:p>
              </w:tc>
              <w:tc>
                <w:tcPr>
                  <w:tcW w:w="911" w:type="dxa"/>
                  <w:tcBorders>
                    <w:tl2br w:val="nil"/>
                    <w:tr2bl w:val="nil"/>
                  </w:tcBorders>
                  <w:noWrap w:val="0"/>
                  <w:vAlign w:val="center"/>
                </w:tcPr>
                <w:p w14:paraId="5F36B979">
                  <w:pPr>
                    <w:keepNext w:val="0"/>
                    <w:keepLines w:val="0"/>
                    <w:widowControl/>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29</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3</w:t>
                  </w:r>
                </w:p>
              </w:tc>
              <w:tc>
                <w:tcPr>
                  <w:tcW w:w="918" w:type="dxa"/>
                  <w:tcBorders>
                    <w:tl2br w:val="nil"/>
                    <w:tr2bl w:val="nil"/>
                  </w:tcBorders>
                  <w:noWrap w:val="0"/>
                  <w:vAlign w:val="center"/>
                </w:tcPr>
                <w:p w14:paraId="7C8295A2">
                  <w:pPr>
                    <w:keepNext w:val="0"/>
                    <w:keepLines w:val="0"/>
                    <w:widowControl/>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64" w:type="dxa"/>
                  <w:tcBorders>
                    <w:tl2br w:val="nil"/>
                    <w:tr2bl w:val="nil"/>
                  </w:tcBorders>
                  <w:noWrap w:val="0"/>
                  <w:vAlign w:val="center"/>
                </w:tcPr>
                <w:p w14:paraId="4D46530D">
                  <w:pPr>
                    <w:keepNext w:val="0"/>
                    <w:keepLines w:val="0"/>
                    <w:widowControl/>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046" w:type="dxa"/>
                  <w:tcBorders>
                    <w:tl2br w:val="nil"/>
                    <w:tr2bl w:val="nil"/>
                  </w:tcBorders>
                  <w:noWrap w:val="0"/>
                  <w:vAlign w:val="center"/>
                </w:tcPr>
                <w:p w14:paraId="3A3D3BB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达标</w:t>
                  </w:r>
                </w:p>
              </w:tc>
              <w:tc>
                <w:tcPr>
                  <w:tcW w:w="1057" w:type="dxa"/>
                  <w:tcBorders>
                    <w:tl2br w:val="nil"/>
                    <w:tr2bl w:val="nil"/>
                  </w:tcBorders>
                  <w:noWrap w:val="0"/>
                  <w:vAlign w:val="center"/>
                </w:tcPr>
                <w:p w14:paraId="5CB1A93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达标</w:t>
                  </w:r>
                </w:p>
              </w:tc>
            </w:tr>
          </w:tbl>
          <w:p w14:paraId="3C8D80D4">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三</w:t>
            </w:r>
            <w:r>
              <w:rPr>
                <w:rFonts w:hint="default" w:ascii="Times New Roman" w:hAnsi="Times New Roman" w:eastAsia="宋体" w:cs="Times New Roman"/>
                <w:color w:val="000000" w:themeColor="text1"/>
                <w:sz w:val="24"/>
                <w:highlight w:val="none"/>
                <w14:textFill>
                  <w14:solidFill>
                    <w14:schemeClr w14:val="tx1"/>
                  </w14:solidFill>
                </w14:textFill>
              </w:rPr>
              <w:t>）监测计划</w:t>
            </w:r>
          </w:p>
          <w:p w14:paraId="437929D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依据《排污单位自行监测技术指南总则》(HJ819-2017)确定本项目监测计划，具体见下表</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p>
          <w:p w14:paraId="6DDBB27D">
            <w:pPr>
              <w:keepNext/>
              <w:keepLines w:val="0"/>
              <w:widowControl/>
              <w:suppressLineNumbers w:val="0"/>
              <w:spacing w:before="0" w:beforeAutospacing="0" w:after="0" w:afterAutospacing="0" w:line="360" w:lineRule="auto"/>
              <w:ind w:left="482" w:right="0" w:firstLine="200"/>
              <w:jc w:val="center"/>
              <w:rPr>
                <w:rFonts w:hint="default" w:ascii="Times New Roman" w:hAnsi="Times New Roman" w:eastAsia="宋体" w:cs="Times New Roman"/>
                <w:b/>
                <w:color w:val="000000" w:themeColor="text1"/>
                <w:sz w:val="21"/>
                <w:szCs w:val="21"/>
                <w:highlight w:val="none"/>
                <w14:textFill>
                  <w14:solidFill>
                    <w14:schemeClr w14:val="tx1"/>
                  </w14:solidFill>
                </w14:textFill>
              </w:rPr>
            </w:pPr>
            <w:r>
              <w:rPr>
                <w:rFonts w:hint="default" w:ascii="Times New Roman" w:hAnsi="Times New Roman" w:eastAsia="宋体" w:cs="Times New Roman"/>
                <w:b/>
                <w:color w:val="000000" w:themeColor="text1"/>
                <w:sz w:val="21"/>
                <w:szCs w:val="21"/>
                <w:highlight w:val="none"/>
                <w14:textFill>
                  <w14:solidFill>
                    <w14:schemeClr w14:val="tx1"/>
                  </w14:solidFill>
                </w14:textFill>
              </w:rPr>
              <w:t>表4-</w:t>
            </w:r>
            <w:r>
              <w:rPr>
                <w:rFonts w:hint="eastAsia" w:cs="Times New Roman"/>
                <w:b/>
                <w:color w:val="000000" w:themeColor="text1"/>
                <w:sz w:val="21"/>
                <w:szCs w:val="21"/>
                <w:highlight w:val="none"/>
                <w:lang w:val="en-US" w:eastAsia="zh-CN"/>
                <w14:textFill>
                  <w14:solidFill>
                    <w14:schemeClr w14:val="tx1"/>
                  </w14:solidFill>
                </w14:textFill>
              </w:rPr>
              <w:t>10</w:t>
            </w:r>
            <w:r>
              <w:rPr>
                <w:rFonts w:hint="default" w:ascii="Times New Roman" w:hAnsi="Times New Roman" w:eastAsia="宋体" w:cs="Times New Roman"/>
                <w:b/>
                <w:color w:val="000000" w:themeColor="text1"/>
                <w:sz w:val="21"/>
                <w:szCs w:val="21"/>
                <w:highlight w:val="none"/>
                <w14:textFill>
                  <w14:solidFill>
                    <w14:schemeClr w14:val="tx1"/>
                  </w14:solidFill>
                </w14:textFill>
              </w:rPr>
              <w:t>本项目污染源监测计划</w:t>
            </w:r>
          </w:p>
          <w:tbl>
            <w:tblPr>
              <w:tblStyle w:val="35"/>
              <w:tblW w:w="789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531"/>
              <w:gridCol w:w="1015"/>
              <w:gridCol w:w="1756"/>
              <w:gridCol w:w="1047"/>
              <w:gridCol w:w="2545"/>
            </w:tblGrid>
            <w:tr w14:paraId="2D9B23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531" w:type="dxa"/>
                  <w:tcBorders>
                    <w:tl2br w:val="nil"/>
                    <w:tr2bl w:val="nil"/>
                  </w:tcBorders>
                  <w:vAlign w:val="center"/>
                </w:tcPr>
                <w:p w14:paraId="0FAFC97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监测项目</w:t>
                  </w:r>
                </w:p>
              </w:tc>
              <w:tc>
                <w:tcPr>
                  <w:tcW w:w="1015" w:type="dxa"/>
                  <w:tcBorders>
                    <w:tl2br w:val="nil"/>
                    <w:tr2bl w:val="nil"/>
                  </w:tcBorders>
                  <w:vAlign w:val="center"/>
                </w:tcPr>
                <w:p w14:paraId="2245D88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监测指标</w:t>
                  </w:r>
                </w:p>
              </w:tc>
              <w:tc>
                <w:tcPr>
                  <w:tcW w:w="1756" w:type="dxa"/>
                  <w:tcBorders>
                    <w:tl2br w:val="nil"/>
                    <w:tr2bl w:val="nil"/>
                  </w:tcBorders>
                  <w:vAlign w:val="center"/>
                </w:tcPr>
                <w:p w14:paraId="4E0CD20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监测点位置</w:t>
                  </w:r>
                </w:p>
              </w:tc>
              <w:tc>
                <w:tcPr>
                  <w:tcW w:w="1047" w:type="dxa"/>
                  <w:tcBorders>
                    <w:tl2br w:val="nil"/>
                    <w:tr2bl w:val="nil"/>
                  </w:tcBorders>
                  <w:vAlign w:val="center"/>
                </w:tcPr>
                <w:p w14:paraId="564C8CD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最低监测频率</w:t>
                  </w:r>
                </w:p>
              </w:tc>
              <w:tc>
                <w:tcPr>
                  <w:tcW w:w="2545" w:type="dxa"/>
                  <w:tcBorders>
                    <w:tl2br w:val="nil"/>
                    <w:tr2bl w:val="nil"/>
                  </w:tcBorders>
                  <w:vAlign w:val="center"/>
                </w:tcPr>
                <w:p w14:paraId="27E54C8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执行标准</w:t>
                  </w:r>
                </w:p>
              </w:tc>
            </w:tr>
            <w:tr w14:paraId="7CC61B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531" w:type="dxa"/>
                  <w:tcBorders>
                    <w:tl2br w:val="nil"/>
                    <w:tr2bl w:val="nil"/>
                  </w:tcBorders>
                  <w:vAlign w:val="center"/>
                </w:tcPr>
                <w:p w14:paraId="6DCC105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厂界噪声</w:t>
                  </w:r>
                </w:p>
              </w:tc>
              <w:tc>
                <w:tcPr>
                  <w:tcW w:w="1015" w:type="dxa"/>
                  <w:tcBorders>
                    <w:tl2br w:val="nil"/>
                    <w:tr2bl w:val="nil"/>
                  </w:tcBorders>
                  <w:vAlign w:val="center"/>
                </w:tcPr>
                <w:p w14:paraId="4F3DD25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等效声级和最大声级</w:t>
                  </w:r>
                </w:p>
              </w:tc>
              <w:tc>
                <w:tcPr>
                  <w:tcW w:w="1756" w:type="dxa"/>
                  <w:tcBorders>
                    <w:tl2br w:val="nil"/>
                    <w:tr2bl w:val="nil"/>
                  </w:tcBorders>
                  <w:vAlign w:val="center"/>
                </w:tcPr>
                <w:p w14:paraId="27169AA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厂界</w:t>
                  </w:r>
                </w:p>
              </w:tc>
              <w:tc>
                <w:tcPr>
                  <w:tcW w:w="1047" w:type="dxa"/>
                  <w:tcBorders>
                    <w:tl2br w:val="nil"/>
                    <w:tr2bl w:val="nil"/>
                  </w:tcBorders>
                  <w:vAlign w:val="center"/>
                </w:tcPr>
                <w:p w14:paraId="6DCBCB8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1次/季度</w:t>
                  </w:r>
                </w:p>
              </w:tc>
              <w:tc>
                <w:tcPr>
                  <w:tcW w:w="2545" w:type="dxa"/>
                  <w:tcBorders>
                    <w:tl2br w:val="nil"/>
                    <w:tr2bl w:val="nil"/>
                  </w:tcBorders>
                  <w:vAlign w:val="center"/>
                </w:tcPr>
                <w:p w14:paraId="75592D4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《工业企业厂界环境噪声排放标准》（GB12348-2008）2类标准</w:t>
                  </w:r>
                </w:p>
              </w:tc>
            </w:tr>
          </w:tbl>
          <w:p w14:paraId="4576D6F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四</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lang w:bidi="ar"/>
                <w14:textFill>
                  <w14:solidFill>
                    <w14:schemeClr w14:val="tx1"/>
                  </w14:solidFill>
                </w14:textFill>
              </w:rPr>
              <w:t>污染防治措施及环境影响分析</w:t>
            </w:r>
          </w:p>
          <w:p w14:paraId="31C2C5C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选用低噪声设备：在满足项目生产工艺的前提下选择低噪声设备，从源头上降低噪声。</w:t>
            </w:r>
          </w:p>
          <w:p w14:paraId="23A8E32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合理布局：在满足生产的前提下综合考虑，设备布置时考虑声源方向性和车间噪声强弱等因素，进行合理布局，进一步降低厂界噪声，将</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高噪声</w:t>
            </w:r>
            <w:r>
              <w:rPr>
                <w:rFonts w:hint="default" w:ascii="Times New Roman" w:hAnsi="Times New Roman" w:eastAsia="宋体" w:cs="Times New Roman"/>
                <w:color w:val="000000" w:themeColor="text1"/>
                <w:sz w:val="24"/>
                <w:highlight w:val="none"/>
                <w14:textFill>
                  <w14:solidFill>
                    <w14:schemeClr w14:val="tx1"/>
                  </w14:solidFill>
                </w14:textFill>
              </w:rPr>
              <w:t>设备安置在</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建筑物</w:t>
            </w:r>
            <w:r>
              <w:rPr>
                <w:rFonts w:hint="default" w:ascii="Times New Roman" w:hAnsi="Times New Roman" w:eastAsia="宋体" w:cs="Times New Roman"/>
                <w:color w:val="000000" w:themeColor="text1"/>
                <w:sz w:val="24"/>
                <w:highlight w:val="none"/>
                <w14:textFill>
                  <w14:solidFill>
                    <w14:schemeClr w14:val="tx1"/>
                  </w14:solidFill>
                </w14:textFill>
              </w:rPr>
              <w:t>中部及远离厂界的位置，充分利用厂内建筑物的隔声作用，减轻各类声源对周围环境的影响。</w:t>
            </w:r>
          </w:p>
          <w:p w14:paraId="7E93E83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加强设备的维护，确保设备处于良好的运转状态，杜绝因设备不正常运转时产生的高噪声现象。</w:t>
            </w:r>
          </w:p>
          <w:p w14:paraId="4C890B1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对</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烘干塔</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风</w:t>
            </w:r>
            <w:r>
              <w:rPr>
                <w:rFonts w:hint="default" w:ascii="Times New Roman" w:hAnsi="Times New Roman" w:eastAsia="宋体" w:cs="Times New Roman"/>
                <w:color w:val="000000" w:themeColor="text1"/>
                <w:sz w:val="24"/>
                <w:highlight w:val="none"/>
                <w14:textFill>
                  <w14:solidFill>
                    <w14:schemeClr w14:val="tx1"/>
                  </w14:solidFill>
                </w14:textFill>
              </w:rPr>
              <w:t>机</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等</w:t>
            </w:r>
            <w:r>
              <w:rPr>
                <w:rFonts w:hint="default" w:ascii="Times New Roman" w:hAnsi="Times New Roman" w:eastAsia="宋体" w:cs="Times New Roman"/>
                <w:color w:val="000000" w:themeColor="text1"/>
                <w:sz w:val="24"/>
                <w:highlight w:val="none"/>
                <w14:textFill>
                  <w14:solidFill>
                    <w14:schemeClr w14:val="tx1"/>
                  </w14:solidFill>
                </w14:textFill>
              </w:rPr>
              <w:t>高噪声设备加装减振基础</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安装减振垫，风机设置减振底座，加装隔声罩，并在</w:t>
            </w:r>
            <w:r>
              <w:rPr>
                <w:rFonts w:hint="default" w:ascii="Times New Roman" w:hAnsi="Times New Roman" w:eastAsia="宋体" w:cs="Times New Roman"/>
                <w:color w:val="000000" w:themeColor="text1"/>
                <w:sz w:val="24"/>
                <w:highlight w:val="none"/>
                <w14:textFill>
                  <w14:solidFill>
                    <w14:schemeClr w14:val="tx1"/>
                  </w14:solidFill>
                </w14:textFill>
              </w:rPr>
              <w:t>风机进、出风口装设消音器。</w:t>
            </w:r>
          </w:p>
          <w:p w14:paraId="35BB7FE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sz w:val="24"/>
                <w:highlight w:val="none"/>
                <w14:textFill>
                  <w14:solidFill>
                    <w14:schemeClr w14:val="tx1"/>
                  </w14:solidFill>
                </w14:textFill>
              </w:rPr>
              <w:t>原料/产品运输</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主要使用货车，为交通类非稳态噪声源；本项目</w:t>
            </w:r>
            <w:r>
              <w:rPr>
                <w:rFonts w:hint="default" w:ascii="Times New Roman" w:hAnsi="Times New Roman" w:eastAsia="宋体" w:cs="Times New Roman"/>
                <w:color w:val="000000" w:themeColor="text1"/>
                <w:sz w:val="24"/>
                <w:highlight w:val="none"/>
                <w14:textFill>
                  <w14:solidFill>
                    <w14:schemeClr w14:val="tx1"/>
                  </w14:solidFill>
                </w14:textFill>
              </w:rPr>
              <w:t>装卸区布置在厂区</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中间，</w:t>
            </w:r>
            <w:r>
              <w:rPr>
                <w:rFonts w:hint="default" w:ascii="Times New Roman" w:hAnsi="Times New Roman" w:eastAsia="宋体" w:cs="Times New Roman"/>
                <w:color w:val="000000" w:themeColor="text1"/>
                <w:sz w:val="24"/>
                <w:highlight w:val="none"/>
                <w14:textFill>
                  <w14:solidFill>
                    <w14:schemeClr w14:val="tx1"/>
                  </w14:solidFill>
                </w14:textFill>
              </w:rPr>
              <w:t>远离敏感目标，避免</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运输车辆</w:t>
            </w:r>
            <w:r>
              <w:rPr>
                <w:rFonts w:hint="default" w:ascii="Times New Roman" w:hAnsi="Times New Roman" w:eastAsia="宋体" w:cs="Times New Roman"/>
                <w:color w:val="000000" w:themeColor="text1"/>
                <w:sz w:val="24"/>
                <w:highlight w:val="none"/>
                <w14:textFill>
                  <w14:solidFill>
                    <w14:schemeClr w14:val="tx1"/>
                  </w14:solidFill>
                </w14:textFill>
              </w:rPr>
              <w:t>噪声直接辐射至居民点等区域。</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同时本项目</w:t>
            </w:r>
            <w:r>
              <w:rPr>
                <w:rFonts w:hint="default" w:ascii="Times New Roman" w:hAnsi="Times New Roman" w:eastAsia="宋体" w:cs="Times New Roman"/>
                <w:color w:val="000000" w:themeColor="text1"/>
                <w:sz w:val="24"/>
                <w:highlight w:val="none"/>
                <w14:textFill>
                  <w14:solidFill>
                    <w14:schemeClr w14:val="tx1"/>
                  </w14:solidFill>
                </w14:textFill>
              </w:rPr>
              <w:t>选用低噪声</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运输车辆</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并采取</w:t>
            </w:r>
            <w:r>
              <w:rPr>
                <w:rFonts w:hint="default" w:ascii="Times New Roman" w:hAnsi="Times New Roman" w:eastAsia="宋体" w:cs="Times New Roman"/>
                <w:color w:val="000000" w:themeColor="text1"/>
                <w:sz w:val="24"/>
                <w:highlight w:val="none"/>
                <w14:textFill>
                  <w14:solidFill>
                    <w14:schemeClr w14:val="tx1"/>
                  </w14:solidFill>
                </w14:textFill>
              </w:rPr>
              <w:t>厂区内车辆限速行驶，禁止鸣笛</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等噪声防护措施</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423AE36A">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维护路面，使路面状况良好，低速运行，禁止鸣笛，文明驾驶。</w:t>
            </w:r>
          </w:p>
          <w:p w14:paraId="47D72C03">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通过采取</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以上</w:t>
            </w:r>
            <w:r>
              <w:rPr>
                <w:rFonts w:hint="default" w:ascii="Times New Roman" w:hAnsi="Times New Roman" w:eastAsia="宋体" w:cs="Times New Roman"/>
                <w:color w:val="000000" w:themeColor="text1"/>
                <w:szCs w:val="21"/>
                <w:highlight w:val="none"/>
                <w14:textFill>
                  <w14:solidFill>
                    <w14:schemeClr w14:val="tx1"/>
                  </w14:solidFill>
                </w14:textFill>
              </w:rPr>
              <w:t>措施</w:t>
            </w:r>
            <w:r>
              <w:rPr>
                <w:rFonts w:hint="default" w:ascii="Times New Roman" w:hAnsi="Times New Roman" w:eastAsia="宋体" w:cs="Times New Roman"/>
                <w:color w:val="000000" w:themeColor="text1"/>
                <w:highlight w:val="none"/>
                <w14:textFill>
                  <w14:solidFill>
                    <w14:schemeClr w14:val="tx1"/>
                  </w14:solidFill>
                </w14:textFill>
              </w:rPr>
              <w:t>，可使厂界噪声满足《工业企业厂界环境噪声排放标准》（GB12348-2008）</w:t>
            </w:r>
            <w:r>
              <w:rPr>
                <w:rFonts w:hint="default" w:ascii="Times New Roman" w:hAnsi="Times New Roman" w:eastAsia="宋体" w:cs="Times New Roman"/>
                <w:color w:val="000000" w:themeColor="text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highlight w:val="none"/>
                <w14:textFill>
                  <w14:solidFill>
                    <w14:schemeClr w14:val="tx1"/>
                  </w14:solidFill>
                </w14:textFill>
              </w:rPr>
              <w:t>类标准</w:t>
            </w:r>
            <w:r>
              <w:rPr>
                <w:rFonts w:hint="default" w:ascii="Times New Roman" w:hAnsi="Times New Roman" w:eastAsia="宋体" w:cs="Times New Roman"/>
                <w:color w:val="000000" w:themeColor="text1"/>
                <w:szCs w:val="24"/>
                <w:highlight w:val="none"/>
                <w14:textFill>
                  <w14:solidFill>
                    <w14:schemeClr w14:val="tx1"/>
                  </w14:solidFill>
                </w14:textFill>
              </w:rPr>
              <w:t>要求</w:t>
            </w:r>
            <w:r>
              <w:rPr>
                <w:rFonts w:hint="default" w:ascii="Times New Roman" w:hAnsi="Times New Roman" w:eastAsia="宋体" w:cs="Times New Roman"/>
                <w:color w:val="000000" w:themeColor="text1"/>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本项目对周围声环境影响较小</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本项目建设是可行的。</w:t>
            </w:r>
          </w:p>
          <w:p w14:paraId="10EC05C1">
            <w:pPr>
              <w:pStyle w:val="56"/>
              <w:keepNext w:val="0"/>
              <w:keepLines w:val="0"/>
              <w:suppressLineNumbers w:val="0"/>
              <w:spacing w:before="0" w:beforeAutospacing="0" w:after="0" w:afterAutospacing="0" w:line="360" w:lineRule="auto"/>
              <w:ind w:left="0" w:right="0" w:firstLine="482"/>
              <w:rPr>
                <w:rFonts w:hint="default" w:ascii="Times New Roman" w:hAnsi="Times New Roman" w:eastAsia="宋体" w:cs="Times New Roman"/>
                <w:b/>
                <w:bCs/>
                <w:color w:val="000000" w:themeColor="text1"/>
                <w:szCs w:val="24"/>
                <w:highlight w:val="none"/>
                <w14:textFill>
                  <w14:solidFill>
                    <w14:schemeClr w14:val="tx1"/>
                  </w14:solidFill>
                </w14:textFill>
              </w:rPr>
            </w:pPr>
            <w:r>
              <w:rPr>
                <w:rFonts w:hint="default" w:ascii="Times New Roman" w:hAnsi="Times New Roman" w:eastAsia="宋体" w:cs="Times New Roman"/>
                <w:b/>
                <w:bCs/>
                <w:color w:val="000000" w:themeColor="text1"/>
                <w:szCs w:val="24"/>
                <w:highlight w:val="none"/>
                <w14:textFill>
                  <w14:solidFill>
                    <w14:schemeClr w14:val="tx1"/>
                  </w14:solidFill>
                </w14:textFill>
              </w:rPr>
              <w:t>4、固体废物</w:t>
            </w:r>
          </w:p>
          <w:p w14:paraId="62FCEF1A">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（一）主要污染物及源强</w:t>
            </w:r>
          </w:p>
          <w:p w14:paraId="6827483A">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本项目固体废物主要为一般工业固体废物。筛分工序中产生的杂质（土石颗粒），</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热风炉</w:t>
            </w:r>
            <w:r>
              <w:rPr>
                <w:rFonts w:hint="default" w:ascii="Times New Roman" w:hAnsi="Times New Roman" w:eastAsia="宋体" w:cs="Times New Roman"/>
                <w:color w:val="000000" w:themeColor="text1"/>
                <w:sz w:val="24"/>
                <w:highlight w:val="none"/>
                <w14:textFill>
                  <w14:solidFill>
                    <w14:schemeClr w14:val="tx1"/>
                  </w14:solidFill>
                </w14:textFill>
              </w:rPr>
              <w:t>除尘系统收尘和热风炉灰渣，</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烘干塔及筛分粉尘</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废布袋</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生活垃圾</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55D2347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（1）杂质</w:t>
            </w:r>
          </w:p>
          <w:p w14:paraId="223975EE">
            <w:pPr>
              <w:pStyle w:val="2"/>
              <w:keepNext w:val="0"/>
              <w:keepLines w:val="0"/>
              <w:suppressLineNumbers w:val="0"/>
              <w:spacing w:before="0" w:beforeAutospacing="0" w:after="0" w:afterAutospacing="0"/>
              <w:ind w:left="0" w:right="0" w:firstLine="48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类比现有工程</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原粮</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杂</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质产生量约为原料烘干量的0.1%，</w:t>
            </w:r>
            <w:r>
              <w:rPr>
                <w:rFonts w:hint="default" w:ascii="Times New Roman" w:hAnsi="Times New Roman" w:eastAsia="宋体" w:cs="Times New Roman"/>
                <w:color w:val="000000" w:themeColor="text1"/>
                <w:sz w:val="24"/>
                <w:szCs w:val="24"/>
                <w:highlight w:val="none"/>
                <w14:textFill>
                  <w14:solidFill>
                    <w14:schemeClr w14:val="tx1"/>
                  </w14:solidFill>
                </w14:textFill>
              </w:rPr>
              <w:t>本项目</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年烘干粮食</w:t>
            </w:r>
            <w:r>
              <w:rPr>
                <w:rFonts w:hint="eastAsia" w:cs="Times New Roman"/>
                <w:color w:val="000000" w:themeColor="text1"/>
                <w:sz w:val="24"/>
                <w:highlight w:val="none"/>
                <w:lang w:val="en-US" w:eastAsia="zh-CN"/>
                <w14:textFill>
                  <w14:solidFill>
                    <w14:schemeClr w14:val="tx1"/>
                  </w14:solidFill>
                </w14:textFill>
              </w:rPr>
              <w:t>360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00t，则</w:t>
            </w:r>
            <w:r>
              <w:rPr>
                <w:rFonts w:hint="default" w:ascii="Times New Roman" w:hAnsi="Times New Roman" w:eastAsia="宋体" w:cs="Times New Roman"/>
                <w:color w:val="000000" w:themeColor="text1"/>
                <w:sz w:val="24"/>
                <w:szCs w:val="24"/>
                <w:highlight w:val="none"/>
                <w14:textFill>
                  <w14:solidFill>
                    <w14:schemeClr w14:val="tx1"/>
                  </w14:solidFill>
                </w14:textFill>
              </w:rPr>
              <w:t>原粮筛分除杂工序中产生的</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杂质</w:t>
            </w:r>
            <w:r>
              <w:rPr>
                <w:rFonts w:hint="default" w:ascii="Times New Roman" w:hAnsi="Times New Roman" w:eastAsia="宋体" w:cs="Times New Roman"/>
                <w:color w:val="000000" w:themeColor="text1"/>
                <w:sz w:val="24"/>
                <w:szCs w:val="24"/>
                <w:highlight w:val="none"/>
                <w14:textFill>
                  <w14:solidFill>
                    <w14:schemeClr w14:val="tx1"/>
                  </w14:solidFill>
                </w14:textFill>
              </w:rPr>
              <w:t>量约为</w:t>
            </w:r>
            <w:r>
              <w:rPr>
                <w:rFonts w:hint="eastAsia" w:cs="Times New Roman"/>
                <w:color w:val="000000" w:themeColor="text1"/>
                <w:sz w:val="24"/>
                <w:szCs w:val="24"/>
                <w:highlight w:val="none"/>
                <w:lang w:val="en-US" w:eastAsia="zh-CN"/>
                <w14:textFill>
                  <w14:solidFill>
                    <w14:schemeClr w14:val="tx1"/>
                  </w14:solidFill>
                </w14:textFill>
              </w:rPr>
              <w:t>3.6</w:t>
            </w:r>
            <w:r>
              <w:rPr>
                <w:rFonts w:hint="default" w:ascii="Times New Roman" w:hAnsi="Times New Roman" w:eastAsia="宋体" w:cs="Times New Roman"/>
                <w:color w:val="000000" w:themeColor="text1"/>
                <w:sz w:val="24"/>
                <w:szCs w:val="24"/>
                <w:highlight w:val="none"/>
                <w14:textFill>
                  <w14:solidFill>
                    <w14:schemeClr w14:val="tx1"/>
                  </w14:solidFill>
                </w14:textFill>
              </w:rPr>
              <w:t>t/a，对照</w:t>
            </w:r>
            <w:r>
              <w:rPr>
                <w:rFonts w:hint="default" w:ascii="Times New Roman" w:hAnsi="Times New Roman" w:eastAsia="宋体" w:cs="Times New Roman"/>
                <w:color w:val="000000" w:themeColor="text1"/>
                <w:sz w:val="24"/>
                <w:highlight w:val="none"/>
                <w14:textFill>
                  <w14:solidFill>
                    <w14:schemeClr w14:val="tx1"/>
                  </w14:solidFill>
                </w14:textFill>
              </w:rPr>
              <w:t>《固体废物分类与代码目录》（2024</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版</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原粮杂质</w:t>
            </w:r>
            <w:r>
              <w:rPr>
                <w:rFonts w:hint="default" w:ascii="Times New Roman" w:hAnsi="Times New Roman" w:eastAsia="宋体" w:cs="Times New Roman"/>
                <w:color w:val="000000" w:themeColor="text1"/>
                <w:sz w:val="24"/>
                <w:szCs w:val="24"/>
                <w:highlight w:val="none"/>
                <w14:textFill>
                  <w14:solidFill>
                    <w14:schemeClr w14:val="tx1"/>
                  </w14:solidFill>
                </w14:textFill>
              </w:rPr>
              <w:t>分类代码为“900-099-S64”，集中收集后</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定期外售综合利用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4F184745">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（2）</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炉</w:t>
            </w:r>
            <w:r>
              <w:rPr>
                <w:rFonts w:hint="default" w:ascii="Times New Roman" w:hAnsi="Times New Roman" w:eastAsia="宋体" w:cs="Times New Roman"/>
                <w:color w:val="000000" w:themeColor="text1"/>
                <w:sz w:val="24"/>
                <w:highlight w:val="none"/>
                <w14:textFill>
                  <w14:solidFill>
                    <w14:schemeClr w14:val="tx1"/>
                  </w14:solidFill>
                </w14:textFill>
              </w:rPr>
              <w:t>渣</w:t>
            </w:r>
          </w:p>
          <w:p w14:paraId="5D0CC70B">
            <w:pPr>
              <w:keepNext w:val="0"/>
              <w:keepLines w:val="0"/>
              <w:suppressLineNumbers w:val="0"/>
              <w:adjustRightIn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本项目生物质燃料使用量共计</w:t>
            </w:r>
            <w:r>
              <w:rPr>
                <w:rFonts w:hint="default"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2507.74</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t，</w:t>
            </w:r>
            <w:r>
              <w:rPr>
                <w:rFonts w:hint="default" w:ascii="Times New Roman" w:hAnsi="Times New Roman" w:eastAsia="宋体" w:cs="Times New Roman"/>
                <w:color w:val="000000" w:themeColor="text1"/>
                <w:sz w:val="24"/>
                <w:szCs w:val="24"/>
                <w:highlight w:val="none"/>
                <w14:textFill>
                  <w14:solidFill>
                    <w14:schemeClr w14:val="tx1"/>
                  </w14:solidFill>
                </w14:textFill>
              </w:rPr>
              <w:t>根据《污染源源强核算技术指南 准则》（HJ884-2018）及《污染源源强核算技术指南 锅炉》（HJ 991-2018），本项目炉渣污染物采取物料衡算法计算。</w:t>
            </w:r>
          </w:p>
          <w:p w14:paraId="7482392E">
            <w:pPr>
              <w:keepNext w:val="0"/>
              <w:keepLines w:val="0"/>
              <w:suppressLineNumbers w:val="0"/>
              <w:adjustRightInd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color w:val="000000" w:themeColor="text1"/>
                <w:position w:val="-28"/>
                <w:sz w:val="21"/>
                <w:szCs w:val="21"/>
                <w:highlight w:val="none"/>
                <w14:textFill>
                  <w14:solidFill>
                    <w14:schemeClr w14:val="tx1"/>
                  </w14:solidFill>
                </w14:textFill>
              </w:rPr>
              <w:object>
                <v:shape id="_x0000_i1032" o:spt="75" type="#_x0000_t75" style="height:42.95pt;width:182.1pt;" o:ole="t" filled="f" o:preferrelative="t" stroked="f" coordsize="21600,21600">
                  <v:path/>
                  <v:fill on="f" focussize="0,0"/>
                  <v:stroke on="f"/>
                  <v:imagedata r:id="rId45" o:title=""/>
                  <o:lock v:ext="edit" aspectratio="t"/>
                  <w10:wrap type="none"/>
                  <w10:anchorlock/>
                </v:shape>
                <o:OLEObject Type="Embed" ProgID="Equation.3" ShapeID="_x0000_i1032" DrawAspect="Content" ObjectID="_1468075732" r:id="rId44">
                  <o:LockedField>false</o:LockedField>
                </o:OLEObject>
              </w:object>
            </w:r>
          </w:p>
          <w:p w14:paraId="73312D11">
            <w:pPr>
              <w:keepNext w:val="0"/>
              <w:keepLines w:val="0"/>
              <w:suppressLineNumbers w:val="0"/>
              <w:adjustRightIn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式中：</w:t>
            </w:r>
            <w:r>
              <w:rPr>
                <w:rFonts w:hint="default" w:ascii="Times New Roman" w:hAnsi="Times New Roman" w:eastAsia="宋体" w:cs="Times New Roman"/>
                <w:i/>
                <w:iCs/>
                <w:color w:val="000000" w:themeColor="text1"/>
                <w:sz w:val="24"/>
                <w:highlight w:val="none"/>
                <w14:textFill>
                  <w14:solidFill>
                    <w14:schemeClr w14:val="tx1"/>
                  </w14:solidFill>
                </w14:textFill>
              </w:rPr>
              <w:t>E</w:t>
            </w:r>
            <w:r>
              <w:rPr>
                <w:rFonts w:hint="default" w:ascii="Times New Roman" w:hAnsi="Times New Roman" w:eastAsia="宋体" w:cs="Times New Roman"/>
                <w:i/>
                <w:iCs/>
                <w:color w:val="000000" w:themeColor="text1"/>
                <w:sz w:val="24"/>
                <w:highlight w:val="none"/>
                <w:vertAlign w:val="subscript"/>
                <w14:textFill>
                  <w14:solidFill>
                    <w14:schemeClr w14:val="tx1"/>
                  </w14:solidFill>
                </w14:textFill>
              </w:rPr>
              <w:t>hs</w:t>
            </w:r>
            <w:r>
              <w:rPr>
                <w:rFonts w:hint="default" w:ascii="Times New Roman" w:hAnsi="Times New Roman" w:eastAsia="宋体" w:cs="Times New Roman"/>
                <w:color w:val="000000" w:themeColor="text1"/>
                <w:sz w:val="24"/>
                <w:highlight w:val="none"/>
                <w14:textFill>
                  <w14:solidFill>
                    <w14:schemeClr w14:val="tx1"/>
                  </w14:solidFill>
                </w14:textFill>
              </w:rPr>
              <w:t>——核算时段内灰渣产生量，t；</w:t>
            </w:r>
          </w:p>
          <w:p w14:paraId="0A3475AF">
            <w:pPr>
              <w:keepNext w:val="0"/>
              <w:keepLines w:val="0"/>
              <w:suppressLineNumbers w:val="0"/>
              <w:adjustRightIn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i/>
                <w:iCs/>
                <w:color w:val="000000" w:themeColor="text1"/>
                <w:sz w:val="24"/>
                <w:highlight w:val="none"/>
                <w14:textFill>
                  <w14:solidFill>
                    <w14:schemeClr w14:val="tx1"/>
                  </w14:solidFill>
                </w14:textFill>
              </w:rPr>
              <w:t>R</w:t>
            </w:r>
            <w:r>
              <w:rPr>
                <w:rFonts w:hint="default" w:ascii="Times New Roman" w:hAnsi="Times New Roman" w:eastAsia="宋体" w:cs="Times New Roman"/>
                <w:color w:val="000000" w:themeColor="text1"/>
                <w:sz w:val="24"/>
                <w:highlight w:val="none"/>
                <w14:textFill>
                  <w14:solidFill>
                    <w14:schemeClr w14:val="tx1"/>
                  </w14:solidFill>
                </w14:textFill>
              </w:rPr>
              <w:t>——核算时段内锅炉燃料耗量，t</w:t>
            </w:r>
            <w:r>
              <w:rPr>
                <w:rStyle w:val="70"/>
                <w:rFonts w:hint="default" w:ascii="Times New Roman" w:hAnsi="Times New Roman" w:eastAsia="宋体" w:cs="Times New Roman"/>
                <w:color w:val="000000" w:themeColor="text1"/>
                <w:highlight w:val="none"/>
                <w14:textFill>
                  <w14:solidFill>
                    <w14:schemeClr w14:val="tx1"/>
                  </w14:solidFill>
                </w14:textFill>
              </w:rPr>
              <w:t>，</w:t>
            </w:r>
            <w:r>
              <w:rPr>
                <w:rStyle w:val="70"/>
                <w:rFonts w:hint="default" w:ascii="Times New Roman" w:hAnsi="Times New Roman" w:eastAsia="宋体" w:cs="Times New Roman"/>
                <w:color w:val="000000" w:themeColor="text1"/>
                <w:highlight w:val="none"/>
                <w:lang w:val="en-US" w:eastAsia="zh-CN"/>
                <w14:textFill>
                  <w14:solidFill>
                    <w14:schemeClr w14:val="tx1"/>
                  </w14:solidFill>
                </w14:textFill>
              </w:rPr>
              <w:t>2507.74</w:t>
            </w:r>
            <w:r>
              <w:rPr>
                <w:rStyle w:val="70"/>
                <w:rFonts w:hint="default" w:ascii="Times New Roman" w:hAnsi="Times New Roman" w:eastAsia="宋体" w:cs="Times New Roman"/>
                <w:color w:val="000000" w:themeColor="text1"/>
                <w:highlight w:val="none"/>
                <w14:textFill>
                  <w14:solidFill>
                    <w14:schemeClr w14:val="tx1"/>
                  </w14:solidFill>
                </w14:textFill>
              </w:rPr>
              <w:t>；</w:t>
            </w:r>
          </w:p>
          <w:p w14:paraId="436DD165">
            <w:pPr>
              <w:keepNext w:val="0"/>
              <w:keepLines w:val="0"/>
              <w:suppressLineNumbers w:val="0"/>
              <w:adjustRightIn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i/>
                <w:iCs/>
                <w:color w:val="000000" w:themeColor="text1"/>
                <w:sz w:val="24"/>
                <w:highlight w:val="none"/>
                <w14:textFill>
                  <w14:solidFill>
                    <w14:schemeClr w14:val="tx1"/>
                  </w14:solidFill>
                </w14:textFill>
              </w:rPr>
              <w:t>A</w:t>
            </w:r>
            <w:r>
              <w:rPr>
                <w:rFonts w:hint="default" w:ascii="Times New Roman" w:hAnsi="Times New Roman" w:eastAsia="宋体" w:cs="Times New Roman"/>
                <w:i/>
                <w:iCs/>
                <w:color w:val="000000" w:themeColor="text1"/>
                <w:sz w:val="24"/>
                <w:highlight w:val="none"/>
                <w:vertAlign w:val="subscript"/>
                <w14:textFill>
                  <w14:solidFill>
                    <w14:schemeClr w14:val="tx1"/>
                  </w14:solidFill>
                </w14:textFill>
              </w:rPr>
              <w:t>ar</w:t>
            </w:r>
            <w:r>
              <w:rPr>
                <w:rFonts w:hint="default" w:ascii="Times New Roman" w:hAnsi="Times New Roman" w:eastAsia="宋体" w:cs="Times New Roman"/>
                <w:color w:val="000000" w:themeColor="text1"/>
                <w:sz w:val="24"/>
                <w:highlight w:val="none"/>
                <w14:textFill>
                  <w14:solidFill>
                    <w14:schemeClr w14:val="tx1"/>
                  </w14:solidFill>
                </w14:textFill>
              </w:rPr>
              <w:t>——收到基灰分的质量分数，%，本项目</w:t>
            </w:r>
            <w:r>
              <w:rPr>
                <w:rFonts w:hint="default" w:ascii="Times New Roman" w:hAnsi="Times New Roman" w:eastAsia="宋体" w:cs="Times New Roman"/>
                <w:i/>
                <w:color w:val="000000" w:themeColor="text1"/>
                <w:sz w:val="24"/>
                <w:highlight w:val="none"/>
                <w14:textFill>
                  <w14:solidFill>
                    <w14:schemeClr w14:val="tx1"/>
                  </w14:solidFill>
                </w14:textFill>
              </w:rPr>
              <w:t>A</w:t>
            </w:r>
            <w:r>
              <w:rPr>
                <w:rFonts w:hint="default" w:ascii="Times New Roman" w:hAnsi="Times New Roman" w:eastAsia="宋体" w:cs="Times New Roman"/>
                <w:i/>
                <w:color w:val="000000" w:themeColor="text1"/>
                <w:sz w:val="24"/>
                <w:highlight w:val="none"/>
                <w:vertAlign w:val="subscript"/>
                <w14:textFill>
                  <w14:solidFill>
                    <w14:schemeClr w14:val="tx1"/>
                  </w14:solidFill>
                </w14:textFill>
              </w:rPr>
              <w:t>ar</w:t>
            </w:r>
            <w:r>
              <w:rPr>
                <w:rFonts w:hint="default" w:ascii="Times New Roman" w:hAnsi="Times New Roman" w:eastAsia="宋体" w:cs="Times New Roman"/>
                <w:iCs/>
                <w:color w:val="000000" w:themeColor="text1"/>
                <w:sz w:val="24"/>
                <w:highlight w:val="none"/>
                <w14:textFill>
                  <w14:solidFill>
                    <w14:schemeClr w14:val="tx1"/>
                  </w14:solidFill>
                </w14:textFill>
              </w:rPr>
              <w:t>取值</w:t>
            </w:r>
            <w:r>
              <w:rPr>
                <w:rFonts w:hint="eastAsia" w:cs="Times New Roman"/>
                <w:iCs/>
                <w:color w:val="000000" w:themeColor="text1"/>
                <w:sz w:val="24"/>
                <w:highlight w:val="none"/>
                <w:lang w:val="en-US" w:eastAsia="zh-CN"/>
                <w14:textFill>
                  <w14:solidFill>
                    <w14:schemeClr w14:val="tx1"/>
                  </w14:solidFill>
                </w14:textFill>
              </w:rPr>
              <w:t>4.65</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40EEDD1D">
            <w:pPr>
              <w:keepNext w:val="0"/>
              <w:keepLines w:val="0"/>
              <w:suppressLineNumbers w:val="0"/>
              <w:adjustRightIn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i/>
                <w:iCs/>
                <w:color w:val="000000" w:themeColor="text1"/>
                <w:sz w:val="24"/>
                <w:highlight w:val="none"/>
                <w14:textFill>
                  <w14:solidFill>
                    <w14:schemeClr w14:val="tx1"/>
                  </w14:solidFill>
                </w14:textFill>
              </w:rPr>
              <w:t>q</w:t>
            </w:r>
            <w:r>
              <w:rPr>
                <w:rFonts w:hint="default" w:ascii="Times New Roman" w:hAnsi="Times New Roman" w:eastAsia="宋体" w:cs="Times New Roman"/>
                <w:i/>
                <w:iCs/>
                <w:color w:val="000000" w:themeColor="text1"/>
                <w:sz w:val="24"/>
                <w:highlight w:val="none"/>
                <w:vertAlign w:val="subscript"/>
                <w14:textFill>
                  <w14:solidFill>
                    <w14:schemeClr w14:val="tx1"/>
                  </w14:solidFill>
                </w14:textFill>
              </w:rPr>
              <w:t>4</w:t>
            </w:r>
            <w:r>
              <w:rPr>
                <w:rFonts w:hint="default" w:ascii="Times New Roman" w:hAnsi="Times New Roman" w:eastAsia="宋体" w:cs="Times New Roman"/>
                <w:color w:val="000000" w:themeColor="text1"/>
                <w:sz w:val="24"/>
                <w:highlight w:val="none"/>
                <w14:textFill>
                  <w14:solidFill>
                    <w14:schemeClr w14:val="tx1"/>
                  </w14:solidFill>
                </w14:textFill>
              </w:rPr>
              <w:t>——锅炉机械不完全燃烧热损失，%，本项目取</w:t>
            </w:r>
            <w:r>
              <w:rPr>
                <w:rFonts w:hint="eastAsia" w:cs="Times New Roman"/>
                <w:color w:val="000000" w:themeColor="text1"/>
                <w:sz w:val="24"/>
                <w:highlight w:val="none"/>
                <w:lang w:val="en-US" w:eastAsia="zh-CN"/>
                <w14:textFill>
                  <w14:solidFill>
                    <w14:schemeClr w14:val="tx1"/>
                  </w14:solidFill>
                </w14:textFill>
              </w:rPr>
              <w:t>15</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239D57BB">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kern w:val="2"/>
                <w:szCs w:val="24"/>
                <w:highlight w:val="none"/>
                <w:lang w:val="en-US" w:eastAsia="zh-CN"/>
                <w14:textFill>
                  <w14:solidFill>
                    <w14:schemeClr w14:val="tx1"/>
                  </w14:solidFill>
                </w14:textFill>
              </w:rPr>
            </w:pPr>
            <w:r>
              <w:rPr>
                <w:rFonts w:hint="default" w:ascii="Times New Roman" w:hAnsi="Times New Roman" w:eastAsia="宋体" w:cs="Times New Roman"/>
                <w:i/>
                <w:iCs/>
                <w:color w:val="000000" w:themeColor="text1"/>
                <w:sz w:val="24"/>
                <w:highlight w:val="none"/>
                <w14:textFill>
                  <w14:solidFill>
                    <w14:schemeClr w14:val="tx1"/>
                  </w14:solidFill>
                </w14:textFill>
              </w:rPr>
              <w:t>Q</w:t>
            </w:r>
            <w:r>
              <w:rPr>
                <w:rFonts w:hint="default" w:ascii="Times New Roman" w:hAnsi="Times New Roman" w:eastAsia="宋体" w:cs="Times New Roman"/>
                <w:i/>
                <w:iCs/>
                <w:color w:val="000000" w:themeColor="text1"/>
                <w:sz w:val="24"/>
                <w:highlight w:val="none"/>
                <w:vertAlign w:val="subscript"/>
                <w14:textFill>
                  <w14:solidFill>
                    <w14:schemeClr w14:val="tx1"/>
                  </w14:solidFill>
                </w14:textFill>
              </w:rPr>
              <w:t>net，ar</w:t>
            </w:r>
            <w:r>
              <w:rPr>
                <w:rFonts w:hint="default" w:ascii="Times New Roman" w:hAnsi="Times New Roman" w:eastAsia="宋体" w:cs="Times New Roman"/>
                <w:color w:val="000000" w:themeColor="text1"/>
                <w:sz w:val="24"/>
                <w:highlight w:val="none"/>
                <w14:textFill>
                  <w14:solidFill>
                    <w14:schemeClr w14:val="tx1"/>
                  </w14:solidFill>
                </w14:textFill>
              </w:rPr>
              <w:t>——收到基低位发热量，kJ/kg，根据附件4，取</w:t>
            </w:r>
            <w:r>
              <w:rPr>
                <w:rFonts w:hint="eastAsia" w:cs="Times New Roman"/>
                <w:color w:val="000000" w:themeColor="text1"/>
                <w:sz w:val="24"/>
                <w:highlight w:val="none"/>
                <w:lang w:val="en-US" w:eastAsia="zh-CN"/>
                <w14:textFill>
                  <w14:solidFill>
                    <w14:schemeClr w14:val="tx1"/>
                  </w14:solidFill>
                </w14:textFill>
              </w:rPr>
              <w:t>14.4</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p>
          <w:p w14:paraId="4F2A9768">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kern w:val="2"/>
                <w:szCs w:val="24"/>
                <w:highlight w:val="none"/>
                <w14:textFill>
                  <w14:solidFill>
                    <w14:schemeClr w14:val="tx1"/>
                  </w14:solidFill>
                </w14:textFill>
              </w:rPr>
            </w:pPr>
            <w:r>
              <w:rPr>
                <w:rFonts w:hint="default" w:ascii="Times New Roman" w:hAnsi="Times New Roman" w:eastAsia="宋体" w:cs="Times New Roman"/>
                <w:color w:val="000000" w:themeColor="text1"/>
                <w:kern w:val="2"/>
                <w:szCs w:val="24"/>
                <w:highlight w:val="none"/>
                <w14:textFill>
                  <w14:solidFill>
                    <w14:schemeClr w14:val="tx1"/>
                  </w14:solidFill>
                </w14:textFill>
              </w:rPr>
              <w:t>计算得到灰渣量为</w:t>
            </w:r>
            <w:r>
              <w:rPr>
                <w:rFonts w:hint="eastAsia" w:cs="Times New Roman"/>
                <w:color w:val="000000" w:themeColor="text1"/>
                <w:kern w:val="2"/>
                <w:szCs w:val="24"/>
                <w:highlight w:val="none"/>
                <w:lang w:val="en-US" w:eastAsia="zh-CN"/>
                <w14:textFill>
                  <w14:solidFill>
                    <w14:schemeClr w14:val="tx1"/>
                  </w14:solidFill>
                </w14:textFill>
              </w:rPr>
              <w:t>116.77</w:t>
            </w:r>
            <w:r>
              <w:rPr>
                <w:rFonts w:hint="default" w:ascii="Times New Roman" w:hAnsi="Times New Roman" w:eastAsia="宋体" w:cs="Times New Roman"/>
                <w:color w:val="000000" w:themeColor="text1"/>
                <w:kern w:val="2"/>
                <w:szCs w:val="24"/>
                <w:highlight w:val="none"/>
                <w14:textFill>
                  <w14:solidFill>
                    <w14:schemeClr w14:val="tx1"/>
                  </w14:solidFill>
                </w14:textFill>
              </w:rPr>
              <w:t>t/a，</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其中飞灰量（即热风炉烟气中颗粒物产生量）为</w:t>
            </w:r>
            <w:r>
              <w:rPr>
                <w:rFonts w:hint="eastAsia" w:cs="Times New Roman"/>
                <w:color w:val="000000" w:themeColor="text1"/>
                <w:sz w:val="24"/>
                <w:szCs w:val="22"/>
                <w:highlight w:val="none"/>
                <w:lang w:val="en-US" w:eastAsia="zh-CN"/>
                <w14:textFill>
                  <w14:solidFill>
                    <w14:schemeClr w14:val="tx1"/>
                  </w14:solidFill>
                </w14:textFill>
              </w:rPr>
              <w:t>58.30</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t/a，则热风炉炉底灰渣产生量为</w:t>
            </w:r>
            <w:r>
              <w:rPr>
                <w:rFonts w:hint="eastAsia" w:cs="Times New Roman"/>
                <w:color w:val="000000" w:themeColor="text1"/>
                <w:sz w:val="24"/>
                <w:szCs w:val="22"/>
                <w:highlight w:val="none"/>
                <w:lang w:val="en-US" w:eastAsia="zh-CN"/>
                <w14:textFill>
                  <w14:solidFill>
                    <w14:schemeClr w14:val="tx1"/>
                  </w14:solidFill>
                </w14:textFill>
              </w:rPr>
              <w:t>58.47</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t/a。</w:t>
            </w:r>
            <w:r>
              <w:rPr>
                <w:rFonts w:hint="default" w:ascii="Times New Roman" w:hAnsi="Times New Roman" w:eastAsia="宋体" w:cs="Times New Roman"/>
                <w:color w:val="000000" w:themeColor="text1"/>
                <w:kern w:val="2"/>
                <w:szCs w:val="24"/>
                <w:highlight w:val="none"/>
                <w:lang w:val="en-US" w:eastAsia="zh-CN"/>
                <w14:textFill>
                  <w14:solidFill>
                    <w14:schemeClr w14:val="tx1"/>
                  </w14:solidFill>
                </w14:textFill>
              </w:rPr>
              <w:t>根</w:t>
            </w:r>
            <w:r>
              <w:rPr>
                <w:rFonts w:hint="default" w:ascii="Times New Roman" w:hAnsi="Times New Roman" w:eastAsia="宋体" w:cs="Times New Roman"/>
                <w:color w:val="000000" w:themeColor="text1"/>
                <w:kern w:val="2"/>
                <w:szCs w:val="24"/>
                <w:highlight w:val="none"/>
                <w14:textFill>
                  <w14:solidFill>
                    <w14:schemeClr w14:val="tx1"/>
                  </w14:solidFill>
                </w14:textFill>
              </w:rPr>
              <w:t>灰渣分类代码为“</w:t>
            </w:r>
            <w:r>
              <w:rPr>
                <w:rFonts w:hint="default" w:ascii="Times New Roman" w:hAnsi="Times New Roman" w:eastAsia="宋体" w:cs="Times New Roman"/>
                <w:color w:val="000000" w:themeColor="text1"/>
                <w:kern w:val="2"/>
                <w:szCs w:val="24"/>
                <w:highlight w:val="none"/>
                <w:lang w:val="en-US" w:eastAsia="zh-CN"/>
                <w14:textFill>
                  <w14:solidFill>
                    <w14:schemeClr w14:val="tx1"/>
                  </w14:solidFill>
                </w14:textFill>
              </w:rPr>
              <w:t>900-099-S03</w:t>
            </w:r>
            <w:r>
              <w:rPr>
                <w:rFonts w:hint="default" w:ascii="Times New Roman" w:hAnsi="Times New Roman" w:eastAsia="宋体" w:cs="Times New Roman"/>
                <w:color w:val="000000" w:themeColor="text1"/>
                <w:kern w:val="2"/>
                <w:szCs w:val="24"/>
                <w:highlight w:val="none"/>
                <w14:textFill>
                  <w14:solidFill>
                    <w14:schemeClr w14:val="tx1"/>
                  </w14:solidFill>
                </w14:textFill>
              </w:rPr>
              <w:t>”，热风炉除尘系统收尘和热风炉灰渣其成分属于草木灰，草木灰是由植物燃烧后的残余物形成的，主要成分是</w:t>
            </w:r>
            <w:r>
              <w:rPr>
                <w:rFonts w:hint="default" w:ascii="Times New Roman" w:hAnsi="Times New Roman" w:eastAsia="宋体" w:cs="Times New Roman"/>
                <w:color w:val="000000" w:themeColor="text1"/>
                <w:kern w:val="2"/>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2"/>
                <w:szCs w:val="24"/>
                <w:highlight w:val="none"/>
                <w:lang w:val="en-US" w:eastAsia="zh-CN"/>
                <w14:textFill>
                  <w14:solidFill>
                    <w14:schemeClr w14:val="tx1"/>
                  </w14:solidFill>
                </w14:textFill>
              </w:rPr>
              <w:t>硅酸盐、钙盐、以及钾的化合物</w:t>
            </w:r>
            <w:r>
              <w:rPr>
                <w:rFonts w:hint="default" w:ascii="Times New Roman" w:hAnsi="Times New Roman" w:eastAsia="宋体" w:cs="Times New Roman"/>
                <w:color w:val="000000" w:themeColor="text1"/>
                <w:kern w:val="2"/>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2"/>
                <w:szCs w:val="24"/>
                <w:highlight w:val="none"/>
                <w:lang w:val="en-US" w:eastAsia="zh-CN"/>
                <w14:textFill>
                  <w14:solidFill>
                    <w14:schemeClr w14:val="tx1"/>
                  </w14:solidFill>
                </w14:textFill>
              </w:rPr>
              <w:t>是制砖铺路的原材料，</w:t>
            </w:r>
            <w:r>
              <w:rPr>
                <w:rFonts w:hint="default" w:ascii="Times New Roman" w:hAnsi="Times New Roman" w:eastAsia="宋体" w:cs="Times New Roman"/>
                <w:color w:val="000000" w:themeColor="text1"/>
                <w:kern w:val="2"/>
                <w:szCs w:val="24"/>
                <w:highlight w:val="none"/>
                <w14:textFill>
                  <w14:solidFill>
                    <w14:schemeClr w14:val="tx1"/>
                  </w14:solidFill>
                </w14:textFill>
              </w:rPr>
              <w:t>热风炉灰渣</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装袋后统一收集暂存于灰渣</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间</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中，定期</w:t>
            </w:r>
            <w:r>
              <w:rPr>
                <w:rFonts w:hint="default" w:ascii="Times New Roman" w:hAnsi="Times New Roman" w:eastAsia="宋体" w:cs="Times New Roman"/>
                <w:color w:val="000000" w:themeColor="text1"/>
                <w:szCs w:val="21"/>
                <w:highlight w:val="none"/>
                <w14:textFill>
                  <w14:solidFill>
                    <w14:schemeClr w14:val="tx1"/>
                  </w14:solidFill>
                </w14:textFill>
              </w:rPr>
              <w:t>外售综合利用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7A194770">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kern w:val="2"/>
                <w:szCs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热风炉</w:t>
            </w:r>
            <w:r>
              <w:rPr>
                <w:rFonts w:hint="default" w:ascii="Times New Roman" w:hAnsi="Times New Roman" w:eastAsia="宋体" w:cs="Times New Roman"/>
                <w:color w:val="000000" w:themeColor="text1"/>
                <w:sz w:val="24"/>
                <w:highlight w:val="none"/>
                <w14:textFill>
                  <w14:solidFill>
                    <w14:schemeClr w14:val="tx1"/>
                  </w14:solidFill>
                </w14:textFill>
              </w:rPr>
              <w:t>除尘系统收尘</w:t>
            </w:r>
          </w:p>
          <w:p w14:paraId="117257F9">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kern w:val="2"/>
                <w:szCs w:val="24"/>
                <w:highlight w:val="none"/>
                <w14:textFill>
                  <w14:solidFill>
                    <w14:schemeClr w14:val="tx1"/>
                  </w14:solidFill>
                </w14:textFill>
              </w:rPr>
            </w:pPr>
            <w:r>
              <w:rPr>
                <w:rFonts w:hint="default" w:ascii="Times New Roman" w:hAnsi="Times New Roman" w:eastAsia="宋体" w:cs="Times New Roman"/>
                <w:color w:val="000000" w:themeColor="text1"/>
                <w:kern w:val="2"/>
                <w:szCs w:val="24"/>
                <w:highlight w:val="none"/>
                <w14:textFill>
                  <w14:solidFill>
                    <w14:schemeClr w14:val="tx1"/>
                  </w14:solidFill>
                </w14:textFill>
              </w:rPr>
              <w:t>热风炉除尘系统收尘量为</w:t>
            </w:r>
            <w:r>
              <w:rPr>
                <w:rFonts w:hint="eastAsia" w:cs="Times New Roman"/>
                <w:color w:val="000000" w:themeColor="text1"/>
                <w:kern w:val="2"/>
                <w:szCs w:val="24"/>
                <w:highlight w:val="none"/>
                <w:lang w:val="en-US" w:eastAsia="zh-CN"/>
                <w14:textFill>
                  <w14:solidFill>
                    <w14:schemeClr w14:val="tx1"/>
                  </w14:solidFill>
                </w14:textFill>
              </w:rPr>
              <w:t>58.01</w:t>
            </w:r>
            <w:r>
              <w:rPr>
                <w:rFonts w:hint="default" w:ascii="Times New Roman" w:hAnsi="Times New Roman" w:eastAsia="宋体" w:cs="Times New Roman"/>
                <w:color w:val="000000" w:themeColor="text1"/>
                <w:kern w:val="2"/>
                <w:szCs w:val="24"/>
                <w:highlight w:val="none"/>
                <w14:textFill>
                  <w14:solidFill>
                    <w14:schemeClr w14:val="tx1"/>
                  </w14:solidFill>
                </w14:textFill>
              </w:rPr>
              <w:t>t/a</w:t>
            </w:r>
            <w:r>
              <w:rPr>
                <w:rFonts w:hint="eastAsia" w:cs="Times New Roman"/>
                <w:color w:val="000000" w:themeColor="text1"/>
                <w:kern w:val="2"/>
                <w:szCs w:val="24"/>
                <w:highlight w:val="none"/>
                <w:lang w:eastAsia="zh-CN"/>
                <w14:textFill>
                  <w14:solidFill>
                    <w14:schemeClr w14:val="tx1"/>
                  </w14:solidFill>
                </w14:textFill>
              </w:rPr>
              <w:t>（</w:t>
            </w:r>
            <w:r>
              <w:rPr>
                <w:rFonts w:hint="eastAsia" w:cs="Times New Roman"/>
                <w:color w:val="000000" w:themeColor="text1"/>
                <w:kern w:val="2"/>
                <w:szCs w:val="24"/>
                <w:highlight w:val="none"/>
                <w:lang w:val="en-US" w:eastAsia="zh-CN"/>
                <w14:textFill>
                  <w14:solidFill>
                    <w14:schemeClr w14:val="tx1"/>
                  </w14:solidFill>
                </w14:textFill>
              </w:rPr>
              <w:t>颗粒物产生量×布袋除尘器效率99.5%=58.30×99.5%=58.01</w:t>
            </w:r>
            <w:r>
              <w:rPr>
                <w:rFonts w:hint="eastAsia" w:cs="Times New Roman"/>
                <w:color w:val="000000" w:themeColor="text1"/>
                <w:kern w:val="2"/>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2"/>
                <w:szCs w:val="24"/>
                <w:highlight w:val="none"/>
                <w14:textFill>
                  <w14:solidFill>
                    <w14:schemeClr w14:val="tx1"/>
                  </w14:solidFill>
                </w14:textFill>
              </w:rPr>
              <w:t>。对照</w:t>
            </w:r>
            <w:r>
              <w:rPr>
                <w:rFonts w:hint="default" w:ascii="Times New Roman" w:hAnsi="Times New Roman" w:eastAsia="宋体" w:cs="Times New Roman"/>
                <w:color w:val="000000" w:themeColor="text1"/>
                <w:sz w:val="24"/>
                <w:highlight w:val="none"/>
                <w14:textFill>
                  <w14:solidFill>
                    <w14:schemeClr w14:val="tx1"/>
                  </w14:solidFill>
                </w14:textFill>
              </w:rPr>
              <w:t>《固体废物分类与代码目录》（2024</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版</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kern w:val="2"/>
                <w:szCs w:val="24"/>
                <w:highlight w:val="none"/>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除尘系统收尘</w:t>
            </w:r>
            <w:r>
              <w:rPr>
                <w:rFonts w:hint="default" w:ascii="Times New Roman" w:hAnsi="Times New Roman" w:eastAsia="宋体" w:cs="Times New Roman"/>
                <w:color w:val="000000" w:themeColor="text1"/>
                <w:kern w:val="2"/>
                <w:szCs w:val="24"/>
                <w:highlight w:val="none"/>
                <w14:textFill>
                  <w14:solidFill>
                    <w14:schemeClr w14:val="tx1"/>
                  </w14:solidFill>
                </w14:textFill>
              </w:rPr>
              <w:t>分类代码为“</w:t>
            </w:r>
            <w:r>
              <w:rPr>
                <w:rFonts w:hint="default" w:ascii="Times New Roman" w:hAnsi="Times New Roman" w:eastAsia="宋体" w:cs="Times New Roman"/>
                <w:color w:val="000000" w:themeColor="text1"/>
                <w:kern w:val="2"/>
                <w:szCs w:val="24"/>
                <w:highlight w:val="none"/>
                <w:lang w:val="en-US" w:eastAsia="zh-CN"/>
                <w14:textFill>
                  <w14:solidFill>
                    <w14:schemeClr w14:val="tx1"/>
                  </w14:solidFill>
                </w14:textFill>
              </w:rPr>
              <w:t>900-099-S0</w:t>
            </w:r>
            <w:r>
              <w:rPr>
                <w:rFonts w:hint="eastAsia" w:cs="Times New Roman"/>
                <w:color w:val="000000" w:themeColor="text1"/>
                <w:kern w:val="2"/>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kern w:val="2"/>
                <w:szCs w:val="24"/>
                <w:highlight w:val="none"/>
                <w14:textFill>
                  <w14:solidFill>
                    <w14:schemeClr w14:val="tx1"/>
                  </w14:solidFill>
                </w14:textFill>
              </w:rPr>
              <w:t>”</w:t>
            </w:r>
            <w:r>
              <w:rPr>
                <w:rFonts w:hint="default" w:ascii="Times New Roman" w:hAnsi="Times New Roman" w:eastAsia="宋体" w:cs="Times New Roman"/>
                <w:color w:val="000000" w:themeColor="text1"/>
                <w:kern w:val="2"/>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热风炉</w:t>
            </w:r>
            <w:r>
              <w:rPr>
                <w:rFonts w:hint="default" w:ascii="Times New Roman" w:hAnsi="Times New Roman" w:eastAsia="宋体" w:cs="Times New Roman"/>
                <w:color w:val="000000" w:themeColor="text1"/>
                <w:kern w:val="2"/>
                <w:szCs w:val="24"/>
                <w:highlight w:val="none"/>
                <w14:textFill>
                  <w14:solidFill>
                    <w14:schemeClr w14:val="tx1"/>
                  </w14:solidFill>
                </w14:textFill>
              </w:rPr>
              <w:t>除尘系统收尘</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装袋后统一收集暂存于灰渣</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间</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中，定期</w:t>
            </w:r>
            <w:r>
              <w:rPr>
                <w:rFonts w:hint="default" w:ascii="Times New Roman" w:hAnsi="Times New Roman" w:eastAsia="宋体" w:cs="Times New Roman"/>
                <w:color w:val="000000" w:themeColor="text1"/>
                <w:szCs w:val="21"/>
                <w:highlight w:val="none"/>
                <w14:textFill>
                  <w14:solidFill>
                    <w14:schemeClr w14:val="tx1"/>
                  </w14:solidFill>
                </w14:textFill>
              </w:rPr>
              <w:t>外售综合利用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38450749">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kern w:val="2"/>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2"/>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2"/>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kern w:val="2"/>
                <w:szCs w:val="24"/>
                <w:highlight w:val="none"/>
                <w:lang w:eastAsia="zh-CN"/>
                <w14:textFill>
                  <w14:solidFill>
                    <w14:schemeClr w14:val="tx1"/>
                  </w14:solidFill>
                </w14:textFill>
              </w:rPr>
              <w:t>）烘干塔及筛分粉尘</w:t>
            </w:r>
          </w:p>
          <w:p w14:paraId="63D9848B">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kern w:val="2"/>
                <w:szCs w:val="24"/>
                <w:highlight w:val="none"/>
                <w14:textFill>
                  <w14:solidFill>
                    <w14:schemeClr w14:val="tx1"/>
                  </w14:solidFill>
                </w14:textFill>
              </w:rPr>
            </w:pPr>
            <w:r>
              <w:rPr>
                <w:rFonts w:hint="default" w:ascii="Times New Roman" w:hAnsi="Times New Roman" w:eastAsia="宋体" w:cs="Times New Roman"/>
                <w:color w:val="000000" w:themeColor="text1"/>
                <w:kern w:val="2"/>
                <w:szCs w:val="24"/>
                <w:highlight w:val="none"/>
                <w14:textFill>
                  <w14:solidFill>
                    <w14:schemeClr w14:val="tx1"/>
                  </w14:solidFill>
                </w14:textFill>
              </w:rPr>
              <w:t>烘干塔除尘系统收尘量为</w:t>
            </w:r>
            <w:r>
              <w:rPr>
                <w:rFonts w:hint="eastAsia" w:cs="Times New Roman"/>
                <w:color w:val="000000" w:themeColor="text1"/>
                <w:kern w:val="2"/>
                <w:szCs w:val="24"/>
                <w:highlight w:val="none"/>
                <w:lang w:val="en-US" w:eastAsia="zh-CN"/>
                <w14:textFill>
                  <w14:solidFill>
                    <w14:schemeClr w14:val="tx1"/>
                  </w14:solidFill>
                </w14:textFill>
              </w:rPr>
              <w:t>2.16</w:t>
            </w:r>
            <w:r>
              <w:rPr>
                <w:rFonts w:hint="default" w:ascii="Times New Roman" w:hAnsi="Times New Roman" w:eastAsia="宋体" w:cs="Times New Roman"/>
                <w:color w:val="000000" w:themeColor="text1"/>
                <w:kern w:val="2"/>
                <w:szCs w:val="24"/>
                <w:highlight w:val="none"/>
                <w14:textFill>
                  <w14:solidFill>
                    <w14:schemeClr w14:val="tx1"/>
                  </w14:solidFill>
                </w14:textFill>
              </w:rPr>
              <w:t>t/a，筛分工序除尘系统收尘量为</w:t>
            </w:r>
            <w:r>
              <w:rPr>
                <w:rFonts w:hint="eastAsia" w:cs="Times New Roman"/>
                <w:color w:val="000000" w:themeColor="text1"/>
                <w:kern w:val="2"/>
                <w:szCs w:val="24"/>
                <w:highlight w:val="none"/>
                <w:lang w:val="en-US" w:eastAsia="zh-CN"/>
                <w14:textFill>
                  <w14:solidFill>
                    <w14:schemeClr w14:val="tx1"/>
                  </w14:solidFill>
                </w14:textFill>
              </w:rPr>
              <w:t>3.24</w:t>
            </w:r>
            <w:r>
              <w:rPr>
                <w:rFonts w:hint="default" w:ascii="Times New Roman" w:hAnsi="Times New Roman" w:eastAsia="宋体" w:cs="Times New Roman"/>
                <w:color w:val="000000" w:themeColor="text1"/>
                <w:kern w:val="2"/>
                <w:szCs w:val="24"/>
                <w:highlight w:val="none"/>
                <w14:textFill>
                  <w14:solidFill>
                    <w14:schemeClr w14:val="tx1"/>
                  </w14:solidFill>
                </w14:textFill>
              </w:rPr>
              <w:t>t/a，</w:t>
            </w:r>
          </w:p>
          <w:p w14:paraId="2B0F2E9C">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kern w:val="2"/>
                <w:szCs w:val="24"/>
                <w:highlight w:val="none"/>
                <w14:textFill>
                  <w14:solidFill>
                    <w14:schemeClr w14:val="tx1"/>
                  </w14:solidFill>
                </w14:textFill>
              </w:rPr>
            </w:pPr>
            <w:r>
              <w:rPr>
                <w:rFonts w:hint="default" w:ascii="Times New Roman" w:hAnsi="Times New Roman" w:eastAsia="宋体" w:cs="Times New Roman"/>
                <w:color w:val="000000" w:themeColor="text1"/>
                <w:kern w:val="2"/>
                <w:szCs w:val="24"/>
                <w:highlight w:val="none"/>
                <w14:textFill>
                  <w14:solidFill>
                    <w14:schemeClr w14:val="tx1"/>
                  </w14:solidFill>
                </w14:textFill>
              </w:rPr>
              <w:t>筛分工序和烘干塔</w:t>
            </w:r>
            <w:r>
              <w:rPr>
                <w:rFonts w:hint="eastAsia" w:cs="Times New Roman"/>
                <w:color w:val="000000" w:themeColor="text1"/>
                <w:kern w:val="2"/>
                <w:szCs w:val="24"/>
                <w:highlight w:val="none"/>
                <w:lang w:val="en-US" w:eastAsia="zh-CN"/>
                <w14:textFill>
                  <w14:solidFill>
                    <w14:schemeClr w14:val="tx1"/>
                  </w14:solidFill>
                </w14:textFill>
              </w:rPr>
              <w:t>粉尘</w:t>
            </w:r>
            <w:r>
              <w:rPr>
                <w:rFonts w:hint="default" w:ascii="Times New Roman" w:hAnsi="Times New Roman" w:eastAsia="宋体" w:cs="Times New Roman"/>
                <w:color w:val="000000" w:themeColor="text1"/>
                <w:szCs w:val="21"/>
                <w:highlight w:val="none"/>
                <w14:textFill>
                  <w14:solidFill>
                    <w14:schemeClr w14:val="tx1"/>
                  </w14:solidFill>
                </w14:textFill>
              </w:rPr>
              <w:t>集中收集后</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装袋，</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外售</w:t>
            </w:r>
            <w:r>
              <w:rPr>
                <w:rFonts w:hint="default" w:ascii="Times New Roman" w:hAnsi="Times New Roman" w:eastAsia="宋体" w:cs="Times New Roman"/>
                <w:color w:val="000000" w:themeColor="text1"/>
                <w:szCs w:val="21"/>
                <w:highlight w:val="none"/>
                <w14:textFill>
                  <w14:solidFill>
                    <w14:schemeClr w14:val="tx1"/>
                  </w14:solidFill>
                </w14:textFill>
              </w:rPr>
              <w:t>综合利用</w:t>
            </w:r>
            <w:r>
              <w:rPr>
                <w:rFonts w:hint="eastAsia" w:ascii="Times New Roman" w:hAnsi="Times New Roman" w:eastAsia="宋体" w:cs="Times New Roman"/>
                <w:color w:val="000000" w:themeColor="text1"/>
                <w:szCs w:val="21"/>
                <w:highlight w:val="none"/>
                <w:lang w:eastAsia="zh-CN"/>
                <w14:textFill>
                  <w14:solidFill>
                    <w14:schemeClr w14:val="tx1"/>
                  </w14:solidFill>
                </w14:textFill>
              </w:rPr>
              <w:t>。</w:t>
            </w:r>
          </w:p>
          <w:p w14:paraId="27DB6547">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Cs w:val="24"/>
                <w:highlight w:val="none"/>
                <w14:textFill>
                  <w14:solidFill>
                    <w14:schemeClr w14:val="tx1"/>
                  </w14:solidFill>
                </w14:textFill>
              </w:rPr>
              <w:t>）废布袋</w:t>
            </w:r>
          </w:p>
          <w:p w14:paraId="085380E1">
            <w:pPr>
              <w:pStyle w:val="56"/>
              <w:keepNext w:val="0"/>
              <w:keepLines w:val="0"/>
              <w:suppressLineNumbers w:val="0"/>
              <w:spacing w:before="0" w:beforeAutospacing="0" w:after="0" w:afterAutospacing="0" w:line="360" w:lineRule="auto"/>
              <w:ind w:left="0" w:right="0" w:firstLine="480"/>
              <w:rPr>
                <w:rFonts w:hint="eastAsia" w:cs="Times New Roman"/>
                <w:color w:val="000000" w:themeColor="text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kern w:val="2"/>
                <w:szCs w:val="24"/>
                <w:highlight w:val="none"/>
                <w14:textFill>
                  <w14:solidFill>
                    <w14:schemeClr w14:val="tx1"/>
                  </w14:solidFill>
                </w14:textFill>
              </w:rPr>
              <w:t>本项目除尘系统所用布袋需要定期更换，</w:t>
            </w:r>
            <w:r>
              <w:rPr>
                <w:rFonts w:hint="default" w:ascii="Times New Roman" w:hAnsi="Times New Roman" w:eastAsia="宋体" w:cs="Times New Roman"/>
                <w:color w:val="000000" w:themeColor="text1"/>
                <w:kern w:val="2"/>
                <w:szCs w:val="24"/>
                <w:highlight w:val="none"/>
                <w:lang w:val="en-US" w:eastAsia="zh-CN"/>
                <w14:textFill>
                  <w14:solidFill>
                    <w14:schemeClr w14:val="tx1"/>
                  </w14:solidFill>
                </w14:textFill>
              </w:rPr>
              <w:t>类比现有工程，</w:t>
            </w:r>
            <w:r>
              <w:rPr>
                <w:rFonts w:hint="default" w:ascii="Times New Roman" w:hAnsi="Times New Roman" w:eastAsia="宋体" w:cs="Times New Roman"/>
                <w:color w:val="000000" w:themeColor="text1"/>
                <w:kern w:val="2"/>
                <w:szCs w:val="24"/>
                <w:highlight w:val="none"/>
                <w14:textFill>
                  <w14:solidFill>
                    <w14:schemeClr w14:val="tx1"/>
                  </w14:solidFill>
                </w14:textFill>
              </w:rPr>
              <w:t>每年更换一次，一次产生量</w:t>
            </w:r>
            <w:r>
              <w:rPr>
                <w:rFonts w:hint="default" w:ascii="Times New Roman" w:hAnsi="Times New Roman" w:eastAsia="宋体" w:cs="Times New Roman"/>
                <w:color w:val="000000" w:themeColor="text1"/>
                <w:kern w:val="2"/>
                <w:szCs w:val="24"/>
                <w:highlight w:val="none"/>
                <w:lang w:val="en-US" w:eastAsia="zh-CN"/>
                <w14:textFill>
                  <w14:solidFill>
                    <w14:schemeClr w14:val="tx1"/>
                  </w14:solidFill>
                </w14:textFill>
              </w:rPr>
              <w:t>约</w:t>
            </w:r>
            <w:r>
              <w:rPr>
                <w:rFonts w:hint="default" w:ascii="Times New Roman" w:hAnsi="Times New Roman" w:eastAsia="宋体" w:cs="Times New Roman"/>
                <w:color w:val="000000" w:themeColor="text1"/>
                <w:kern w:val="2"/>
                <w:szCs w:val="24"/>
                <w:highlight w:val="none"/>
                <w14:textFill>
                  <w14:solidFill>
                    <w14:schemeClr w14:val="tx1"/>
                  </w14:solidFill>
                </w14:textFill>
              </w:rPr>
              <w:t>为0.</w:t>
            </w:r>
            <w:r>
              <w:rPr>
                <w:rFonts w:hint="default" w:ascii="Times New Roman" w:hAnsi="Times New Roman" w:eastAsia="宋体" w:cs="Times New Roman"/>
                <w:color w:val="000000" w:themeColor="text1"/>
                <w:kern w:val="2"/>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kern w:val="2"/>
                <w:szCs w:val="24"/>
                <w:highlight w:val="none"/>
                <w14:textFill>
                  <w14:solidFill>
                    <w14:schemeClr w14:val="tx1"/>
                  </w14:solidFill>
                </w14:textFill>
              </w:rPr>
              <w:t>t</w:t>
            </w:r>
            <w:r>
              <w:rPr>
                <w:rFonts w:hint="default" w:ascii="Times New Roman" w:hAnsi="Times New Roman" w:eastAsia="宋体" w:cs="Times New Roman"/>
                <w:color w:val="000000" w:themeColor="text1"/>
                <w:kern w:val="2"/>
                <w:szCs w:val="24"/>
                <w:highlight w:val="none"/>
                <w:lang w:val="en-US" w:eastAsia="zh-CN"/>
                <w14:textFill>
                  <w14:solidFill>
                    <w14:schemeClr w14:val="tx1"/>
                  </w14:solidFill>
                </w14:textFill>
              </w:rPr>
              <w:t>/a</w:t>
            </w:r>
            <w:r>
              <w:rPr>
                <w:rFonts w:hint="default" w:ascii="Times New Roman" w:hAnsi="Times New Roman" w:eastAsia="宋体" w:cs="Times New Roman"/>
                <w:color w:val="000000" w:themeColor="text1"/>
                <w:kern w:val="2"/>
                <w:szCs w:val="24"/>
                <w:highlight w:val="none"/>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对照</w:t>
            </w:r>
            <w:r>
              <w:rPr>
                <w:rFonts w:hint="default" w:ascii="Times New Roman" w:hAnsi="Times New Roman" w:eastAsia="宋体" w:cs="Times New Roman"/>
                <w:color w:val="000000" w:themeColor="text1"/>
                <w:sz w:val="24"/>
                <w:highlight w:val="none"/>
                <w14:textFill>
                  <w14:solidFill>
                    <w14:schemeClr w14:val="tx1"/>
                  </w14:solidFill>
                </w14:textFill>
              </w:rPr>
              <w:t>《固体废物分类与代码目录》（2024</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版</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w:t>
            </w:r>
            <w:r>
              <w:rPr>
                <w:rFonts w:hint="default" w:ascii="Times New Roman" w:hAnsi="Times New Roman" w:eastAsia="宋体" w:cs="Times New Roman"/>
                <w:color w:val="000000" w:themeColor="text1"/>
                <w:kern w:val="2"/>
                <w:szCs w:val="24"/>
                <w:highlight w:val="none"/>
                <w14:textFill>
                  <w14:solidFill>
                    <w14:schemeClr w14:val="tx1"/>
                  </w14:solidFill>
                </w14:textFill>
              </w:rPr>
              <w:t>废布袋分类代码为“900-099-S59”，</w:t>
            </w:r>
            <w:r>
              <w:rPr>
                <w:rFonts w:hint="eastAsia" w:cs="Times New Roman"/>
                <w:color w:val="000000" w:themeColor="text1"/>
                <w:szCs w:val="21"/>
                <w:highlight w:val="none"/>
                <w:lang w:eastAsia="zh-CN"/>
                <w14:textFill>
                  <w14:solidFill>
                    <w14:schemeClr w14:val="tx1"/>
                  </w14:solidFill>
                </w14:textFill>
              </w:rPr>
              <w:t>废布袋集中收集后，由厂家定期回收。</w:t>
            </w:r>
          </w:p>
          <w:p w14:paraId="5977FE19">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Cs w:val="24"/>
                <w:highlight w:val="none"/>
                <w14:textFill>
                  <w14:solidFill>
                    <w14:schemeClr w14:val="tx1"/>
                  </w14:solidFill>
                </w14:textFill>
              </w:rPr>
              <w:t>生活垃圾</w:t>
            </w:r>
          </w:p>
          <w:p w14:paraId="24A2790F">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运营期劳动定员为</w:t>
            </w:r>
            <w:r>
              <w:rPr>
                <w:rFonts w:hint="eastAsia" w:cs="Times New Roman"/>
                <w:color w:val="000000" w:themeColor="text1"/>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Cs w:val="24"/>
                <w:highlight w:val="none"/>
                <w14:textFill>
                  <w14:solidFill>
                    <w14:schemeClr w14:val="tx1"/>
                  </w14:solidFill>
                </w14:textFill>
              </w:rPr>
              <w:t>人，生活垃圾产生量约为每人0.5kg/d，生活垃圾产生量为</w:t>
            </w:r>
            <w:r>
              <w:rPr>
                <w:rFonts w:hint="eastAsia" w:cs="Times New Roman"/>
                <w:color w:val="000000" w:themeColor="text1"/>
                <w:szCs w:val="24"/>
                <w:highlight w:val="none"/>
                <w:lang w:val="en-US" w:eastAsia="zh-CN"/>
                <w14:textFill>
                  <w14:solidFill>
                    <w14:schemeClr w14:val="tx1"/>
                  </w14:solidFill>
                </w14:textFill>
              </w:rPr>
              <w:t>0.1125</w:t>
            </w:r>
            <w:r>
              <w:rPr>
                <w:rFonts w:hint="default" w:ascii="Times New Roman" w:hAnsi="Times New Roman" w:eastAsia="宋体" w:cs="Times New Roman"/>
                <w:color w:val="000000" w:themeColor="text1"/>
                <w:szCs w:val="24"/>
                <w:highlight w:val="none"/>
                <w14:textFill>
                  <w14:solidFill>
                    <w14:schemeClr w14:val="tx1"/>
                  </w14:solidFill>
                </w14:textFill>
              </w:rPr>
              <w:t>t/a，对照</w:t>
            </w:r>
            <w:r>
              <w:rPr>
                <w:rFonts w:hint="default" w:ascii="Times New Roman" w:hAnsi="Times New Roman" w:eastAsia="宋体" w:cs="Times New Roman"/>
                <w:color w:val="000000" w:themeColor="text1"/>
                <w:sz w:val="24"/>
                <w:highlight w:val="none"/>
                <w14:textFill>
                  <w14:solidFill>
                    <w14:schemeClr w14:val="tx1"/>
                  </w14:solidFill>
                </w14:textFill>
              </w:rPr>
              <w:t>《固体废物分类与代码目录》（2024</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版</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w:t>
            </w:r>
            <w:r>
              <w:rPr>
                <w:rFonts w:hint="default" w:ascii="Times New Roman" w:hAnsi="Times New Roman" w:eastAsia="宋体" w:cs="Times New Roman"/>
                <w:color w:val="000000" w:themeColor="text1"/>
                <w:kern w:val="2"/>
                <w:szCs w:val="24"/>
                <w:highlight w:val="none"/>
                <w14:textFill>
                  <w14:solidFill>
                    <w14:schemeClr w14:val="tx1"/>
                  </w14:solidFill>
                </w14:textFill>
              </w:rPr>
              <w:t>生活垃圾分类代码为“900-099-S64”</w:t>
            </w:r>
            <w:r>
              <w:rPr>
                <w:rFonts w:hint="eastAsia" w:ascii="Times New Roman" w:hAnsi="Times New Roman" w:eastAsia="宋体" w:cs="Times New Roman"/>
                <w:color w:val="000000" w:themeColor="text1"/>
                <w:kern w:val="2"/>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生活垃圾集中收集后，</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交由环卫部门统一清运处理</w:t>
            </w:r>
            <w:r>
              <w:rPr>
                <w:rFonts w:hint="default" w:ascii="Times New Roman" w:hAnsi="Times New Roman" w:eastAsia="宋体" w:cs="Times New Roman"/>
                <w:color w:val="000000" w:themeColor="text1"/>
                <w:szCs w:val="24"/>
                <w:highlight w:val="none"/>
                <w14:textFill>
                  <w14:solidFill>
                    <w14:schemeClr w14:val="tx1"/>
                  </w14:solidFill>
                </w14:textFill>
              </w:rPr>
              <w:t>。</w:t>
            </w:r>
          </w:p>
          <w:p w14:paraId="6993D950">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w:t>
            </w:r>
            <w:r>
              <w:rPr>
                <w:rFonts w:hint="eastAsia" w:cs="Times New Roman"/>
                <w:color w:val="000000" w:themeColor="text1"/>
                <w:szCs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）废润滑油、废润滑油桶</w:t>
            </w:r>
            <w:r>
              <w:rPr>
                <w:rFonts w:hint="eastAsia" w:cs="Times New Roman"/>
                <w:color w:val="000000" w:themeColor="text1"/>
                <w:szCs w:val="24"/>
                <w:highlight w:val="none"/>
                <w:lang w:val="en-US" w:eastAsia="zh-CN"/>
                <w14:textFill>
                  <w14:solidFill>
                    <w14:schemeClr w14:val="tx1"/>
                  </w14:solidFill>
                </w14:textFill>
              </w:rPr>
              <w:t>、含油抹布及手套</w:t>
            </w:r>
          </w:p>
          <w:p w14:paraId="6D6F5E5A">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本项目</w:t>
            </w:r>
            <w:r>
              <w:rPr>
                <w:rFonts w:hint="eastAsia" w:cs="Times New Roman"/>
                <w:color w:val="000000" w:themeColor="text1"/>
                <w:szCs w:val="24"/>
                <w:highlight w:val="none"/>
                <w:lang w:val="en-US" w:eastAsia="zh-CN"/>
                <w14:textFill>
                  <w14:solidFill>
                    <w14:schemeClr w14:val="tx1"/>
                  </w14:solidFill>
                </w14:textFill>
              </w:rPr>
              <w:t>维修保养时</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产生的废润滑油为0.01t/a、废润滑油桶0.001t/a，</w:t>
            </w:r>
            <w:r>
              <w:rPr>
                <w:rFonts w:hint="eastAsia" w:ascii="Times New Roman" w:hAnsi="Times New Roman" w:eastAsia="宋体" w:cs="Times New Roman"/>
                <w:sz w:val="24"/>
                <w:highlight w:val="none"/>
                <w:lang w:val="en-US" w:eastAsia="zh-CN"/>
              </w:rPr>
              <w:t>产生含油废抹布及手套，废手套（约</w:t>
            </w:r>
            <w:r>
              <w:rPr>
                <w:rFonts w:hint="default" w:ascii="Times New Roman" w:hAnsi="Times New Roman" w:eastAsia="宋体" w:cs="Times New Roman"/>
                <w:sz w:val="24"/>
                <w:highlight w:val="none"/>
                <w:lang w:val="en-US" w:eastAsia="zh-CN"/>
              </w:rPr>
              <w:t>50g/</w:t>
            </w:r>
            <w:r>
              <w:rPr>
                <w:rFonts w:hint="eastAsia" w:ascii="Times New Roman" w:hAnsi="Times New Roman" w:eastAsia="宋体" w:cs="Times New Roman"/>
                <w:sz w:val="24"/>
                <w:highlight w:val="none"/>
                <w:lang w:val="en-US" w:eastAsia="zh-CN"/>
              </w:rPr>
              <w:t>双）产生量约为</w:t>
            </w:r>
            <w:r>
              <w:rPr>
                <w:rFonts w:hint="eastAsia" w:cs="Times New Roman"/>
                <w:sz w:val="24"/>
                <w:highlight w:val="none"/>
                <w:lang w:val="en-US" w:eastAsia="zh-CN"/>
              </w:rPr>
              <w:t>2</w:t>
            </w:r>
            <w:r>
              <w:rPr>
                <w:rFonts w:hint="default" w:ascii="Times New Roman" w:hAnsi="Times New Roman" w:eastAsia="宋体" w:cs="Times New Roman"/>
                <w:sz w:val="24"/>
                <w:highlight w:val="none"/>
                <w:lang w:val="en-US" w:eastAsia="zh-CN"/>
              </w:rPr>
              <w:t>0</w:t>
            </w:r>
            <w:r>
              <w:rPr>
                <w:rFonts w:hint="eastAsia" w:ascii="Times New Roman" w:hAnsi="Times New Roman" w:eastAsia="宋体" w:cs="Times New Roman"/>
                <w:sz w:val="24"/>
                <w:highlight w:val="none"/>
                <w:lang w:val="en-US" w:eastAsia="zh-CN"/>
              </w:rPr>
              <w:t>双</w:t>
            </w:r>
            <w:r>
              <w:rPr>
                <w:rFonts w:hint="default" w:ascii="Times New Roman" w:hAnsi="Times New Roman" w:eastAsia="宋体" w:cs="Times New Roman"/>
                <w:sz w:val="24"/>
                <w:highlight w:val="none"/>
                <w:lang w:val="en-US" w:eastAsia="zh-CN"/>
              </w:rPr>
              <w:t>/</w:t>
            </w:r>
            <w:r>
              <w:rPr>
                <w:rFonts w:hint="eastAsia" w:ascii="Times New Roman" w:hAnsi="Times New Roman" w:eastAsia="宋体" w:cs="Times New Roman"/>
                <w:sz w:val="24"/>
                <w:highlight w:val="none"/>
                <w:lang w:val="en-US" w:eastAsia="zh-CN"/>
              </w:rPr>
              <w:t>年、废抹布（约</w:t>
            </w:r>
            <w:r>
              <w:rPr>
                <w:rFonts w:hint="default" w:ascii="Times New Roman" w:hAnsi="Times New Roman" w:eastAsia="宋体" w:cs="Times New Roman"/>
                <w:sz w:val="24"/>
                <w:highlight w:val="none"/>
                <w:lang w:val="en-US" w:eastAsia="zh-CN"/>
              </w:rPr>
              <w:t>20g/</w:t>
            </w:r>
            <w:r>
              <w:rPr>
                <w:rFonts w:hint="eastAsia" w:ascii="Times New Roman" w:hAnsi="Times New Roman" w:eastAsia="宋体" w:cs="Times New Roman"/>
                <w:sz w:val="24"/>
                <w:highlight w:val="none"/>
                <w:lang w:val="en-US" w:eastAsia="zh-CN"/>
              </w:rPr>
              <w:t>块）产生量约</w:t>
            </w:r>
            <w:r>
              <w:rPr>
                <w:rFonts w:hint="default" w:ascii="Times New Roman" w:hAnsi="Times New Roman" w:eastAsia="宋体" w:cs="Times New Roman"/>
                <w:sz w:val="24"/>
                <w:highlight w:val="none"/>
                <w:lang w:val="en-US" w:eastAsia="zh-CN"/>
              </w:rPr>
              <w:t>20</w:t>
            </w:r>
            <w:r>
              <w:rPr>
                <w:rFonts w:hint="eastAsia" w:ascii="Times New Roman" w:hAnsi="Times New Roman" w:eastAsia="宋体" w:cs="Times New Roman"/>
                <w:sz w:val="24"/>
                <w:highlight w:val="none"/>
                <w:lang w:val="en-US" w:eastAsia="zh-CN"/>
              </w:rPr>
              <w:t>块，则含机油废抹布及手套产生量约为</w:t>
            </w:r>
            <w:r>
              <w:rPr>
                <w:rFonts w:hint="default" w:ascii="Times New Roman" w:hAnsi="Times New Roman" w:eastAsia="宋体" w:cs="Times New Roman"/>
                <w:sz w:val="24"/>
                <w:highlight w:val="none"/>
                <w:lang w:val="en-US" w:eastAsia="zh-CN"/>
              </w:rPr>
              <w:t>0.00</w:t>
            </w:r>
            <w:r>
              <w:rPr>
                <w:rFonts w:hint="eastAsia" w:cs="Times New Roman"/>
                <w:sz w:val="24"/>
                <w:highlight w:val="none"/>
                <w:lang w:val="en-US" w:eastAsia="zh-CN"/>
              </w:rPr>
              <w:t>14</w:t>
            </w:r>
            <w:r>
              <w:rPr>
                <w:rFonts w:hint="default" w:ascii="Times New Roman" w:hAnsi="Times New Roman" w:eastAsia="宋体" w:cs="Times New Roman"/>
                <w:sz w:val="24"/>
                <w:highlight w:val="none"/>
                <w:lang w:val="en-US" w:eastAsia="zh-CN"/>
              </w:rPr>
              <w:t>t/a</w:t>
            </w:r>
            <w:r>
              <w:rPr>
                <w:rFonts w:hint="eastAsia" w:ascii="Times New Roman" w:hAnsi="Times New Roman" w:eastAsia="宋体" w:cs="Times New Roman"/>
                <w:sz w:val="24"/>
                <w:highlight w:val="none"/>
                <w:lang w:val="en-US" w:eastAsia="zh-CN"/>
              </w:rPr>
              <w:t>。</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集中收集后暂存于</w:t>
            </w:r>
            <w:r>
              <w:rPr>
                <w:rFonts w:hint="eastAsia" w:cs="Times New Roman"/>
                <w:color w:val="000000" w:themeColor="text1"/>
                <w:szCs w:val="24"/>
                <w:highlight w:val="none"/>
                <w:lang w:val="en-US" w:eastAsia="zh-CN"/>
                <w14:textFill>
                  <w14:solidFill>
                    <w14:schemeClr w14:val="tx1"/>
                  </w14:solidFill>
                </w14:textFill>
              </w:rPr>
              <w:t>危险废物贮存库</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，交由具有相关资质的单位处理。</w:t>
            </w:r>
          </w:p>
          <w:p w14:paraId="35A3177A">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（二）、环境管理要求</w:t>
            </w:r>
          </w:p>
          <w:p w14:paraId="42CC3FC0">
            <w:pPr>
              <w:keepNext w:val="0"/>
              <w:keepLines w:val="0"/>
              <w:suppressLineNumbers w:val="0"/>
              <w:spacing w:before="0" w:beforeAutospacing="0" w:after="0" w:afterAutospacing="0" w:line="360" w:lineRule="auto"/>
              <w:ind w:left="0" w:right="0" w:firstLine="480" w:firstLineChars="200"/>
              <w:contextualSpacing/>
              <w:rPr>
                <w:rFonts w:hint="default" w:ascii="Times New Roman" w:hAnsi="Times New Roman" w:cs="Times New Roman"/>
                <w:color w:val="000000" w:themeColor="text1"/>
                <w:sz w:val="24"/>
                <w:szCs w:val="22"/>
                <w:highlight w:val="none"/>
                <w:u w:val="none" w:color="auto"/>
                <w14:textFill>
                  <w14:solidFill>
                    <w14:schemeClr w14:val="tx1"/>
                  </w14:solidFill>
                </w14:textFill>
              </w:rPr>
            </w:pPr>
            <w:r>
              <w:rPr>
                <w:rFonts w:hint="default" w:ascii="Times New Roman" w:hAnsi="Times New Roman" w:cs="Times New Roman"/>
                <w:color w:val="000000" w:themeColor="text1"/>
                <w:sz w:val="24"/>
                <w:szCs w:val="22"/>
                <w:highlight w:val="none"/>
                <w:u w:val="none" w:color="auto"/>
                <w14:textFill>
                  <w14:solidFill>
                    <w14:schemeClr w14:val="tx1"/>
                  </w14:solidFill>
                </w14:textFill>
              </w:rPr>
              <w:t>（</w:t>
            </w:r>
            <w:r>
              <w:rPr>
                <w:rFonts w:hint="default" w:ascii="Times New Roman" w:hAnsi="Times New Roman" w:cs="Times New Roman"/>
                <w:color w:val="000000" w:themeColor="text1"/>
                <w:sz w:val="24"/>
                <w:szCs w:val="22"/>
                <w:highlight w:val="none"/>
                <w:u w:val="none" w:color="auto"/>
                <w:lang w:val="en-US" w:eastAsia="zh-CN"/>
                <w14:textFill>
                  <w14:solidFill>
                    <w14:schemeClr w14:val="tx1"/>
                  </w14:solidFill>
                </w14:textFill>
              </w:rPr>
              <w:t>1</w:t>
            </w:r>
            <w:r>
              <w:rPr>
                <w:rFonts w:hint="default" w:ascii="Times New Roman" w:hAnsi="Times New Roman" w:cs="Times New Roman"/>
                <w:color w:val="000000" w:themeColor="text1"/>
                <w:sz w:val="24"/>
                <w:szCs w:val="22"/>
                <w:highlight w:val="none"/>
                <w:u w:val="none" w:color="auto"/>
                <w14:textFill>
                  <w14:solidFill>
                    <w14:schemeClr w14:val="tx1"/>
                  </w14:solidFill>
                </w14:textFill>
              </w:rPr>
              <w:t>）一般工业固体废物</w:t>
            </w:r>
            <w:r>
              <w:rPr>
                <w:rFonts w:hint="default" w:ascii="Times New Roman" w:hAnsi="Times New Roman" w:cs="Times New Roman"/>
                <w:color w:val="000000" w:themeColor="text1"/>
                <w:sz w:val="24"/>
                <w:szCs w:val="22"/>
                <w:highlight w:val="none"/>
                <w:u w:val="none" w:color="auto"/>
                <w:lang w:val="en-US" w:eastAsia="zh-CN"/>
                <w14:textFill>
                  <w14:solidFill>
                    <w14:schemeClr w14:val="tx1"/>
                  </w14:solidFill>
                </w14:textFill>
              </w:rPr>
              <w:t>的</w:t>
            </w:r>
            <w:r>
              <w:rPr>
                <w:rFonts w:hint="default" w:ascii="Times New Roman" w:hAnsi="Times New Roman" w:cs="Times New Roman"/>
                <w:color w:val="000000" w:themeColor="text1"/>
                <w:sz w:val="24"/>
                <w:szCs w:val="22"/>
                <w:highlight w:val="none"/>
                <w:u w:val="none" w:color="auto"/>
                <w14:textFill>
                  <w14:solidFill>
                    <w14:schemeClr w14:val="tx1"/>
                  </w14:solidFill>
                </w14:textFill>
              </w:rPr>
              <w:t>环境管理</w:t>
            </w:r>
          </w:p>
          <w:p w14:paraId="0CC454B8">
            <w:pPr>
              <w:keepNext w:val="0"/>
              <w:keepLines w:val="0"/>
              <w:suppressLineNumbers w:val="0"/>
              <w:spacing w:before="0" w:beforeAutospacing="0" w:after="0" w:afterAutospacing="0" w:line="360" w:lineRule="auto"/>
              <w:ind w:left="0" w:right="0" w:firstLine="480" w:firstLineChars="200"/>
              <w:contextualSpacing/>
              <w:rPr>
                <w:rFonts w:hint="default" w:ascii="Times New Roman" w:hAnsi="Times New Roman" w:cs="Times New Roman"/>
                <w:color w:val="000000" w:themeColor="text1"/>
                <w:sz w:val="24"/>
                <w:szCs w:val="22"/>
                <w:highlight w:val="none"/>
                <w:u w:val="none" w:color="auto"/>
                <w14:textFill>
                  <w14:solidFill>
                    <w14:schemeClr w14:val="tx1"/>
                  </w14:solidFill>
                </w14:textFill>
              </w:rPr>
            </w:pPr>
            <w:r>
              <w:rPr>
                <w:rFonts w:hint="default" w:ascii="Times New Roman" w:hAnsi="Times New Roman" w:cs="Times New Roman"/>
                <w:color w:val="000000" w:themeColor="text1"/>
                <w:sz w:val="24"/>
                <w:szCs w:val="22"/>
                <w:highlight w:val="none"/>
                <w:u w:val="none" w:color="auto"/>
                <w14:textFill>
                  <w14:solidFill>
                    <w14:schemeClr w14:val="tx1"/>
                  </w14:solidFill>
                </w14:textFill>
              </w:rPr>
              <w:fldChar w:fldCharType="begin"/>
            </w:r>
            <w:r>
              <w:rPr>
                <w:rFonts w:hint="default" w:ascii="Times New Roman" w:hAnsi="Times New Roman" w:cs="Times New Roman"/>
                <w:color w:val="000000" w:themeColor="text1"/>
                <w:sz w:val="24"/>
                <w:szCs w:val="22"/>
                <w:highlight w:val="none"/>
                <w:u w:val="none" w:color="auto"/>
                <w14:textFill>
                  <w14:solidFill>
                    <w14:schemeClr w14:val="tx1"/>
                  </w14:solidFill>
                </w14:textFill>
              </w:rPr>
              <w:instrText xml:space="preserve">= 1 \* GB3</w:instrText>
            </w:r>
            <w:r>
              <w:rPr>
                <w:rFonts w:hint="default" w:ascii="Times New Roman" w:hAnsi="Times New Roman" w:cs="Times New Roman"/>
                <w:color w:val="000000" w:themeColor="text1"/>
                <w:sz w:val="24"/>
                <w:szCs w:val="22"/>
                <w:highlight w:val="none"/>
                <w:u w:val="none" w:color="auto"/>
                <w14:textFill>
                  <w14:solidFill>
                    <w14:schemeClr w14:val="tx1"/>
                  </w14:solidFill>
                </w14:textFill>
              </w:rPr>
              <w:fldChar w:fldCharType="separate"/>
            </w:r>
            <w:r>
              <w:rPr>
                <w:rFonts w:hint="default" w:ascii="Times New Roman" w:hAnsi="Times New Roman" w:cs="Times New Roman"/>
                <w:color w:val="000000" w:themeColor="text1"/>
                <w:sz w:val="24"/>
                <w:szCs w:val="22"/>
                <w:highlight w:val="none"/>
                <w:u w:val="none" w:color="auto"/>
                <w14:textFill>
                  <w14:solidFill>
                    <w14:schemeClr w14:val="tx1"/>
                  </w14:solidFill>
                </w14:textFill>
              </w:rPr>
              <w:t>①</w:t>
            </w:r>
            <w:r>
              <w:rPr>
                <w:rFonts w:hint="default" w:ascii="Times New Roman" w:hAnsi="Times New Roman" w:cs="Times New Roman"/>
                <w:color w:val="000000" w:themeColor="text1"/>
                <w:sz w:val="24"/>
                <w:szCs w:val="22"/>
                <w:highlight w:val="none"/>
                <w:u w:val="none" w:color="auto"/>
                <w14:textFill>
                  <w14:solidFill>
                    <w14:schemeClr w14:val="tx1"/>
                  </w14:solidFill>
                </w14:textFill>
              </w:rPr>
              <w:fldChar w:fldCharType="end"/>
            </w:r>
            <w:r>
              <w:rPr>
                <w:rFonts w:hint="default" w:ascii="Times New Roman" w:hAnsi="Times New Roman" w:cs="Times New Roman"/>
                <w:color w:val="000000" w:themeColor="text1"/>
                <w:sz w:val="24"/>
                <w:szCs w:val="22"/>
                <w:highlight w:val="none"/>
                <w:u w:val="none" w:color="auto"/>
                <w14:textFill>
                  <w14:solidFill>
                    <w14:schemeClr w14:val="tx1"/>
                  </w14:solidFill>
                </w14:textFill>
              </w:rPr>
              <w:t>产生工业固体废物的单位应当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w:t>
            </w:r>
          </w:p>
          <w:p w14:paraId="5A71ADF5">
            <w:pPr>
              <w:keepNext w:val="0"/>
              <w:keepLines w:val="0"/>
              <w:suppressLineNumbers w:val="0"/>
              <w:spacing w:before="0" w:beforeAutospacing="0" w:after="0" w:afterAutospacing="0" w:line="360" w:lineRule="auto"/>
              <w:ind w:left="0" w:right="0" w:firstLine="480" w:firstLineChars="200"/>
              <w:contextualSpacing/>
              <w:rPr>
                <w:rFonts w:hint="default" w:ascii="Times New Roman" w:hAnsi="Times New Roman" w:cs="Times New Roman"/>
                <w:color w:val="000000" w:themeColor="text1"/>
                <w:sz w:val="24"/>
                <w:szCs w:val="22"/>
                <w:highlight w:val="none"/>
                <w:u w:val="none" w:color="auto"/>
                <w14:textFill>
                  <w14:solidFill>
                    <w14:schemeClr w14:val="tx1"/>
                  </w14:solidFill>
                </w14:textFill>
              </w:rPr>
            </w:pPr>
            <w:r>
              <w:rPr>
                <w:rFonts w:hint="default" w:ascii="Times New Roman" w:hAnsi="Times New Roman" w:cs="Times New Roman"/>
                <w:color w:val="000000" w:themeColor="text1"/>
                <w:sz w:val="24"/>
                <w:szCs w:val="22"/>
                <w:highlight w:val="none"/>
                <w:u w:val="none" w:color="auto"/>
                <w14:textFill>
                  <w14:solidFill>
                    <w14:schemeClr w14:val="tx1"/>
                  </w14:solidFill>
                </w14:textFill>
              </w:rPr>
              <w:fldChar w:fldCharType="begin"/>
            </w:r>
            <w:r>
              <w:rPr>
                <w:rFonts w:hint="default" w:ascii="Times New Roman" w:hAnsi="Times New Roman" w:cs="Times New Roman"/>
                <w:color w:val="000000" w:themeColor="text1"/>
                <w:sz w:val="24"/>
                <w:szCs w:val="22"/>
                <w:highlight w:val="none"/>
                <w:u w:val="none" w:color="auto"/>
                <w14:textFill>
                  <w14:solidFill>
                    <w14:schemeClr w14:val="tx1"/>
                  </w14:solidFill>
                </w14:textFill>
              </w:rPr>
              <w:instrText xml:space="preserve">= 2 \* GB3</w:instrText>
            </w:r>
            <w:r>
              <w:rPr>
                <w:rFonts w:hint="default" w:ascii="Times New Roman" w:hAnsi="Times New Roman" w:cs="Times New Roman"/>
                <w:color w:val="000000" w:themeColor="text1"/>
                <w:sz w:val="24"/>
                <w:szCs w:val="22"/>
                <w:highlight w:val="none"/>
                <w:u w:val="none" w:color="auto"/>
                <w14:textFill>
                  <w14:solidFill>
                    <w14:schemeClr w14:val="tx1"/>
                  </w14:solidFill>
                </w14:textFill>
              </w:rPr>
              <w:fldChar w:fldCharType="separate"/>
            </w:r>
            <w:r>
              <w:rPr>
                <w:rFonts w:hint="default" w:ascii="Times New Roman" w:hAnsi="Times New Roman" w:cs="Times New Roman"/>
                <w:color w:val="000000" w:themeColor="text1"/>
                <w:sz w:val="24"/>
                <w:szCs w:val="22"/>
                <w:highlight w:val="none"/>
                <w:u w:val="none" w:color="auto"/>
                <w14:textFill>
                  <w14:solidFill>
                    <w14:schemeClr w14:val="tx1"/>
                  </w14:solidFill>
                </w14:textFill>
              </w:rPr>
              <w:t>②</w:t>
            </w:r>
            <w:r>
              <w:rPr>
                <w:rFonts w:hint="default" w:ascii="Times New Roman" w:hAnsi="Times New Roman" w:cs="Times New Roman"/>
                <w:color w:val="000000" w:themeColor="text1"/>
                <w:sz w:val="24"/>
                <w:szCs w:val="22"/>
                <w:highlight w:val="none"/>
                <w:u w:val="none" w:color="auto"/>
                <w14:textFill>
                  <w14:solidFill>
                    <w14:schemeClr w14:val="tx1"/>
                  </w14:solidFill>
                </w14:textFill>
              </w:rPr>
              <w:fldChar w:fldCharType="end"/>
            </w:r>
            <w:r>
              <w:rPr>
                <w:rFonts w:hint="default" w:ascii="Times New Roman" w:hAnsi="Times New Roman" w:cs="Times New Roman"/>
                <w:color w:val="000000" w:themeColor="text1"/>
                <w:sz w:val="24"/>
                <w:szCs w:val="22"/>
                <w:highlight w:val="none"/>
                <w:u w:val="none" w:color="auto"/>
                <w14:textFill>
                  <w14:solidFill>
                    <w14:schemeClr w14:val="tx1"/>
                  </w14:solidFill>
                </w14:textFill>
              </w:rPr>
              <w:t>禁止向生活垃圾收集设施中投放工业固体废物。</w:t>
            </w:r>
          </w:p>
          <w:p w14:paraId="4811AB59">
            <w:pPr>
              <w:keepNext w:val="0"/>
              <w:keepLines w:val="0"/>
              <w:suppressLineNumbers w:val="0"/>
              <w:spacing w:before="0" w:beforeAutospacing="0" w:after="0" w:afterAutospacing="0" w:line="360" w:lineRule="auto"/>
              <w:ind w:left="0" w:right="0" w:firstLine="480" w:firstLineChars="200"/>
              <w:contextualSpacing/>
              <w:rPr>
                <w:rFonts w:hint="default" w:ascii="Times New Roman" w:hAnsi="Times New Roman" w:eastAsia="宋体" w:cs="Times New Roman"/>
                <w:color w:val="000000" w:themeColor="text1"/>
                <w:sz w:val="24"/>
                <w:szCs w:val="22"/>
                <w:highlight w:val="none"/>
                <w:u w:val="none" w:color="auto"/>
                <w14:textFill>
                  <w14:solidFill>
                    <w14:schemeClr w14:val="tx1"/>
                  </w14:solidFill>
                </w14:textFill>
              </w:rPr>
            </w:pPr>
            <w:r>
              <w:rPr>
                <w:rFonts w:hint="default" w:ascii="Times New Roman" w:hAnsi="Times New Roman" w:cs="Times New Roman"/>
                <w:color w:val="000000" w:themeColor="text1"/>
                <w:sz w:val="24"/>
                <w:szCs w:val="22"/>
                <w:highlight w:val="none"/>
                <w:u w:val="none" w:color="auto"/>
                <w14:textFill>
                  <w14:solidFill>
                    <w14:schemeClr w14:val="tx1"/>
                  </w14:solidFill>
                </w14:textFill>
              </w:rPr>
              <w:fldChar w:fldCharType="begin"/>
            </w:r>
            <w:r>
              <w:rPr>
                <w:rFonts w:hint="default" w:ascii="Times New Roman" w:hAnsi="Times New Roman" w:cs="Times New Roman"/>
                <w:color w:val="000000" w:themeColor="text1"/>
                <w:sz w:val="24"/>
                <w:szCs w:val="22"/>
                <w:highlight w:val="none"/>
                <w:u w:val="none" w:color="auto"/>
                <w14:textFill>
                  <w14:solidFill>
                    <w14:schemeClr w14:val="tx1"/>
                  </w14:solidFill>
                </w14:textFill>
              </w:rPr>
              <w:instrText xml:space="preserve">= 3 \* GB3</w:instrText>
            </w:r>
            <w:r>
              <w:rPr>
                <w:rFonts w:hint="default" w:ascii="Times New Roman" w:hAnsi="Times New Roman" w:cs="Times New Roman"/>
                <w:color w:val="000000" w:themeColor="text1"/>
                <w:sz w:val="24"/>
                <w:szCs w:val="22"/>
                <w:highlight w:val="none"/>
                <w:u w:val="none" w:color="auto"/>
                <w14:textFill>
                  <w14:solidFill>
                    <w14:schemeClr w14:val="tx1"/>
                  </w14:solidFill>
                </w14:textFill>
              </w:rPr>
              <w:fldChar w:fldCharType="separate"/>
            </w:r>
            <w:r>
              <w:rPr>
                <w:rFonts w:hint="default" w:ascii="Times New Roman" w:hAnsi="Times New Roman" w:cs="Times New Roman"/>
                <w:color w:val="000000" w:themeColor="text1"/>
                <w:sz w:val="24"/>
                <w:szCs w:val="22"/>
                <w:highlight w:val="none"/>
                <w:u w:val="none" w:color="auto"/>
                <w14:textFill>
                  <w14:solidFill>
                    <w14:schemeClr w14:val="tx1"/>
                  </w14:solidFill>
                </w14:textFill>
              </w:rPr>
              <w:t>③</w:t>
            </w:r>
            <w:r>
              <w:rPr>
                <w:rFonts w:hint="default" w:ascii="Times New Roman" w:hAnsi="Times New Roman" w:cs="Times New Roman"/>
                <w:color w:val="000000" w:themeColor="text1"/>
                <w:sz w:val="24"/>
                <w:szCs w:val="22"/>
                <w:highlight w:val="none"/>
                <w:u w:val="none" w:color="auto"/>
                <w14:textFill>
                  <w14:solidFill>
                    <w14:schemeClr w14:val="tx1"/>
                  </w14:solidFill>
                </w14:textFill>
              </w:rPr>
              <w:fldChar w:fldCharType="end"/>
            </w:r>
            <w:r>
              <w:rPr>
                <w:rFonts w:hint="default" w:ascii="Times New Roman" w:hAnsi="Times New Roman" w:cs="Times New Roman"/>
                <w:color w:val="000000" w:themeColor="text1"/>
                <w:sz w:val="24"/>
                <w:szCs w:val="22"/>
                <w:highlight w:val="none"/>
                <w:u w:val="none" w:color="auto"/>
                <w14:textFill>
                  <w14:solidFill>
                    <w14:schemeClr w14:val="tx1"/>
                  </w14:solidFill>
                </w14:textFill>
              </w:rPr>
              <w:t>产生工业固体废物的单位委托他人运输、利用、处置工业固体废物的，应当对受托方的主体资格和技术能力进行核实，依法签订书面合同，在合同中约定污染防治要求。受托方运输、利用、处置工业固体废物，应当依照有关法</w:t>
            </w:r>
            <w:r>
              <w:rPr>
                <w:rFonts w:hint="default" w:ascii="Times New Roman" w:hAnsi="Times New Roman" w:eastAsia="宋体" w:cs="Times New Roman"/>
                <w:color w:val="000000" w:themeColor="text1"/>
                <w:sz w:val="24"/>
                <w:szCs w:val="22"/>
                <w:highlight w:val="none"/>
                <w:u w:val="none" w:color="auto"/>
                <w14:textFill>
                  <w14:solidFill>
                    <w14:schemeClr w14:val="tx1"/>
                  </w14:solidFill>
                </w14:textFill>
              </w:rPr>
              <w:t>律法规的规定和合同约定履行污染防治要求，并将运输、利用、处置情况告知产生工业固体废物的单位。</w:t>
            </w:r>
          </w:p>
          <w:p w14:paraId="5DEC57CB">
            <w:pPr>
              <w:keepNext w:val="0"/>
              <w:keepLines w:val="0"/>
              <w:suppressLineNumbers w:val="0"/>
              <w:spacing w:before="0" w:beforeAutospacing="0" w:after="0" w:afterAutospacing="0" w:line="360" w:lineRule="auto"/>
              <w:ind w:left="0" w:right="0" w:firstLine="480" w:firstLineChars="200"/>
              <w:contextualSpacing/>
              <w:rPr>
                <w:rFonts w:hint="default" w:ascii="Times New Roman" w:hAnsi="Times New Roman" w:eastAsia="宋体" w:cs="Times New Roman"/>
                <w:color w:val="000000" w:themeColor="text1"/>
                <w:sz w:val="24"/>
                <w:szCs w:val="22"/>
                <w:highlight w:val="none"/>
                <w:u w:val="none" w:color="auto"/>
                <w14:textFill>
                  <w14:solidFill>
                    <w14:schemeClr w14:val="tx1"/>
                  </w14:solidFill>
                </w14:textFill>
              </w:rPr>
            </w:pPr>
            <w:r>
              <w:rPr>
                <w:rFonts w:hint="default" w:ascii="Times New Roman" w:hAnsi="Times New Roman" w:eastAsia="宋体" w:cs="Times New Roman"/>
                <w:color w:val="000000" w:themeColor="text1"/>
                <w:sz w:val="24"/>
                <w:szCs w:val="22"/>
                <w:highlight w:val="none"/>
                <w:u w:val="none" w:color="auto"/>
                <w14:textFill>
                  <w14:solidFill>
                    <w14:schemeClr w14:val="tx1"/>
                  </w14:solidFill>
                </w14:textFill>
              </w:rPr>
              <w:t>④</w:t>
            </w:r>
            <w:r>
              <w:rPr>
                <w:rFonts w:hint="default" w:ascii="Times New Roman" w:hAnsi="Times New Roman" w:eastAsia="宋体" w:cs="Times New Roman"/>
                <w:color w:val="000000" w:themeColor="text1"/>
                <w:sz w:val="24"/>
                <w:szCs w:val="24"/>
                <w:highlight w:val="none"/>
                <w:u w:val="none" w:color="auto"/>
                <w14:textFill>
                  <w14:solidFill>
                    <w14:schemeClr w14:val="tx1"/>
                  </w14:solidFill>
                </w14:textFill>
              </w:rPr>
              <w:t>未接触试剂的</w:t>
            </w: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废土样</w:t>
            </w:r>
            <w:r>
              <w:rPr>
                <w:rFonts w:hint="default" w:ascii="Times New Roman" w:hAnsi="Times New Roman" w:eastAsia="宋体" w:cs="Times New Roman"/>
                <w:color w:val="000000" w:themeColor="text1"/>
                <w:sz w:val="24"/>
                <w:szCs w:val="24"/>
                <w:highlight w:val="none"/>
                <w:u w:val="none" w:color="auto"/>
                <w14:textFill>
                  <w14:solidFill>
                    <w14:schemeClr w14:val="tx1"/>
                  </w14:solidFill>
                </w14:textFill>
              </w:rPr>
              <w:t>暂存于按照防渗漏、防雨淋、防扬尘等环境保护要求建设的一般工业固体废物暂存区内，</w:t>
            </w:r>
            <w:r>
              <w:rPr>
                <w:rFonts w:hint="default"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采用袋装暂存，</w:t>
            </w:r>
            <w:r>
              <w:rPr>
                <w:rFonts w:hint="default" w:ascii="Times New Roman" w:hAnsi="Times New Roman" w:eastAsia="宋体" w:cs="Times New Roman"/>
                <w:color w:val="000000" w:themeColor="text1"/>
                <w:sz w:val="24"/>
                <w:szCs w:val="24"/>
                <w:highlight w:val="none"/>
                <w:u w:val="none" w:color="auto"/>
                <w14:textFill>
                  <w14:solidFill>
                    <w14:schemeClr w14:val="tx1"/>
                  </w14:solidFill>
                </w14:textFill>
              </w:rPr>
              <w:t>按照一般工业固体废物处置</w:t>
            </w:r>
            <w:r>
              <w:rPr>
                <w:rFonts w:hint="default" w:ascii="Times New Roman" w:hAnsi="Times New Roman" w:eastAsia="宋体" w:cs="Times New Roman"/>
                <w:color w:val="000000" w:themeColor="text1"/>
                <w:sz w:val="24"/>
                <w:szCs w:val="24"/>
                <w:highlight w:val="none"/>
                <w:u w:val="none" w:color="auto"/>
                <w:lang w:eastAsia="zh-CN"/>
                <w14:textFill>
                  <w14:solidFill>
                    <w14:schemeClr w14:val="tx1"/>
                  </w14:solidFill>
                </w14:textFill>
              </w:rPr>
              <w:t>，交由市政部门处置</w:t>
            </w:r>
            <w:r>
              <w:rPr>
                <w:rFonts w:hint="default" w:ascii="Times New Roman" w:hAnsi="Times New Roman" w:eastAsia="宋体" w:cs="Times New Roman"/>
                <w:color w:val="000000" w:themeColor="text1"/>
                <w:sz w:val="24"/>
                <w:szCs w:val="24"/>
                <w:highlight w:val="none"/>
                <w:u w:val="none" w:color="auto"/>
                <w14:textFill>
                  <w14:solidFill>
                    <w14:schemeClr w14:val="tx1"/>
                  </w14:solidFill>
                </w14:textFill>
              </w:rPr>
              <w:t>。</w:t>
            </w:r>
          </w:p>
          <w:p w14:paraId="47B327B6">
            <w:pPr>
              <w:keepNext w:val="0"/>
              <w:keepLines w:val="0"/>
              <w:suppressLineNumbers w:val="0"/>
              <w:spacing w:before="0" w:beforeAutospacing="0" w:after="0" w:afterAutospacing="0" w:line="360" w:lineRule="auto"/>
              <w:ind w:left="0" w:right="0" w:firstLine="480" w:firstLineChars="200"/>
              <w:contextualSpacing/>
              <w:rPr>
                <w:rFonts w:hint="default" w:ascii="Times New Roman" w:hAnsi="Times New Roman" w:eastAsia="宋体" w:cs="Times New Roman"/>
                <w:color w:val="000000" w:themeColor="text1"/>
                <w:sz w:val="24"/>
                <w:szCs w:val="22"/>
                <w:highlight w:val="none"/>
                <w:u w:val="none" w:color="auto"/>
                <w14:textFill>
                  <w14:solidFill>
                    <w14:schemeClr w14:val="tx1"/>
                  </w14:solidFill>
                </w14:textFill>
              </w:rPr>
            </w:pPr>
            <w:r>
              <w:rPr>
                <w:rFonts w:hint="default" w:ascii="Times New Roman" w:hAnsi="Times New Roman" w:eastAsia="宋体" w:cs="Times New Roman"/>
                <w:color w:val="000000" w:themeColor="text1"/>
                <w:sz w:val="24"/>
                <w:szCs w:val="22"/>
                <w:highlight w:val="none"/>
                <w:u w:val="none" w:color="auto"/>
                <w14:textFill>
                  <w14:solidFill>
                    <w14:schemeClr w14:val="tx1"/>
                  </w14:solidFill>
                </w14:textFill>
              </w:rPr>
              <w:t>⑤一般固体废物储存处按《环境保护图形标志》（GB15562-1995）的相关规定要求设置环境保护图形标志。同时，一般固体废物储存处按《一般工业固体废物贮存和填埋污染控制标准》（GB18599-2020）要求的相关规定要求，采取相应的防渗漏措施。</w:t>
            </w:r>
          </w:p>
          <w:p w14:paraId="527606AD">
            <w:pPr>
              <w:pStyle w:val="2"/>
              <w:keepNext w:val="0"/>
              <w:keepLines w:val="0"/>
              <w:suppressLineNumbers w:val="0"/>
              <w:spacing w:before="0" w:beforeAutospacing="0" w:after="0" w:afterAutospacing="0" w:line="360" w:lineRule="auto"/>
              <w:ind w:left="0" w:leftChars="0" w:right="0" w:firstLine="480" w:firstLineChars="200"/>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w:t>
            </w:r>
            <w:r>
              <w:rPr>
                <w:rFonts w:hint="eastAsia" w:ascii="Times New Roman" w:hAnsi="Times New Roman" w:cs="Times New Roman"/>
                <w:bCs/>
                <w:color w:val="auto"/>
                <w:sz w:val="24"/>
                <w:szCs w:val="24"/>
                <w:highlight w:val="none"/>
                <w:lang w:val="en-US" w:eastAsia="zh-CN"/>
              </w:rPr>
              <w:t>2</w:t>
            </w:r>
            <w:r>
              <w:rPr>
                <w:rFonts w:hint="default" w:ascii="Times New Roman" w:hAnsi="Times New Roman" w:eastAsia="宋体" w:cs="Times New Roman"/>
                <w:bCs/>
                <w:color w:val="auto"/>
                <w:sz w:val="24"/>
                <w:szCs w:val="24"/>
                <w:highlight w:val="none"/>
                <w:lang w:val="en-US" w:eastAsia="zh-CN"/>
              </w:rPr>
              <w:t>）危险废物相关管理要求</w:t>
            </w:r>
          </w:p>
          <w:p w14:paraId="7E09693C">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建设项目危险废物采用专用的车辆，密闭运输，严格禁止抛酒滴漏，杜绝在运输过程中造成环境的二次污染。在危险废物的运输中执行《危险废物转移联单管理办法》中有关的规定和要求。根据《危险废物贮存污染控制标准》(GB18597-2023)要求，企业不属于危险废物重点监管单位，因此仅需设置贮存库。本次设置一间危险废物贮存库，项目危险废物的最大储存能力为</w:t>
            </w:r>
            <w:r>
              <w:rPr>
                <w:rFonts w:hint="default" w:ascii="Times New Roman" w:hAnsi="Times New Roman" w:cs="Times New Roman"/>
                <w:color w:val="000000" w:themeColor="text1"/>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Cs w:val="24"/>
                <w:highlight w:val="none"/>
                <w14:textFill>
                  <w14:solidFill>
                    <w14:schemeClr w14:val="tx1"/>
                  </w14:solidFill>
                </w14:textFill>
              </w:rPr>
              <w:t>t，能够满足项目储存危废需求。根据《危险废物贮存污染控制标准》(GB18597-2023)中贮存库污染控制要求，“贮存易产生粉尘、VOCs、酸雾、有毒有害大气污染物和刺激性气味气体的危险废物贮存库，应设置气体收集装置和气体净化设施”。本项目危险废物为废润滑油及废润滑油油桶</w:t>
            </w:r>
            <w:r>
              <w:rPr>
                <w:rFonts w:hint="eastAsia" w:ascii="Times New Roman" w:hAnsi="Times New Roman" w:eastAsia="宋体" w:cs="Times New Roman"/>
                <w:color w:val="000000" w:themeColor="text1"/>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含油手套</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及</w:t>
            </w:r>
            <w:r>
              <w:rPr>
                <w:rFonts w:hint="default" w:ascii="Times New Roman" w:hAnsi="Times New Roman" w:eastAsia="宋体" w:cs="Times New Roman"/>
                <w:color w:val="000000" w:themeColor="text1"/>
                <w:szCs w:val="24"/>
                <w:highlight w:val="none"/>
                <w14:textFill>
                  <w14:solidFill>
                    <w14:schemeClr w14:val="tx1"/>
                  </w14:solidFill>
                </w14:textFill>
              </w:rPr>
              <w:t>抹布</w:t>
            </w:r>
            <w:r>
              <w:rPr>
                <w:rFonts w:hint="default" w:ascii="Times New Roman" w:hAnsi="Times New Roman" w:cs="Times New Roman"/>
                <w:color w:val="000000" w:themeColor="text1"/>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由于废润滑油全部盛装于密封完好油桶内，拧紧密封；含油手套和抹布统一存放在密封完好桶内；废润滑油油桶倒扣密闭存放，全程无漏天、敞口贮存</w:t>
            </w:r>
            <w:r>
              <w:rPr>
                <w:rFonts w:hint="default" w:ascii="Times New Roman" w:hAnsi="Times New Roman" w:cs="Times New Roman"/>
                <w:color w:val="000000" w:themeColor="text1"/>
                <w:szCs w:val="24"/>
                <w:highlight w:val="none"/>
                <w:lang w:eastAsia="zh-CN"/>
                <w14:textFill>
                  <w14:solidFill>
                    <w14:schemeClr w14:val="tx1"/>
                  </w14:solidFill>
                </w14:textFill>
              </w:rPr>
              <w:t>。</w:t>
            </w:r>
            <w:r>
              <w:rPr>
                <w:rFonts w:hint="default" w:ascii="Times New Roman" w:hAnsi="Times New Roman" w:cs="Times New Roman"/>
                <w:color w:val="000000" w:themeColor="text1"/>
                <w:szCs w:val="24"/>
                <w:highlight w:val="none"/>
                <w:lang w:val="en-US" w:eastAsia="zh-CN"/>
                <w14:textFill>
                  <w14:solidFill>
                    <w14:schemeClr w14:val="tx1"/>
                  </w14:solidFill>
                </w14:textFill>
              </w:rPr>
              <w:t>危险废物</w:t>
            </w:r>
            <w:r>
              <w:rPr>
                <w:rFonts w:hint="default" w:ascii="Times New Roman" w:hAnsi="Times New Roman" w:eastAsia="宋体" w:cs="Times New Roman"/>
                <w:color w:val="000000" w:themeColor="text1"/>
                <w:szCs w:val="24"/>
                <w:highlight w:val="none"/>
                <w14:textFill>
                  <w14:solidFill>
                    <w14:schemeClr w14:val="tx1"/>
                  </w14:solidFill>
                </w14:textFill>
              </w:rPr>
              <w:t>本身不属于易挥发性物质，项目危险废物分类密闭储存于密封桶内，贮存于危险废物贮存库，故项目危险废物不易产生粉尘、VOCs、酸雾、有毒有害废气、</w:t>
            </w:r>
            <w:r>
              <w:rPr>
                <w:rFonts w:hint="default" w:ascii="Times New Roman" w:hAnsi="Times New Roman" w:cs="Times New Roman"/>
                <w:color w:val="000000" w:themeColor="text1"/>
                <w:szCs w:val="24"/>
                <w:highlight w:val="none"/>
                <w:lang w:eastAsia="zh-CN"/>
                <w14:textFill>
                  <w14:solidFill>
                    <w14:schemeClr w14:val="tx1"/>
                  </w14:solidFill>
                </w14:textFill>
              </w:rPr>
              <w:t>刺激性气味</w:t>
            </w:r>
            <w:r>
              <w:rPr>
                <w:rFonts w:hint="default" w:ascii="Times New Roman" w:hAnsi="Times New Roman" w:cs="Times New Roman"/>
                <w:color w:val="000000" w:themeColor="text1"/>
                <w:szCs w:val="24"/>
                <w:highlight w:val="none"/>
                <w:lang w:val="en-US" w:eastAsia="zh-CN"/>
                <w14:textFill>
                  <w14:solidFill>
                    <w14:schemeClr w14:val="tx1"/>
                  </w14:solidFill>
                </w14:textFill>
              </w:rPr>
              <w:t>等</w:t>
            </w:r>
            <w:r>
              <w:rPr>
                <w:rFonts w:hint="default" w:ascii="Times New Roman" w:hAnsi="Times New Roman" w:eastAsia="宋体" w:cs="Times New Roman"/>
                <w:color w:val="000000" w:themeColor="text1"/>
                <w:szCs w:val="24"/>
                <w:highlight w:val="none"/>
                <w14:textFill>
                  <w14:solidFill>
                    <w14:schemeClr w14:val="tx1"/>
                  </w14:solidFill>
                </w14:textFill>
              </w:rPr>
              <w:t>，无需设置气体收集装置和气体净化设施。</w:t>
            </w:r>
          </w:p>
          <w:p w14:paraId="043A6EEE">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b/>
                <w:bCs/>
                <w:color w:val="000000" w:themeColor="text1"/>
                <w:szCs w:val="24"/>
                <w:highlight w:val="none"/>
                <w14:textFill>
                  <w14:solidFill>
                    <w14:schemeClr w14:val="tx1"/>
                  </w14:solidFill>
                </w14:textFill>
              </w:rPr>
            </w:pPr>
            <w:r>
              <w:rPr>
                <w:rFonts w:hint="default" w:ascii="Times New Roman" w:hAnsi="Times New Roman" w:eastAsia="宋体" w:cs="Times New Roman"/>
                <w:b/>
                <w:bCs/>
                <w:color w:val="000000" w:themeColor="text1"/>
                <w:szCs w:val="24"/>
                <w:highlight w:val="none"/>
                <w14:textFill>
                  <w14:solidFill>
                    <w14:schemeClr w14:val="tx1"/>
                  </w14:solidFill>
                </w14:textFill>
              </w:rPr>
              <w:t>贮存设施污染控制要求：</w:t>
            </w:r>
          </w:p>
          <w:p w14:paraId="766DEC21">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1）一般规定</w:t>
            </w:r>
          </w:p>
          <w:p w14:paraId="2C0C8208">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①贮存设施应根据危险废物的形态、物理化学性质、包装形式和污染物迁移途径，采取必要的防风、防晒、防雨、防漏、防渗、防腐以及其他环境污染防治措施，不应露天堆放危险废物。</w:t>
            </w:r>
          </w:p>
          <w:p w14:paraId="006E158C">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②贮存设施应根据危险废物的类别、数量、形态、物理化学性质和污染防治等要求设置必要的贮存分区，避免不相容的危险废物接触、混合。</w:t>
            </w:r>
          </w:p>
          <w:p w14:paraId="5473F858">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③贮存设施或贮存分区内地面、墙面裙脚、堵截泄漏的围堰、接触危险废物的隔板和墙体等应采用坚固的材料建造，表面无裂缝。</w:t>
            </w:r>
          </w:p>
          <w:p w14:paraId="27345FE4">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④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rFonts w:hint="default" w:ascii="Times New Roman" w:hAnsi="Times New Roman" w:eastAsia="宋体" w:cs="Times New Roman"/>
                <w:color w:val="000000" w:themeColor="text1"/>
                <w:szCs w:val="24"/>
                <w:highlight w:val="none"/>
                <w:vertAlign w:val="superscript"/>
                <w14:textFill>
                  <w14:solidFill>
                    <w14:schemeClr w14:val="tx1"/>
                  </w14:solidFill>
                </w14:textFill>
              </w:rPr>
              <w:t>-7</w:t>
            </w:r>
            <w:r>
              <w:rPr>
                <w:rFonts w:hint="default" w:ascii="Times New Roman" w:hAnsi="Times New Roman" w:eastAsia="宋体" w:cs="Times New Roman"/>
                <w:color w:val="000000" w:themeColor="text1"/>
                <w:szCs w:val="24"/>
                <w:highlight w:val="none"/>
                <w14:textFill>
                  <w14:solidFill>
                    <w14:schemeClr w14:val="tx1"/>
                  </w14:solidFill>
                </w14:textFill>
              </w:rPr>
              <w:t>cm/s），或至少2mm厚高密度聚乙烯膜等人工防渗材料（渗透系数不大于10</w:t>
            </w:r>
            <w:r>
              <w:rPr>
                <w:rFonts w:hint="default" w:ascii="Times New Roman" w:hAnsi="Times New Roman" w:eastAsia="宋体" w:cs="Times New Roman"/>
                <w:color w:val="000000" w:themeColor="text1"/>
                <w:szCs w:val="24"/>
                <w:highlight w:val="none"/>
                <w:vertAlign w:val="superscript"/>
                <w14:textFill>
                  <w14:solidFill>
                    <w14:schemeClr w14:val="tx1"/>
                  </w14:solidFill>
                </w14:textFill>
              </w:rPr>
              <w:t>-10</w:t>
            </w:r>
            <w:r>
              <w:rPr>
                <w:rFonts w:hint="default" w:ascii="Times New Roman" w:hAnsi="Times New Roman" w:eastAsia="宋体" w:cs="Times New Roman"/>
                <w:color w:val="000000" w:themeColor="text1"/>
                <w:szCs w:val="24"/>
                <w:highlight w:val="none"/>
                <w14:textFill>
                  <w14:solidFill>
                    <w14:schemeClr w14:val="tx1"/>
                  </w14:solidFill>
                </w14:textFill>
              </w:rPr>
              <w:t>cm/s），或其他防渗性能等效的材料。</w:t>
            </w:r>
          </w:p>
          <w:p w14:paraId="3B50BA67">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按照《危险废物收集、贮存、运输技术规范》(HJ2025-2012)以及《危险废物贮存污染控制标准》(GB18597-2023)中的相关要求进行建设，并进行规范化管理。根据危险废物产生量、贮存期限等分析，项目危险废物贮存场所的能力能够满足贮存要求，危险废物贮存库设置合理。</w:t>
            </w:r>
          </w:p>
          <w:p w14:paraId="5E19E9BC">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b/>
                <w:bCs/>
                <w:color w:val="000000" w:themeColor="text1"/>
                <w:szCs w:val="24"/>
                <w:highlight w:val="none"/>
                <w14:textFill>
                  <w14:solidFill>
                    <w14:schemeClr w14:val="tx1"/>
                  </w14:solidFill>
                </w14:textFill>
              </w:rPr>
            </w:pPr>
            <w:r>
              <w:rPr>
                <w:rFonts w:hint="default" w:ascii="Times New Roman" w:hAnsi="Times New Roman" w:eastAsia="宋体" w:cs="Times New Roman"/>
                <w:b/>
                <w:bCs/>
                <w:color w:val="000000" w:themeColor="text1"/>
                <w:szCs w:val="24"/>
                <w:highlight w:val="none"/>
                <w14:textFill>
                  <w14:solidFill>
                    <w14:schemeClr w14:val="tx1"/>
                  </w14:solidFill>
                </w14:textFill>
              </w:rPr>
              <w:t>容器和包装物污染控制要求：</w:t>
            </w:r>
          </w:p>
          <w:p w14:paraId="5859A5F3">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①容器和包装物材质、内衬应与盛装的危险废物相容。</w:t>
            </w:r>
          </w:p>
          <w:p w14:paraId="501986F9">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②针对不同类别、形态、物理化学性质的危险废物，其容器和包装物应满足相应的防渗、防漏、防腐和强度等要求。</w:t>
            </w:r>
          </w:p>
          <w:p w14:paraId="7C328CD1">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③硬质容器和包装物及其支护结构堆叠码放时不应有明显变形，无破损泄漏。</w:t>
            </w:r>
          </w:p>
          <w:p w14:paraId="7C5BFCCE">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④柔性容器和包装物堆叠码放时应封口严密，无破损泄漏。</w:t>
            </w:r>
          </w:p>
          <w:p w14:paraId="2D5877AC">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⑤使用容器盛装液态、半固态危险废物时，容器内部应留有适当的空间，以适应因温度变化等可能引发的收缩和膨胀，防止其导致容器渗漏或永久变形。</w:t>
            </w:r>
          </w:p>
          <w:p w14:paraId="0AF94110">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⑥容器和包装物外表面应保持清洁。</w:t>
            </w:r>
          </w:p>
          <w:p w14:paraId="484AF80F">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b/>
                <w:bCs/>
                <w:color w:val="000000" w:themeColor="text1"/>
                <w:szCs w:val="24"/>
                <w:highlight w:val="none"/>
                <w14:textFill>
                  <w14:solidFill>
                    <w14:schemeClr w14:val="tx1"/>
                  </w14:solidFill>
                </w14:textFill>
              </w:rPr>
            </w:pPr>
            <w:r>
              <w:rPr>
                <w:rFonts w:hint="default" w:ascii="Times New Roman" w:hAnsi="Times New Roman" w:eastAsia="宋体" w:cs="Times New Roman"/>
                <w:b/>
                <w:bCs/>
                <w:color w:val="000000" w:themeColor="text1"/>
                <w:szCs w:val="24"/>
                <w:highlight w:val="none"/>
                <w14:textFill>
                  <w14:solidFill>
                    <w14:schemeClr w14:val="tx1"/>
                  </w14:solidFill>
                </w14:textFill>
              </w:rPr>
              <w:t>贮存过程污染控制要求：</w:t>
            </w:r>
          </w:p>
          <w:p w14:paraId="581D4C41">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1）一般规定</w:t>
            </w:r>
          </w:p>
          <w:p w14:paraId="68EEA9D6">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①在常温常压下不易水解、不易挥发的固态危险废物可分类堆放贮存，其他固态危险废物应装入容器或包装物内贮存。</w:t>
            </w:r>
          </w:p>
          <w:p w14:paraId="4CD0AFAF">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②液态危险废物应装入容器内贮存，或直接采用贮存池、贮存罐区贮存。</w:t>
            </w:r>
          </w:p>
          <w:p w14:paraId="63421441">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③半固态危险废物应装入容器或包装袋内贮存，或直接采用贮存池贮存。</w:t>
            </w:r>
          </w:p>
          <w:p w14:paraId="03997AD9">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④具有热塑性的危险废物应装入容器或包装袋内进行贮存。</w:t>
            </w:r>
          </w:p>
          <w:p w14:paraId="393C35BE">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⑤易产生粉尘、VOCs、酸雾、有毒有害大气污染物和刺激性气味气体的危险废物应装入闭口容器或包装物内贮存。</w:t>
            </w:r>
          </w:p>
          <w:p w14:paraId="462F6F21">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⑥危险废物贮存过程中易产生粉尘等无组织排放的，应采取抑尘等有效措施。</w:t>
            </w:r>
          </w:p>
          <w:p w14:paraId="4FD147BF">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2）贮存设施运行环境管理要求</w:t>
            </w:r>
          </w:p>
          <w:p w14:paraId="7133CACE">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①危险废物存入贮存设施前应对危险废物类别和特性与危险废物标签等危险废物识别标志的一致性进行核验，不一致的或类别、特性不明的不应存入。</w:t>
            </w:r>
          </w:p>
          <w:p w14:paraId="23B018EE">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②应定期检查危险废物的贮存状况，及时清理贮存设施地面，更换破损泄漏的危险废物贮存容器和包装物，保证堆存危险废物的防雨、防风、防扬尘等设施功能完好。</w:t>
            </w:r>
          </w:p>
          <w:p w14:paraId="121FA72B">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③作业设备及车辆等结束作业离开贮存设施时，应对其残留的危险废物进行清理，清理的废物或清洗废水应收集处理。</w:t>
            </w:r>
          </w:p>
          <w:p w14:paraId="01DA090E">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④贮存设施运行期间，应按国家有关标准和规定建立危险废物管理台账并保存。</w:t>
            </w:r>
          </w:p>
          <w:p w14:paraId="3B31B76C">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⑤贮存设施所有者或运营者应建立贮存设施环境管理制度、管理人员岗位职责制度、设施运行操作制度、人员岗位培训制度等。</w:t>
            </w:r>
          </w:p>
          <w:p w14:paraId="14666D01">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⑥贮存设施所有者或运营者应依据国家土壤和地下水污染防治的有关规定，结合贮存设施特点建立土壤和地下水污染隐患排查制度，并定期开展隐患排查；发现隐患应及时采取措施消除隐患，并建立档案。</w:t>
            </w:r>
          </w:p>
          <w:p w14:paraId="0D334D5E">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⑦贮存设施所有者或运营者应建立贮存设施全部档案，包括设计、施工、验收、运行、监测和环境应急等，应按国家有关档案管理的法律法规进行整理和归档。</w:t>
            </w:r>
          </w:p>
          <w:p w14:paraId="50B098AD">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3）危险废物贮存库环境管理要求</w:t>
            </w:r>
          </w:p>
          <w:p w14:paraId="4C1BE94B">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①危险废物存入贮存设施前应对危险废物类别和特性与危险废物标签等危险废物识别标志的一致性进行核验，不一致的或类别、特性不明的不应存入。</w:t>
            </w:r>
          </w:p>
          <w:p w14:paraId="7516DB46">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②应定期检查危险废物的贮存状况，及时清理贮存设施地面，更换破损泄漏的危险废物贮存容器和包装物，保证堆存危险废物的防雨、防风、防扬尘等设施功能完好。</w:t>
            </w:r>
          </w:p>
          <w:p w14:paraId="5E0B9CCE">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③作业设备及车辆等结束作业离开贮存设施时，应对其残留的危险废物进行清理，清理的废物或清洗废水应收集处理。</w:t>
            </w:r>
          </w:p>
          <w:p w14:paraId="235F47C6">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④贮存设施运行期间，应按国家有关标准和规定建立危险废物管理台账并保存。</w:t>
            </w:r>
          </w:p>
          <w:p w14:paraId="6C6D4D09">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⑤贮存设施所有者或运营者应建立贮存设施环境管理制度、管理人员岗位职责制度、设施运行操作制度、人员岗位培训制度等。</w:t>
            </w:r>
          </w:p>
          <w:p w14:paraId="3D652A73">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⑥贮存设施所有者或运营者应依据国家土壤和地下水污染防治的有关规定，结合贮存设施特点建立土壤和地下水污染隐患排查制度，并定期开展隐患排查；发现隐患应及时采取措施消除隐患，并建立档案。</w:t>
            </w:r>
          </w:p>
          <w:p w14:paraId="517B069D">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⑦贮存设施所有者或运营者应建立贮存设施全部档案，包括设计、施工、验收、运行、监测和环境应急等，应按国家有关档案管理的法律法规进行整理和归档。</w:t>
            </w:r>
          </w:p>
          <w:p w14:paraId="37F1B757">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b/>
                <w:bCs/>
                <w:color w:val="000000" w:themeColor="text1"/>
                <w:szCs w:val="24"/>
                <w:highlight w:val="none"/>
                <w14:textFill>
                  <w14:solidFill>
                    <w14:schemeClr w14:val="tx1"/>
                  </w14:solidFill>
                </w14:textFill>
              </w:rPr>
            </w:pPr>
            <w:r>
              <w:rPr>
                <w:rFonts w:hint="default" w:ascii="Times New Roman" w:hAnsi="Times New Roman" w:eastAsia="宋体" w:cs="Times New Roman"/>
                <w:b/>
                <w:bCs/>
                <w:color w:val="000000" w:themeColor="text1"/>
                <w:szCs w:val="24"/>
                <w:highlight w:val="none"/>
                <w14:textFill>
                  <w14:solidFill>
                    <w14:schemeClr w14:val="tx1"/>
                  </w14:solidFill>
                </w14:textFill>
              </w:rPr>
              <w:t>危废转移管理要求</w:t>
            </w:r>
          </w:p>
          <w:p w14:paraId="34AA2252">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根据《危险废物转移管理办法》（2022年1月1日起施行），危险废物移出人应按照以下规定进行：</w:t>
            </w:r>
          </w:p>
          <w:p w14:paraId="31BDDAFC">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1）转移危险废物的，应当执行危险废物转移联单制度；转移危险废物的，应当通过国家危险废物信息管理系统（以下简称信息系统）填写、运行危险废物电子转移联单，并依照国家有关规定公开危险废物转移相关污染环境防治信息。</w:t>
            </w:r>
          </w:p>
          <w:p w14:paraId="12D76910">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2）危险废物移出人、危险废物承运人、危险废物接受人（以下分别简称移出人、承运人和接受人）在危险废物转移过程中应当采取防扬散、防流失、防渗漏或者其他防止污染环境的措施，不得擅自倾倒、堆放、丢弃、遗撒危险废物，并对所造成的环境污染及生态破坏依法承担责任。</w:t>
            </w:r>
          </w:p>
          <w:p w14:paraId="6DB6FDB8">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3）移出人、承运人、接受人应当依法制定突发环境事件的防范措施和应急预案，并报有关部门备案；发生危险废物突发环境事件时，应当立即采取有效措施消除或者减轻对环境的污染危害，并按相关规定向事故发生地有关部门报告，接受调查处理。</w:t>
            </w:r>
          </w:p>
          <w:p w14:paraId="2C38481A">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4）移出人（建设单位）对承运人或者接受人的主体资格和技术能力进行核实，依法签订书面合同，并在合同中约定运输、贮存、利用、处置危险废物的污染防治要求及相关责任；</w:t>
            </w:r>
          </w:p>
          <w:p w14:paraId="64F8B922">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5）制定危险废物管理计划，明确拟转移危险废物的种类、重量（数量）和流向等信息；</w:t>
            </w:r>
          </w:p>
          <w:p w14:paraId="61054E1D">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6）建立危险废物管理台账，对转移的危险废物进行计量称重，如实记录、妥善保管转移危险废物的种类、重量（数量）和接收人等相关信息；</w:t>
            </w:r>
          </w:p>
          <w:p w14:paraId="49002A6D">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7）填写、运行危险废物转移联单，在危险废物转移联单中如实填写移出人、承运人、接受人信息，转移危险废物的种类、重量（数量）、危险特性等信息，以及突发环境事件的防范措施等；</w:t>
            </w:r>
          </w:p>
          <w:p w14:paraId="6CAC1521">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8）及时核实接收人贮存、利用或者处置相关危险废物情况。项目产生的危险废物等均由建设单位自行委托有资质单位处置，严格按照上述移出人管理要求进行，危险废物的运输与处置责任均由承运人、接受人承担。由上述分析可知，项目产生的固体废物得到有效的处理处置，对外环境影响较小</w:t>
            </w:r>
          </w:p>
          <w:p w14:paraId="2F3A7B1E">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b/>
                <w:bCs/>
                <w:color w:val="000000" w:themeColor="text1"/>
                <w:szCs w:val="24"/>
                <w:highlight w:val="none"/>
                <w14:textFill>
                  <w14:solidFill>
                    <w14:schemeClr w14:val="tx1"/>
                  </w14:solidFill>
                </w14:textFill>
              </w:rPr>
            </w:pPr>
            <w:r>
              <w:rPr>
                <w:rFonts w:hint="default" w:ascii="Times New Roman" w:hAnsi="Times New Roman" w:eastAsia="宋体" w:cs="Times New Roman"/>
                <w:b/>
                <w:bCs/>
                <w:color w:val="000000" w:themeColor="text1"/>
                <w:szCs w:val="24"/>
                <w:highlight w:val="none"/>
                <w14:textFill>
                  <w14:solidFill>
                    <w14:schemeClr w14:val="tx1"/>
                  </w14:solidFill>
                </w14:textFill>
              </w:rPr>
              <w:t>本项目危险废物贮存库应采取如下控制及管理措施：</w:t>
            </w:r>
          </w:p>
          <w:p w14:paraId="2EB30EAC">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①危险废物的盛装容器建议严格执行国家标准；</w:t>
            </w:r>
          </w:p>
          <w:p w14:paraId="78FDA152">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②贮存容器应具有耐腐蚀、耐压、密封和不与所贮存的废物发生反应等特性；</w:t>
            </w:r>
          </w:p>
          <w:p w14:paraId="1A15880F">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③贮存容器保证完好无损并具有明显标志；</w:t>
            </w:r>
          </w:p>
          <w:p w14:paraId="5C992388">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④不相容的危险废物应分开存放，并设有隔离间隔断；</w:t>
            </w:r>
          </w:p>
          <w:p w14:paraId="02ECBCC6">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⑤危险废物暂存场所需要设有符合《环境保护图形标志---固体废物贮存（处置）场》（GB15562.2-1995）的专用标志；</w:t>
            </w:r>
          </w:p>
          <w:p w14:paraId="2A8E165C">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⑥设有专人专职对本项目产生的危险废物的收集、暂存和保管进行管理。经采取上述控制与管理措施后，本项目危险废物的收集、暂存和保管能够符合《危险废物贮存污染控制标准》(GB18597-2023）中相关要求。</w:t>
            </w:r>
          </w:p>
          <w:p w14:paraId="73DF5B0F">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b/>
                <w:bCs/>
                <w:color w:val="000000" w:themeColor="text1"/>
                <w:szCs w:val="24"/>
                <w:highlight w:val="none"/>
                <w14:textFill>
                  <w14:solidFill>
                    <w14:schemeClr w14:val="tx1"/>
                  </w14:solidFill>
                </w14:textFill>
              </w:rPr>
            </w:pPr>
            <w:r>
              <w:rPr>
                <w:rFonts w:hint="default" w:ascii="Times New Roman" w:hAnsi="Times New Roman" w:eastAsia="宋体" w:cs="Times New Roman"/>
                <w:b/>
                <w:bCs/>
                <w:color w:val="000000" w:themeColor="text1"/>
                <w:szCs w:val="24"/>
                <w:highlight w:val="none"/>
                <w14:textFill>
                  <w14:solidFill>
                    <w14:schemeClr w14:val="tx1"/>
                  </w14:solidFill>
                </w14:textFill>
              </w:rPr>
              <w:t>危险废物的堆放：</w:t>
            </w:r>
          </w:p>
          <w:p w14:paraId="65E55174">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①堆放危险废物的高度根据地面承载能力确定；</w:t>
            </w:r>
          </w:p>
          <w:p w14:paraId="55361C2A">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②衬里放在一个基础或底座上；</w:t>
            </w:r>
          </w:p>
          <w:p w14:paraId="5556877F">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③衬里要能够覆盖危险废物或其溶出物可能涉及到的范围；</w:t>
            </w:r>
          </w:p>
          <w:p w14:paraId="274074F6">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④衬里材料与堆放危险废物相容；</w:t>
            </w:r>
          </w:p>
          <w:p w14:paraId="35E90929">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⑤危险废物堆要防风、防雨、防晒、防渗漏；</w:t>
            </w:r>
          </w:p>
          <w:p w14:paraId="73C04944">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⑥不相容的危险废物不能堆放在一起。</w:t>
            </w:r>
          </w:p>
          <w:p w14:paraId="41B628CD">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经采取上述控制与管理措施后，本项目危险废物的收集、暂存和保管能够符合《危险废物贮存污染控制标准》(GB18597-2023）中相关要求。</w:t>
            </w:r>
          </w:p>
          <w:p w14:paraId="075217BD">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综上所述</w:t>
            </w:r>
            <w:r>
              <w:rPr>
                <w:rFonts w:hint="default" w:ascii="Times New Roman" w:hAnsi="Times New Roman" w:cs="Times New Roman"/>
                <w:color w:val="000000" w:themeColor="text1"/>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采取上述措施后</w:t>
            </w:r>
            <w:r>
              <w:rPr>
                <w:rFonts w:hint="default" w:ascii="Times New Roman" w:hAnsi="Times New Roman" w:cs="Times New Roman"/>
                <w:color w:val="000000" w:themeColor="text1"/>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本项目固体废物均可得到妥善地处理</w:t>
            </w:r>
            <w:r>
              <w:rPr>
                <w:rFonts w:hint="default" w:ascii="Times New Roman" w:hAnsi="Times New Roman" w:cs="Times New Roman"/>
                <w:color w:val="000000" w:themeColor="text1"/>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不排放至外环境</w:t>
            </w:r>
            <w:r>
              <w:rPr>
                <w:rFonts w:hint="default" w:ascii="Times New Roman" w:hAnsi="Times New Roman" w:cs="Times New Roman"/>
                <w:color w:val="000000" w:themeColor="text1"/>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对周围环境造成的影响较小</w:t>
            </w:r>
            <w:r>
              <w:rPr>
                <w:rFonts w:hint="default" w:ascii="Times New Roman" w:hAnsi="Times New Roman" w:eastAsia="宋体" w:cs="Times New Roman"/>
                <w:color w:val="000000" w:themeColor="text1"/>
                <w:szCs w:val="24"/>
                <w:highlight w:val="none"/>
                <w:lang w:eastAsia="zh-CN"/>
                <w14:textFill>
                  <w14:solidFill>
                    <w14:schemeClr w14:val="tx1"/>
                  </w14:solidFill>
                </w14:textFill>
              </w:rPr>
              <w:t>。</w:t>
            </w:r>
          </w:p>
          <w:p w14:paraId="7D97F30B">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r>
              <w:rPr>
                <w:rFonts w:hint="default" w:ascii="Times New Roman" w:hAnsi="Times New Roman" w:eastAsia="宋体" w:cs="Times New Roman"/>
                <w:color w:val="000000" w:themeColor="text1"/>
                <w:szCs w:val="24"/>
                <w:highlight w:val="none"/>
                <w14:textFill>
                  <w14:solidFill>
                    <w14:schemeClr w14:val="tx1"/>
                  </w14:solidFill>
                </w14:textFill>
              </w:rPr>
              <w:t>项目固废产生情况详见表4-</w:t>
            </w:r>
            <w:r>
              <w:rPr>
                <w:rFonts w:hint="eastAsia" w:cs="Times New Roman"/>
                <w:color w:val="000000" w:themeColor="text1"/>
                <w:szCs w:val="24"/>
                <w:highlight w:val="none"/>
                <w:lang w:val="en-US" w:eastAsia="zh-CN"/>
                <w14:textFill>
                  <w14:solidFill>
                    <w14:schemeClr w14:val="tx1"/>
                  </w14:solidFill>
                </w14:textFill>
              </w:rPr>
              <w:t>11</w:t>
            </w:r>
            <w:r>
              <w:rPr>
                <w:rFonts w:hint="default" w:ascii="Times New Roman" w:hAnsi="Times New Roman" w:eastAsia="宋体" w:cs="Times New Roman"/>
                <w:color w:val="000000" w:themeColor="text1"/>
                <w:szCs w:val="24"/>
                <w:highlight w:val="none"/>
                <w14:textFill>
                  <w14:solidFill>
                    <w14:schemeClr w14:val="tx1"/>
                  </w14:solidFill>
                </w14:textFill>
              </w:rPr>
              <w:t>。</w:t>
            </w:r>
          </w:p>
          <w:p w14:paraId="34854705">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Cs w:val="21"/>
                <w:highlight w:val="none"/>
                <w14:textFill>
                  <w14:solidFill>
                    <w14:schemeClr w14:val="tx1"/>
                  </w14:solidFill>
                </w14:textFill>
              </w:rPr>
            </w:pPr>
            <w:r>
              <w:rPr>
                <w:rFonts w:hint="default" w:ascii="Times New Roman" w:hAnsi="Times New Roman" w:eastAsia="宋体" w:cs="Times New Roman"/>
                <w:b/>
                <w:color w:val="000000" w:themeColor="text1"/>
                <w:szCs w:val="21"/>
                <w:highlight w:val="none"/>
                <w14:textFill>
                  <w14:solidFill>
                    <w14:schemeClr w14:val="tx1"/>
                  </w14:solidFill>
                </w14:textFill>
              </w:rPr>
              <w:t>表4-</w:t>
            </w:r>
            <w:r>
              <w:rPr>
                <w:rFonts w:hint="eastAsia" w:cs="Times New Roman"/>
                <w:b/>
                <w:color w:val="000000" w:themeColor="text1"/>
                <w:szCs w:val="21"/>
                <w:highlight w:val="none"/>
                <w:lang w:val="en-US" w:eastAsia="zh-CN"/>
                <w14:textFill>
                  <w14:solidFill>
                    <w14:schemeClr w14:val="tx1"/>
                  </w14:solidFill>
                </w14:textFill>
              </w:rPr>
              <w:t>11</w:t>
            </w:r>
            <w:r>
              <w:rPr>
                <w:rFonts w:hint="default" w:ascii="Times New Roman" w:hAnsi="Times New Roman" w:eastAsia="宋体" w:cs="Times New Roman"/>
                <w:b/>
                <w:color w:val="000000" w:themeColor="text1"/>
                <w:szCs w:val="21"/>
                <w:highlight w:val="none"/>
                <w14:textFill>
                  <w14:solidFill>
                    <w14:schemeClr w14:val="tx1"/>
                  </w14:solidFill>
                </w14:textFill>
              </w:rPr>
              <w:t>固体废物污染源源强核算结果及相关参数一览表</w:t>
            </w:r>
          </w:p>
          <w:tbl>
            <w:tblPr>
              <w:tblStyle w:val="35"/>
              <w:tblW w:w="803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97"/>
              <w:gridCol w:w="618"/>
              <w:gridCol w:w="888"/>
              <w:gridCol w:w="1073"/>
              <w:gridCol w:w="808"/>
              <w:gridCol w:w="938"/>
              <w:gridCol w:w="409"/>
              <w:gridCol w:w="907"/>
              <w:gridCol w:w="1900"/>
            </w:tblGrid>
            <w:tr w14:paraId="633C92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7" w:type="dxa"/>
                  <w:vMerge w:val="restart"/>
                  <w:vAlign w:val="center"/>
                </w:tcPr>
                <w:p w14:paraId="5A00387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来源</w:t>
                  </w:r>
                </w:p>
              </w:tc>
              <w:tc>
                <w:tcPr>
                  <w:tcW w:w="618" w:type="dxa"/>
                  <w:vMerge w:val="restart"/>
                  <w:vAlign w:val="center"/>
                </w:tcPr>
                <w:p w14:paraId="09EE797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种类</w:t>
                  </w:r>
                </w:p>
              </w:tc>
              <w:tc>
                <w:tcPr>
                  <w:tcW w:w="888" w:type="dxa"/>
                  <w:vMerge w:val="restart"/>
                  <w:vAlign w:val="center"/>
                </w:tcPr>
                <w:p w14:paraId="17585B73">
                  <w:pPr>
                    <w:keepNext w:val="0"/>
                    <w:keepLines w:val="0"/>
                    <w:suppressLineNumbers w:val="0"/>
                    <w:autoSpaceDE w:val="0"/>
                    <w:autoSpaceDN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固废属性</w:t>
                  </w:r>
                </w:p>
              </w:tc>
              <w:tc>
                <w:tcPr>
                  <w:tcW w:w="1073" w:type="dxa"/>
                  <w:vMerge w:val="restart"/>
                  <w:vAlign w:val="center"/>
                </w:tcPr>
                <w:p w14:paraId="6501B1FC">
                  <w:pPr>
                    <w:keepNext w:val="0"/>
                    <w:keepLines w:val="0"/>
                    <w:suppressLineNumbers w:val="0"/>
                    <w:autoSpaceDE w:val="0"/>
                    <w:autoSpaceDN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代码</w:t>
                  </w:r>
                </w:p>
              </w:tc>
              <w:tc>
                <w:tcPr>
                  <w:tcW w:w="1746" w:type="dxa"/>
                  <w:gridSpan w:val="2"/>
                  <w:vAlign w:val="center"/>
                </w:tcPr>
                <w:p w14:paraId="0712BB9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产生量</w:t>
                  </w:r>
                </w:p>
              </w:tc>
              <w:tc>
                <w:tcPr>
                  <w:tcW w:w="1316" w:type="dxa"/>
                  <w:gridSpan w:val="2"/>
                  <w:vAlign w:val="center"/>
                </w:tcPr>
                <w:p w14:paraId="65BD1DD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处置措施</w:t>
                  </w:r>
                </w:p>
              </w:tc>
              <w:tc>
                <w:tcPr>
                  <w:tcW w:w="1900" w:type="dxa"/>
                  <w:vMerge w:val="restart"/>
                  <w:vAlign w:val="center"/>
                </w:tcPr>
                <w:p w14:paraId="38BD032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最终去向</w:t>
                  </w:r>
                </w:p>
              </w:tc>
            </w:tr>
            <w:tr w14:paraId="6B7C9C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97" w:type="dxa"/>
                  <w:vMerge w:val="continue"/>
                  <w:vAlign w:val="center"/>
                </w:tcPr>
                <w:p w14:paraId="75876E5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18" w:type="dxa"/>
                  <w:vMerge w:val="continue"/>
                  <w:vAlign w:val="center"/>
                </w:tcPr>
                <w:p w14:paraId="49BB271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88" w:type="dxa"/>
                  <w:vMerge w:val="continue"/>
                  <w:vAlign w:val="center"/>
                </w:tcPr>
                <w:p w14:paraId="55DCA45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73" w:type="dxa"/>
                  <w:vMerge w:val="continue"/>
                  <w:vAlign w:val="center"/>
                </w:tcPr>
                <w:p w14:paraId="2D9E703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08" w:type="dxa"/>
                  <w:vAlign w:val="center"/>
                </w:tcPr>
                <w:p w14:paraId="4C29A14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核算方法</w:t>
                  </w:r>
                </w:p>
              </w:tc>
              <w:tc>
                <w:tcPr>
                  <w:tcW w:w="938" w:type="dxa"/>
                  <w:vAlign w:val="center"/>
                </w:tcPr>
                <w:p w14:paraId="088DEC23">
                  <w:pPr>
                    <w:keepNext w:val="0"/>
                    <w:keepLines w:val="0"/>
                    <w:suppressLineNumbers w:val="0"/>
                    <w:autoSpaceDE w:val="0"/>
                    <w:autoSpaceDN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产生量（t/a）</w:t>
                  </w:r>
                </w:p>
              </w:tc>
              <w:tc>
                <w:tcPr>
                  <w:tcW w:w="409" w:type="dxa"/>
                  <w:vAlign w:val="center"/>
                </w:tcPr>
                <w:p w14:paraId="3703EF5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工艺</w:t>
                  </w:r>
                </w:p>
              </w:tc>
              <w:tc>
                <w:tcPr>
                  <w:tcW w:w="907" w:type="dxa"/>
                  <w:vAlign w:val="center"/>
                </w:tcPr>
                <w:p w14:paraId="2F6BDF6B">
                  <w:pPr>
                    <w:keepNext w:val="0"/>
                    <w:keepLines w:val="0"/>
                    <w:suppressLineNumbers w:val="0"/>
                    <w:autoSpaceDE w:val="0"/>
                    <w:autoSpaceDN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处置量（t/a）</w:t>
                  </w:r>
                </w:p>
              </w:tc>
              <w:tc>
                <w:tcPr>
                  <w:tcW w:w="1900" w:type="dxa"/>
                  <w:vMerge w:val="continue"/>
                  <w:vAlign w:val="center"/>
                </w:tcPr>
                <w:p w14:paraId="7E9344C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23D591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97" w:type="dxa"/>
                  <w:vMerge w:val="restart"/>
                  <w:vAlign w:val="center"/>
                </w:tcPr>
                <w:p w14:paraId="044E546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筛分工序</w:t>
                  </w:r>
                </w:p>
              </w:tc>
              <w:tc>
                <w:tcPr>
                  <w:tcW w:w="618" w:type="dxa"/>
                  <w:vAlign w:val="center"/>
                </w:tcPr>
                <w:p w14:paraId="41C3561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筛分杂质</w:t>
                  </w:r>
                </w:p>
              </w:tc>
              <w:tc>
                <w:tcPr>
                  <w:tcW w:w="888" w:type="dxa"/>
                  <w:vMerge w:val="restart"/>
                  <w:vAlign w:val="center"/>
                </w:tcPr>
                <w:p w14:paraId="7B1A0AC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一般工业固体废物</w:t>
                  </w:r>
                </w:p>
              </w:tc>
              <w:tc>
                <w:tcPr>
                  <w:tcW w:w="1073" w:type="dxa"/>
                  <w:vAlign w:val="center"/>
                </w:tcPr>
                <w:p w14:paraId="7B344A9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900-099-S64</w:t>
                  </w:r>
                </w:p>
              </w:tc>
              <w:tc>
                <w:tcPr>
                  <w:tcW w:w="808" w:type="dxa"/>
                  <w:vAlign w:val="center"/>
                </w:tcPr>
                <w:p w14:paraId="3EE3151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类比法</w:t>
                  </w:r>
                </w:p>
              </w:tc>
              <w:tc>
                <w:tcPr>
                  <w:tcW w:w="938" w:type="dxa"/>
                  <w:vAlign w:val="center"/>
                </w:tcPr>
                <w:p w14:paraId="619505A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3.6</w:t>
                  </w:r>
                </w:p>
              </w:tc>
              <w:tc>
                <w:tcPr>
                  <w:tcW w:w="409" w:type="dxa"/>
                  <w:vMerge w:val="restart"/>
                  <w:vAlign w:val="center"/>
                </w:tcPr>
                <w:p w14:paraId="1F0EAD8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集中收集</w:t>
                  </w:r>
                </w:p>
                <w:p w14:paraId="66D6FC8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07" w:type="dxa"/>
                  <w:vAlign w:val="center"/>
                </w:tcPr>
                <w:p w14:paraId="5AA651B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3.6</w:t>
                  </w:r>
                </w:p>
              </w:tc>
              <w:tc>
                <w:tcPr>
                  <w:tcW w:w="1900" w:type="dxa"/>
                  <w:vMerge w:val="restart"/>
                  <w:vAlign w:val="center"/>
                </w:tcPr>
                <w:p w14:paraId="0F6FB37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eastAsia"/>
                      <w:szCs w:val="21"/>
                      <w:highlight w:val="none"/>
                      <w:lang w:val="en-US" w:eastAsia="zh-CN"/>
                    </w:rPr>
                    <w:t>集中收集，外售综合利用</w:t>
                  </w:r>
                </w:p>
              </w:tc>
            </w:tr>
            <w:tr w14:paraId="00DB3E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97" w:type="dxa"/>
                  <w:vMerge w:val="continue"/>
                  <w:vAlign w:val="center"/>
                </w:tcPr>
                <w:p w14:paraId="3C68473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18" w:type="dxa"/>
                  <w:vAlign w:val="center"/>
                </w:tcPr>
                <w:p w14:paraId="49BA1C6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收尘</w:t>
                  </w:r>
                </w:p>
              </w:tc>
              <w:tc>
                <w:tcPr>
                  <w:tcW w:w="888" w:type="dxa"/>
                  <w:vMerge w:val="continue"/>
                  <w:vAlign w:val="center"/>
                </w:tcPr>
                <w:p w14:paraId="3B2A859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73" w:type="dxa"/>
                  <w:vAlign w:val="center"/>
                </w:tcPr>
                <w:p w14:paraId="6EE3A1C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900-099-S59</w:t>
                  </w:r>
                </w:p>
              </w:tc>
              <w:tc>
                <w:tcPr>
                  <w:tcW w:w="808" w:type="dxa"/>
                  <w:vAlign w:val="center"/>
                </w:tcPr>
                <w:p w14:paraId="6617C6A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系数法</w:t>
                  </w:r>
                </w:p>
              </w:tc>
              <w:tc>
                <w:tcPr>
                  <w:tcW w:w="938" w:type="dxa"/>
                  <w:vAlign w:val="center"/>
                </w:tcPr>
                <w:p w14:paraId="3F9897C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3.24</w:t>
                  </w:r>
                </w:p>
              </w:tc>
              <w:tc>
                <w:tcPr>
                  <w:tcW w:w="409" w:type="dxa"/>
                  <w:vMerge w:val="continue"/>
                  <w:vAlign w:val="center"/>
                </w:tcPr>
                <w:p w14:paraId="20D2CB6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07" w:type="dxa"/>
                  <w:vAlign w:val="center"/>
                </w:tcPr>
                <w:p w14:paraId="2B65CC6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3.24</w:t>
                  </w:r>
                </w:p>
              </w:tc>
              <w:tc>
                <w:tcPr>
                  <w:tcW w:w="1900" w:type="dxa"/>
                  <w:vMerge w:val="continue"/>
                  <w:vAlign w:val="center"/>
                </w:tcPr>
                <w:p w14:paraId="0C80232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r>
            <w:tr w14:paraId="7D5762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97" w:type="dxa"/>
                  <w:vMerge w:val="restart"/>
                  <w:vAlign w:val="center"/>
                </w:tcPr>
                <w:p w14:paraId="69CFC98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热风炉除尘器</w:t>
                  </w:r>
                </w:p>
              </w:tc>
              <w:tc>
                <w:tcPr>
                  <w:tcW w:w="618" w:type="dxa"/>
                  <w:vAlign w:val="center"/>
                </w:tcPr>
                <w:p w14:paraId="25CA088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收尘</w:t>
                  </w:r>
                </w:p>
              </w:tc>
              <w:tc>
                <w:tcPr>
                  <w:tcW w:w="888" w:type="dxa"/>
                  <w:vMerge w:val="continue"/>
                  <w:vAlign w:val="center"/>
                </w:tcPr>
                <w:p w14:paraId="26E567B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73" w:type="dxa"/>
                  <w:vAlign w:val="center"/>
                </w:tcPr>
                <w:p w14:paraId="5F68354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900-099-S03</w:t>
                  </w:r>
                </w:p>
              </w:tc>
              <w:tc>
                <w:tcPr>
                  <w:tcW w:w="808" w:type="dxa"/>
                  <w:vAlign w:val="center"/>
                </w:tcPr>
                <w:p w14:paraId="16AE56A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物料衡算</w:t>
                  </w:r>
                </w:p>
              </w:tc>
              <w:tc>
                <w:tcPr>
                  <w:tcW w:w="938" w:type="dxa"/>
                  <w:vAlign w:val="center"/>
                </w:tcPr>
                <w:p w14:paraId="711ED3E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2"/>
                      <w:sz w:val="21"/>
                      <w:szCs w:val="21"/>
                      <w:highlight w:val="none"/>
                      <w:lang w:val="en-US" w:eastAsia="zh-CN"/>
                      <w14:textFill>
                        <w14:solidFill>
                          <w14:schemeClr w14:val="tx1"/>
                        </w14:solidFill>
                      </w14:textFill>
                    </w:rPr>
                    <w:t>58.01</w:t>
                  </w:r>
                </w:p>
              </w:tc>
              <w:tc>
                <w:tcPr>
                  <w:tcW w:w="409" w:type="dxa"/>
                  <w:vMerge w:val="continue"/>
                  <w:vAlign w:val="center"/>
                </w:tcPr>
                <w:p w14:paraId="5703818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07" w:type="dxa"/>
                  <w:vAlign w:val="center"/>
                </w:tcPr>
                <w:p w14:paraId="074BA6C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2"/>
                      <w:sz w:val="21"/>
                      <w:szCs w:val="21"/>
                      <w:highlight w:val="none"/>
                      <w:lang w:val="en-US" w:eastAsia="zh-CN"/>
                      <w14:textFill>
                        <w14:solidFill>
                          <w14:schemeClr w14:val="tx1"/>
                        </w14:solidFill>
                      </w14:textFill>
                    </w:rPr>
                    <w:t>58.01</w:t>
                  </w:r>
                </w:p>
              </w:tc>
              <w:tc>
                <w:tcPr>
                  <w:tcW w:w="1900" w:type="dxa"/>
                  <w:vMerge w:val="continue"/>
                  <w:vAlign w:val="center"/>
                </w:tcPr>
                <w:p w14:paraId="5A56BC8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r>
            <w:tr w14:paraId="3B85D9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97" w:type="dxa"/>
                  <w:vMerge w:val="continue"/>
                  <w:vAlign w:val="center"/>
                </w:tcPr>
                <w:p w14:paraId="0D32856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618" w:type="dxa"/>
                  <w:vAlign w:val="center"/>
                </w:tcPr>
                <w:p w14:paraId="2E87634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废布袋</w:t>
                  </w:r>
                </w:p>
              </w:tc>
              <w:tc>
                <w:tcPr>
                  <w:tcW w:w="888" w:type="dxa"/>
                  <w:vMerge w:val="continue"/>
                  <w:vAlign w:val="center"/>
                </w:tcPr>
                <w:p w14:paraId="6B3E6F8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73" w:type="dxa"/>
                  <w:vAlign w:val="center"/>
                </w:tcPr>
                <w:p w14:paraId="04A4852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900-099-S59</w:t>
                  </w:r>
                </w:p>
              </w:tc>
              <w:tc>
                <w:tcPr>
                  <w:tcW w:w="808" w:type="dxa"/>
                  <w:vAlign w:val="center"/>
                </w:tcPr>
                <w:p w14:paraId="6B56E46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类比法</w:t>
                  </w:r>
                </w:p>
              </w:tc>
              <w:tc>
                <w:tcPr>
                  <w:tcW w:w="938" w:type="dxa"/>
                  <w:vAlign w:val="center"/>
                </w:tcPr>
                <w:p w14:paraId="16BD72F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0.</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p>
              </w:tc>
              <w:tc>
                <w:tcPr>
                  <w:tcW w:w="409" w:type="dxa"/>
                  <w:vMerge w:val="continue"/>
                  <w:vAlign w:val="center"/>
                </w:tcPr>
                <w:p w14:paraId="5D452F2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07" w:type="dxa"/>
                  <w:vAlign w:val="center"/>
                </w:tcPr>
                <w:p w14:paraId="5558FFF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t>0.</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p>
              </w:tc>
              <w:tc>
                <w:tcPr>
                  <w:tcW w:w="1900" w:type="dxa"/>
                  <w:vAlign w:val="center"/>
                </w:tcPr>
                <w:p w14:paraId="1B34F8C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集中收集后，厂家回收处置</w:t>
                  </w:r>
                </w:p>
              </w:tc>
            </w:tr>
            <w:tr w14:paraId="7BAA62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497" w:type="dxa"/>
                  <w:vAlign w:val="center"/>
                </w:tcPr>
                <w:p w14:paraId="7FD8A96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热风炉</w:t>
                  </w:r>
                </w:p>
              </w:tc>
              <w:tc>
                <w:tcPr>
                  <w:tcW w:w="618" w:type="dxa"/>
                  <w:vAlign w:val="center"/>
                </w:tcPr>
                <w:p w14:paraId="4283C4C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炉</w:t>
                  </w:r>
                  <w:r>
                    <w:rPr>
                      <w:rFonts w:hint="default" w:ascii="Times New Roman" w:hAnsi="Times New Roman" w:eastAsia="宋体" w:cs="Times New Roman"/>
                      <w:color w:val="000000" w:themeColor="text1"/>
                      <w:sz w:val="21"/>
                      <w:szCs w:val="21"/>
                      <w:highlight w:val="none"/>
                      <w14:textFill>
                        <w14:solidFill>
                          <w14:schemeClr w14:val="tx1"/>
                        </w14:solidFill>
                      </w14:textFill>
                    </w:rPr>
                    <w:t>渣</w:t>
                  </w:r>
                </w:p>
              </w:tc>
              <w:tc>
                <w:tcPr>
                  <w:tcW w:w="888" w:type="dxa"/>
                  <w:vMerge w:val="continue"/>
                  <w:vAlign w:val="center"/>
                </w:tcPr>
                <w:p w14:paraId="784CD4F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73" w:type="dxa"/>
                  <w:vAlign w:val="center"/>
                </w:tcPr>
                <w:p w14:paraId="37C796F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 xml:space="preserve">900-099-S03 </w:t>
                  </w:r>
                </w:p>
              </w:tc>
              <w:tc>
                <w:tcPr>
                  <w:tcW w:w="808" w:type="dxa"/>
                  <w:vAlign w:val="center"/>
                </w:tcPr>
                <w:p w14:paraId="3E27BBF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物料衡算</w:t>
                  </w:r>
                </w:p>
              </w:tc>
              <w:tc>
                <w:tcPr>
                  <w:tcW w:w="938" w:type="dxa"/>
                  <w:shd w:val="clear" w:color="auto" w:fill="auto"/>
                  <w:vAlign w:val="center"/>
                </w:tcPr>
                <w:p w14:paraId="246BB9C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 xml:space="preserve">218.23 </w:t>
                  </w:r>
                </w:p>
              </w:tc>
              <w:tc>
                <w:tcPr>
                  <w:tcW w:w="409" w:type="dxa"/>
                  <w:vMerge w:val="continue"/>
                  <w:vAlign w:val="center"/>
                </w:tcPr>
                <w:p w14:paraId="53E4A96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07" w:type="dxa"/>
                  <w:vAlign w:val="center"/>
                </w:tcPr>
                <w:p w14:paraId="1C23513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218.23</w:t>
                  </w:r>
                </w:p>
              </w:tc>
              <w:tc>
                <w:tcPr>
                  <w:tcW w:w="1900" w:type="dxa"/>
                  <w:vMerge w:val="restart"/>
                  <w:vAlign w:val="center"/>
                </w:tcPr>
                <w:p w14:paraId="1E09861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eastAsia"/>
                      <w:szCs w:val="21"/>
                      <w:highlight w:val="none"/>
                      <w:lang w:val="en-US" w:eastAsia="zh-CN"/>
                    </w:rPr>
                    <w:t>集中收集，外售综合利用</w:t>
                  </w:r>
                </w:p>
              </w:tc>
            </w:tr>
            <w:tr w14:paraId="3B8436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497" w:type="dxa"/>
                  <w:vAlign w:val="center"/>
                </w:tcPr>
                <w:p w14:paraId="4C39F96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烘干塔</w:t>
                  </w:r>
                </w:p>
              </w:tc>
              <w:tc>
                <w:tcPr>
                  <w:tcW w:w="618" w:type="dxa"/>
                  <w:vAlign w:val="center"/>
                </w:tcPr>
                <w:p w14:paraId="303D3F2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收尘</w:t>
                  </w:r>
                </w:p>
              </w:tc>
              <w:tc>
                <w:tcPr>
                  <w:tcW w:w="888" w:type="dxa"/>
                  <w:vMerge w:val="continue"/>
                  <w:vAlign w:val="center"/>
                </w:tcPr>
                <w:p w14:paraId="78D2DE0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73" w:type="dxa"/>
                  <w:vAlign w:val="center"/>
                </w:tcPr>
                <w:p w14:paraId="23D101B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900-099-S59</w:t>
                  </w:r>
                </w:p>
              </w:tc>
              <w:tc>
                <w:tcPr>
                  <w:tcW w:w="808" w:type="dxa"/>
                  <w:vAlign w:val="center"/>
                </w:tcPr>
                <w:p w14:paraId="58836A3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系数法</w:t>
                  </w:r>
                </w:p>
              </w:tc>
              <w:tc>
                <w:tcPr>
                  <w:tcW w:w="938" w:type="dxa"/>
                  <w:vAlign w:val="center"/>
                </w:tcPr>
                <w:p w14:paraId="1C66703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2.16</w:t>
                  </w:r>
                </w:p>
              </w:tc>
              <w:tc>
                <w:tcPr>
                  <w:tcW w:w="409" w:type="dxa"/>
                  <w:vMerge w:val="continue"/>
                  <w:vAlign w:val="center"/>
                </w:tcPr>
                <w:p w14:paraId="4186B06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07" w:type="dxa"/>
                  <w:vAlign w:val="center"/>
                </w:tcPr>
                <w:p w14:paraId="6E62061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2.16</w:t>
                  </w:r>
                </w:p>
              </w:tc>
              <w:tc>
                <w:tcPr>
                  <w:tcW w:w="1900" w:type="dxa"/>
                  <w:vMerge w:val="continue"/>
                  <w:vAlign w:val="center"/>
                </w:tcPr>
                <w:p w14:paraId="4F5BD8D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p>
              </w:tc>
            </w:tr>
            <w:tr w14:paraId="1144A4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497" w:type="dxa"/>
                  <w:vAlign w:val="center"/>
                </w:tcPr>
                <w:p w14:paraId="13DC71E4">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生活</w:t>
                  </w:r>
                </w:p>
              </w:tc>
              <w:tc>
                <w:tcPr>
                  <w:tcW w:w="618" w:type="dxa"/>
                  <w:vAlign w:val="center"/>
                </w:tcPr>
                <w:p w14:paraId="27030EC1">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生活垃圾</w:t>
                  </w:r>
                </w:p>
              </w:tc>
              <w:tc>
                <w:tcPr>
                  <w:tcW w:w="888" w:type="dxa"/>
                  <w:vMerge w:val="continue"/>
                  <w:vAlign w:val="center"/>
                </w:tcPr>
                <w:p w14:paraId="0E69D6B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073" w:type="dxa"/>
                  <w:vAlign w:val="center"/>
                </w:tcPr>
                <w:p w14:paraId="131CFFE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color w:val="000000"/>
                      <w:sz w:val="21"/>
                      <w:szCs w:val="21"/>
                      <w:highlight w:val="none"/>
                      <w:lang w:val="en-US" w:eastAsia="zh-CN"/>
                    </w:rPr>
                    <w:t>900-099-S64</w:t>
                  </w:r>
                </w:p>
              </w:tc>
              <w:tc>
                <w:tcPr>
                  <w:tcW w:w="808" w:type="dxa"/>
                  <w:vAlign w:val="center"/>
                </w:tcPr>
                <w:p w14:paraId="28C2C25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系数法</w:t>
                  </w:r>
                </w:p>
              </w:tc>
              <w:tc>
                <w:tcPr>
                  <w:tcW w:w="938" w:type="dxa"/>
                  <w:vAlign w:val="center"/>
                </w:tcPr>
                <w:p w14:paraId="74294374">
                  <w:pPr>
                    <w:keepNext w:val="0"/>
                    <w:keepLines w:val="0"/>
                    <w:suppressLineNumbers w:val="0"/>
                    <w:spacing w:before="0" w:beforeAutospacing="0" w:after="0" w:afterAutospacing="0" w:line="240" w:lineRule="auto"/>
                    <w:ind w:left="0" w:right="0"/>
                    <w:jc w:val="center"/>
                    <w:rPr>
                      <w:rFonts w:hint="default"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szCs w:val="24"/>
                      <w:highlight w:val="none"/>
                      <w:lang w:val="en-US" w:eastAsia="zh-CN"/>
                      <w14:textFill>
                        <w14:solidFill>
                          <w14:schemeClr w14:val="tx1"/>
                        </w14:solidFill>
                      </w14:textFill>
                    </w:rPr>
                    <w:t>0.1125</w:t>
                  </w:r>
                </w:p>
              </w:tc>
              <w:tc>
                <w:tcPr>
                  <w:tcW w:w="409" w:type="dxa"/>
                  <w:vMerge w:val="continue"/>
                  <w:vAlign w:val="center"/>
                </w:tcPr>
                <w:p w14:paraId="72F53B5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907" w:type="dxa"/>
                  <w:vAlign w:val="center"/>
                </w:tcPr>
                <w:p w14:paraId="6311DE22">
                  <w:pPr>
                    <w:keepNext w:val="0"/>
                    <w:keepLines w:val="0"/>
                    <w:suppressLineNumbers w:val="0"/>
                    <w:spacing w:before="0" w:beforeAutospacing="0" w:after="0" w:afterAutospacing="0" w:line="240" w:lineRule="auto"/>
                    <w:ind w:left="0" w:right="0"/>
                    <w:jc w:val="center"/>
                    <w:rPr>
                      <w:rFonts w:hint="default" w:cs="Times New Roman"/>
                      <w:color w:val="000000" w:themeColor="text1"/>
                      <w:kern w:val="0"/>
                      <w:sz w:val="21"/>
                      <w:szCs w:val="21"/>
                      <w:highlight w:val="none"/>
                      <w:lang w:val="en-US" w:eastAsia="zh-CN" w:bidi="ar"/>
                      <w14:textFill>
                        <w14:solidFill>
                          <w14:schemeClr w14:val="tx1"/>
                        </w14:solidFill>
                      </w14:textFill>
                    </w:rPr>
                  </w:pPr>
                  <w:r>
                    <w:rPr>
                      <w:rFonts w:hint="eastAsia" w:cs="Times New Roman"/>
                      <w:color w:val="000000" w:themeColor="text1"/>
                      <w:szCs w:val="24"/>
                      <w:highlight w:val="none"/>
                      <w:lang w:val="en-US" w:eastAsia="zh-CN"/>
                      <w14:textFill>
                        <w14:solidFill>
                          <w14:schemeClr w14:val="tx1"/>
                        </w14:solidFill>
                      </w14:textFill>
                    </w:rPr>
                    <w:t>0.1125</w:t>
                  </w:r>
                </w:p>
              </w:tc>
              <w:tc>
                <w:tcPr>
                  <w:tcW w:w="1900" w:type="dxa"/>
                  <w:vAlign w:val="center"/>
                </w:tcPr>
                <w:p w14:paraId="6FF8993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kern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eastAsia="zh-CN" w:bidi="ar"/>
                      <w14:textFill>
                        <w14:solidFill>
                          <w14:schemeClr w14:val="tx1"/>
                        </w14:solidFill>
                      </w14:textFill>
                    </w:rPr>
                    <w:t>集中收集后由环卫部门定期清运</w:t>
                  </w:r>
                </w:p>
              </w:tc>
            </w:tr>
          </w:tbl>
          <w:p w14:paraId="3B55BEFF">
            <w:pPr>
              <w:keepNext w:val="0"/>
              <w:keepLines w:val="0"/>
              <w:suppressLineNumbers w:val="0"/>
              <w:spacing w:before="0" w:beforeAutospacing="0" w:after="0" w:afterAutospacing="0" w:line="360" w:lineRule="auto"/>
              <w:ind w:left="0" w:right="0"/>
              <w:jc w:val="center"/>
              <w:rPr>
                <w:rFonts w:hint="eastAsia" w:cs="Times New Roman"/>
                <w:b/>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Cs w:val="21"/>
                <w:highlight w:val="none"/>
                <w14:textFill>
                  <w14:solidFill>
                    <w14:schemeClr w14:val="tx1"/>
                  </w14:solidFill>
                </w14:textFill>
              </w:rPr>
              <w:t>表4-</w:t>
            </w:r>
            <w:r>
              <w:rPr>
                <w:rFonts w:hint="eastAsia" w:cs="Times New Roman"/>
                <w:b/>
                <w:color w:val="000000" w:themeColor="text1"/>
                <w:szCs w:val="21"/>
                <w:highlight w:val="none"/>
                <w:lang w:val="en-US" w:eastAsia="zh-CN"/>
                <w14:textFill>
                  <w14:solidFill>
                    <w14:schemeClr w14:val="tx1"/>
                  </w14:solidFill>
                </w14:textFill>
              </w:rPr>
              <w:t>12危险废物汇总表</w:t>
            </w:r>
          </w:p>
          <w:tbl>
            <w:tblPr>
              <w:tblStyle w:val="35"/>
              <w:tblW w:w="4998" w:type="pct"/>
              <w:tblInd w:w="-1"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04"/>
              <w:gridCol w:w="584"/>
              <w:gridCol w:w="750"/>
              <w:gridCol w:w="929"/>
              <w:gridCol w:w="827"/>
              <w:gridCol w:w="1060"/>
              <w:gridCol w:w="475"/>
              <w:gridCol w:w="789"/>
              <w:gridCol w:w="651"/>
              <w:gridCol w:w="674"/>
              <w:gridCol w:w="908"/>
            </w:tblGrid>
            <w:tr w14:paraId="77905E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91" w:type="pct"/>
                  <w:tcBorders>
                    <w:tl2br w:val="nil"/>
                    <w:tr2bl w:val="nil"/>
                  </w:tcBorders>
                  <w:noWrap w:val="0"/>
                  <w:tcMar>
                    <w:left w:w="0" w:type="dxa"/>
                    <w:right w:w="0" w:type="dxa"/>
                  </w:tcMar>
                  <w:vAlign w:val="center"/>
                </w:tcPr>
                <w:p w14:paraId="327CFF69">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序号</w:t>
                  </w:r>
                </w:p>
              </w:tc>
              <w:tc>
                <w:tcPr>
                  <w:tcW w:w="367" w:type="pct"/>
                  <w:tcBorders>
                    <w:tl2br w:val="nil"/>
                    <w:tr2bl w:val="nil"/>
                  </w:tcBorders>
                  <w:noWrap w:val="0"/>
                  <w:tcMar>
                    <w:left w:w="0" w:type="dxa"/>
                    <w:right w:w="0" w:type="dxa"/>
                  </w:tcMar>
                  <w:vAlign w:val="center"/>
                </w:tcPr>
                <w:p w14:paraId="365E9AD4">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危险废物名称</w:t>
                  </w:r>
                </w:p>
              </w:tc>
              <w:tc>
                <w:tcPr>
                  <w:tcW w:w="471" w:type="pct"/>
                  <w:tcBorders>
                    <w:tl2br w:val="nil"/>
                    <w:tr2bl w:val="nil"/>
                  </w:tcBorders>
                  <w:noWrap w:val="0"/>
                  <w:tcMar>
                    <w:left w:w="0" w:type="dxa"/>
                    <w:right w:w="0" w:type="dxa"/>
                  </w:tcMar>
                  <w:vAlign w:val="center"/>
                </w:tcPr>
                <w:p w14:paraId="644A097A">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危险废物类别</w:t>
                  </w:r>
                </w:p>
              </w:tc>
              <w:tc>
                <w:tcPr>
                  <w:tcW w:w="584" w:type="pct"/>
                  <w:tcBorders>
                    <w:tl2br w:val="nil"/>
                    <w:tr2bl w:val="nil"/>
                  </w:tcBorders>
                  <w:noWrap w:val="0"/>
                  <w:tcMar>
                    <w:left w:w="0" w:type="dxa"/>
                    <w:right w:w="0" w:type="dxa"/>
                  </w:tcMar>
                  <w:vAlign w:val="center"/>
                </w:tcPr>
                <w:p w14:paraId="7A990E45">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危险废物代码</w:t>
                  </w:r>
                </w:p>
              </w:tc>
              <w:tc>
                <w:tcPr>
                  <w:tcW w:w="520" w:type="pct"/>
                  <w:tcBorders>
                    <w:tl2br w:val="nil"/>
                    <w:tr2bl w:val="nil"/>
                  </w:tcBorders>
                  <w:noWrap w:val="0"/>
                  <w:tcMar>
                    <w:left w:w="0" w:type="dxa"/>
                    <w:right w:w="0" w:type="dxa"/>
                  </w:tcMar>
                  <w:vAlign w:val="center"/>
                </w:tcPr>
                <w:p w14:paraId="6B2019DD">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产生量</w:t>
                  </w:r>
                </w:p>
              </w:tc>
              <w:tc>
                <w:tcPr>
                  <w:tcW w:w="666" w:type="pct"/>
                  <w:tcBorders>
                    <w:tl2br w:val="nil"/>
                    <w:tr2bl w:val="nil"/>
                  </w:tcBorders>
                  <w:noWrap w:val="0"/>
                  <w:tcMar>
                    <w:left w:w="0" w:type="dxa"/>
                    <w:right w:w="0" w:type="dxa"/>
                  </w:tcMar>
                  <w:vAlign w:val="center"/>
                </w:tcPr>
                <w:p w14:paraId="31CFCC44">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产生工序及装置</w:t>
                  </w:r>
                </w:p>
              </w:tc>
              <w:tc>
                <w:tcPr>
                  <w:tcW w:w="298" w:type="pct"/>
                  <w:tcBorders>
                    <w:tl2br w:val="nil"/>
                    <w:tr2bl w:val="nil"/>
                  </w:tcBorders>
                  <w:noWrap w:val="0"/>
                  <w:tcMar>
                    <w:left w:w="0" w:type="dxa"/>
                    <w:right w:w="0" w:type="dxa"/>
                  </w:tcMar>
                  <w:vAlign w:val="center"/>
                </w:tcPr>
                <w:p w14:paraId="55A325DD">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形态</w:t>
                  </w:r>
                </w:p>
              </w:tc>
              <w:tc>
                <w:tcPr>
                  <w:tcW w:w="496" w:type="pct"/>
                  <w:tcBorders>
                    <w:tl2br w:val="nil"/>
                    <w:tr2bl w:val="nil"/>
                  </w:tcBorders>
                  <w:noWrap w:val="0"/>
                  <w:tcMar>
                    <w:left w:w="0" w:type="dxa"/>
                    <w:right w:w="0" w:type="dxa"/>
                  </w:tcMar>
                  <w:vAlign w:val="center"/>
                </w:tcPr>
                <w:p w14:paraId="5DEF0A14">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主要</w:t>
                  </w:r>
                </w:p>
                <w:p w14:paraId="419C9A02">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成分</w:t>
                  </w:r>
                </w:p>
              </w:tc>
              <w:tc>
                <w:tcPr>
                  <w:tcW w:w="409" w:type="pct"/>
                  <w:tcBorders>
                    <w:tl2br w:val="nil"/>
                    <w:tr2bl w:val="nil"/>
                  </w:tcBorders>
                  <w:noWrap w:val="0"/>
                  <w:tcMar>
                    <w:left w:w="0" w:type="dxa"/>
                    <w:right w:w="0" w:type="dxa"/>
                  </w:tcMar>
                  <w:vAlign w:val="center"/>
                </w:tcPr>
                <w:p w14:paraId="0D67B263">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危险</w:t>
                  </w:r>
                </w:p>
                <w:p w14:paraId="00B7E77F">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特性</w:t>
                  </w:r>
                </w:p>
              </w:tc>
              <w:tc>
                <w:tcPr>
                  <w:tcW w:w="423" w:type="pct"/>
                  <w:tcBorders>
                    <w:tl2br w:val="nil"/>
                    <w:tr2bl w:val="nil"/>
                  </w:tcBorders>
                  <w:noWrap w:val="0"/>
                  <w:tcMar>
                    <w:left w:w="0" w:type="dxa"/>
                    <w:right w:w="0" w:type="dxa"/>
                  </w:tcMar>
                  <w:vAlign w:val="center"/>
                </w:tcPr>
                <w:p w14:paraId="44F42A32">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产废周期（次/年）</w:t>
                  </w:r>
                </w:p>
              </w:tc>
              <w:tc>
                <w:tcPr>
                  <w:tcW w:w="570" w:type="pct"/>
                  <w:tcBorders>
                    <w:tl2br w:val="nil"/>
                    <w:tr2bl w:val="nil"/>
                  </w:tcBorders>
                  <w:noWrap w:val="0"/>
                  <w:tcMar>
                    <w:left w:w="0" w:type="dxa"/>
                    <w:right w:w="0" w:type="dxa"/>
                  </w:tcMar>
                  <w:vAlign w:val="center"/>
                </w:tcPr>
                <w:p w14:paraId="660005A9">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污染防治措施</w:t>
                  </w:r>
                </w:p>
              </w:tc>
            </w:tr>
            <w:tr w14:paraId="4A483B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91" w:type="pct"/>
                  <w:tcBorders>
                    <w:tl2br w:val="nil"/>
                    <w:tr2bl w:val="nil"/>
                  </w:tcBorders>
                  <w:noWrap w:val="0"/>
                  <w:tcMar>
                    <w:left w:w="0" w:type="dxa"/>
                    <w:right w:w="0" w:type="dxa"/>
                  </w:tcMar>
                  <w:vAlign w:val="center"/>
                </w:tcPr>
                <w:p w14:paraId="6D15D6FF">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1</w:t>
                  </w:r>
                </w:p>
              </w:tc>
              <w:tc>
                <w:tcPr>
                  <w:tcW w:w="367" w:type="pct"/>
                  <w:tcBorders>
                    <w:tl2br w:val="nil"/>
                    <w:tr2bl w:val="nil"/>
                  </w:tcBorders>
                  <w:noWrap w:val="0"/>
                  <w:tcMar>
                    <w:left w:w="0" w:type="dxa"/>
                    <w:right w:w="0" w:type="dxa"/>
                  </w:tcMar>
                  <w:vAlign w:val="center"/>
                </w:tcPr>
                <w:p w14:paraId="5C956B6B">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eastAsia"/>
                      <w:szCs w:val="21"/>
                      <w:highlight w:val="none"/>
                      <w:lang w:val="en-US" w:eastAsia="zh-CN"/>
                    </w:rPr>
                    <w:t>废润滑油</w:t>
                  </w:r>
                </w:p>
              </w:tc>
              <w:tc>
                <w:tcPr>
                  <w:tcW w:w="471" w:type="pct"/>
                  <w:vMerge w:val="restart"/>
                  <w:tcBorders>
                    <w:tl2br w:val="nil"/>
                    <w:tr2bl w:val="nil"/>
                  </w:tcBorders>
                  <w:noWrap w:val="0"/>
                  <w:tcMar>
                    <w:left w:w="0" w:type="dxa"/>
                    <w:right w:w="0" w:type="dxa"/>
                  </w:tcMar>
                  <w:vAlign w:val="center"/>
                </w:tcPr>
                <w:p w14:paraId="38B5DCAB">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GB" w:eastAsia="zh-CN" w:bidi="ar-SA"/>
                    </w:rPr>
                  </w:pPr>
                  <w:r>
                    <w:rPr>
                      <w:rFonts w:hint="default" w:ascii="Times New Roman" w:hAnsi="Times New Roman" w:eastAsia="宋体" w:cs="Times New Roman"/>
                      <w:smallCaps w:val="0"/>
                      <w:color w:val="auto"/>
                      <w:kern w:val="0"/>
                      <w:sz w:val="21"/>
                      <w:szCs w:val="21"/>
                      <w:highlight w:val="none"/>
                      <w:lang w:val="en-GB" w:eastAsia="zh-CN" w:bidi="ar-SA"/>
                    </w:rPr>
                    <w:t>HW08</w:t>
                  </w:r>
                </w:p>
                <w:p w14:paraId="2268FA33">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废矿物油与含矿物油废物</w:t>
                  </w:r>
                </w:p>
              </w:tc>
              <w:tc>
                <w:tcPr>
                  <w:tcW w:w="584" w:type="pct"/>
                  <w:tcBorders>
                    <w:tl2br w:val="nil"/>
                    <w:tr2bl w:val="nil"/>
                  </w:tcBorders>
                  <w:noWrap w:val="0"/>
                  <w:tcMar>
                    <w:left w:w="0" w:type="dxa"/>
                    <w:right w:w="0" w:type="dxa"/>
                  </w:tcMar>
                  <w:vAlign w:val="center"/>
                </w:tcPr>
                <w:p w14:paraId="4BA6A10A">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smallCaps w:val="0"/>
                      <w:color w:val="auto"/>
                      <w:kern w:val="0"/>
                      <w:sz w:val="21"/>
                      <w:szCs w:val="21"/>
                      <w:highlight w:val="none"/>
                      <w:lang w:val="en-US" w:eastAsia="zh-CN" w:bidi="ar-SA"/>
                    </w:rPr>
                  </w:pPr>
                  <w:r>
                    <w:rPr>
                      <w:rFonts w:hint="eastAsia"/>
                      <w:szCs w:val="21"/>
                      <w:highlight w:val="none"/>
                      <w:lang w:val="en-US" w:eastAsia="zh-CN"/>
                    </w:rPr>
                    <w:t>900-214-08</w:t>
                  </w:r>
                </w:p>
              </w:tc>
              <w:tc>
                <w:tcPr>
                  <w:tcW w:w="520" w:type="pct"/>
                  <w:tcBorders>
                    <w:tl2br w:val="nil"/>
                    <w:tr2bl w:val="nil"/>
                  </w:tcBorders>
                  <w:noWrap w:val="0"/>
                  <w:tcMar>
                    <w:left w:w="0" w:type="dxa"/>
                    <w:right w:w="0" w:type="dxa"/>
                  </w:tcMar>
                  <w:vAlign w:val="center"/>
                </w:tcPr>
                <w:p w14:paraId="640288A4">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smallCaps w:val="0"/>
                      <w:color w:val="auto"/>
                      <w:kern w:val="0"/>
                      <w:sz w:val="21"/>
                      <w:szCs w:val="21"/>
                      <w:highlight w:val="none"/>
                      <w:lang w:val="en-US" w:eastAsia="zh-CN" w:bidi="ar-SA"/>
                    </w:rPr>
                  </w:pPr>
                  <w:r>
                    <w:rPr>
                      <w:rFonts w:hint="eastAsia"/>
                      <w:szCs w:val="21"/>
                      <w:highlight w:val="none"/>
                      <w:lang w:val="en-US" w:eastAsia="zh-CN"/>
                    </w:rPr>
                    <w:t>0.01</w:t>
                  </w:r>
                </w:p>
              </w:tc>
              <w:tc>
                <w:tcPr>
                  <w:tcW w:w="666" w:type="pct"/>
                  <w:vMerge w:val="restart"/>
                  <w:tcBorders>
                    <w:tl2br w:val="nil"/>
                    <w:tr2bl w:val="nil"/>
                  </w:tcBorders>
                  <w:noWrap w:val="0"/>
                  <w:tcMar>
                    <w:left w:w="0" w:type="dxa"/>
                    <w:right w:w="0" w:type="dxa"/>
                  </w:tcMar>
                  <w:vAlign w:val="center"/>
                </w:tcPr>
                <w:p w14:paraId="21ACFBC9">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机械维修和</w:t>
                  </w:r>
                  <w:r>
                    <w:rPr>
                      <w:rFonts w:hint="eastAsia" w:ascii="Times New Roman" w:hAnsi="Times New Roman" w:cs="Times New Roman"/>
                      <w:smallCaps w:val="0"/>
                      <w:color w:val="auto"/>
                      <w:kern w:val="0"/>
                      <w:sz w:val="21"/>
                      <w:szCs w:val="21"/>
                      <w:highlight w:val="none"/>
                      <w:lang w:val="en-US" w:eastAsia="zh-CN" w:bidi="ar-SA"/>
                    </w:rPr>
                    <w:t>保养</w:t>
                  </w:r>
                  <w:r>
                    <w:rPr>
                      <w:rFonts w:hint="default" w:ascii="Times New Roman" w:hAnsi="Times New Roman" w:eastAsia="宋体" w:cs="Times New Roman"/>
                      <w:smallCaps w:val="0"/>
                      <w:color w:val="auto"/>
                      <w:kern w:val="0"/>
                      <w:sz w:val="21"/>
                      <w:szCs w:val="21"/>
                      <w:highlight w:val="none"/>
                      <w:lang w:val="en-US" w:eastAsia="zh-CN" w:bidi="ar-SA"/>
                    </w:rPr>
                    <w:t>过程</w:t>
                  </w:r>
                </w:p>
              </w:tc>
              <w:tc>
                <w:tcPr>
                  <w:tcW w:w="298" w:type="pct"/>
                  <w:tcBorders>
                    <w:tl2br w:val="nil"/>
                    <w:tr2bl w:val="nil"/>
                  </w:tcBorders>
                  <w:noWrap w:val="0"/>
                  <w:tcMar>
                    <w:left w:w="0" w:type="dxa"/>
                    <w:right w:w="0" w:type="dxa"/>
                  </w:tcMar>
                  <w:vAlign w:val="center"/>
                </w:tcPr>
                <w:p w14:paraId="1F538452">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液态</w:t>
                  </w:r>
                </w:p>
              </w:tc>
              <w:tc>
                <w:tcPr>
                  <w:tcW w:w="496" w:type="pct"/>
                  <w:vMerge w:val="restart"/>
                  <w:tcBorders>
                    <w:tl2br w:val="nil"/>
                    <w:tr2bl w:val="nil"/>
                  </w:tcBorders>
                  <w:noWrap w:val="0"/>
                  <w:tcMar>
                    <w:left w:w="0" w:type="dxa"/>
                    <w:right w:w="0" w:type="dxa"/>
                  </w:tcMar>
                  <w:vAlign w:val="center"/>
                </w:tcPr>
                <w:p w14:paraId="1ECDC5EA">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矿物油</w:t>
                  </w:r>
                </w:p>
              </w:tc>
              <w:tc>
                <w:tcPr>
                  <w:tcW w:w="409" w:type="pct"/>
                  <w:vMerge w:val="restart"/>
                  <w:tcBorders>
                    <w:tl2br w:val="nil"/>
                    <w:tr2bl w:val="nil"/>
                  </w:tcBorders>
                  <w:noWrap w:val="0"/>
                  <w:tcMar>
                    <w:left w:w="0" w:type="dxa"/>
                    <w:right w:w="0" w:type="dxa"/>
                  </w:tcMar>
                  <w:vAlign w:val="center"/>
                </w:tcPr>
                <w:p w14:paraId="30A1C8F0">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T</w:t>
                  </w:r>
                </w:p>
              </w:tc>
              <w:tc>
                <w:tcPr>
                  <w:tcW w:w="423" w:type="pct"/>
                  <w:vMerge w:val="restart"/>
                  <w:tcBorders>
                    <w:tl2br w:val="nil"/>
                    <w:tr2bl w:val="nil"/>
                  </w:tcBorders>
                  <w:noWrap w:val="0"/>
                  <w:tcMar>
                    <w:left w:w="0" w:type="dxa"/>
                    <w:right w:w="0" w:type="dxa"/>
                  </w:tcMar>
                  <w:vAlign w:val="center"/>
                </w:tcPr>
                <w:p w14:paraId="77133565">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1.0</w:t>
                  </w:r>
                </w:p>
              </w:tc>
              <w:tc>
                <w:tcPr>
                  <w:tcW w:w="570" w:type="pct"/>
                  <w:vMerge w:val="restart"/>
                  <w:tcBorders>
                    <w:tl2br w:val="nil"/>
                    <w:tr2bl w:val="nil"/>
                  </w:tcBorders>
                  <w:noWrap w:val="0"/>
                  <w:tcMar>
                    <w:left w:w="0" w:type="dxa"/>
                    <w:right w:w="0" w:type="dxa"/>
                  </w:tcMar>
                  <w:vAlign w:val="center"/>
                </w:tcPr>
                <w:p w14:paraId="3D409BBE">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szCs w:val="21"/>
                      <w:highlight w:val="none"/>
                      <w:lang w:val="en-US" w:eastAsia="zh-CN"/>
                    </w:rPr>
                    <w:t>集中收集后暂存于</w:t>
                  </w:r>
                  <w:r>
                    <w:rPr>
                      <w:rFonts w:hint="eastAsia"/>
                      <w:szCs w:val="21"/>
                      <w:highlight w:val="none"/>
                      <w:lang w:val="en-US" w:eastAsia="zh-CN"/>
                    </w:rPr>
                    <w:t>危险废物贮存库</w:t>
                  </w:r>
                  <w:r>
                    <w:rPr>
                      <w:rFonts w:hint="default"/>
                      <w:szCs w:val="21"/>
                      <w:highlight w:val="none"/>
                      <w:lang w:val="en-US" w:eastAsia="zh-CN"/>
                    </w:rPr>
                    <w:t>，交由具有相关资质</w:t>
                  </w:r>
                </w:p>
              </w:tc>
            </w:tr>
            <w:tr w14:paraId="2A3D4F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91" w:type="pct"/>
                  <w:tcBorders>
                    <w:tl2br w:val="nil"/>
                    <w:tr2bl w:val="nil"/>
                  </w:tcBorders>
                  <w:noWrap w:val="0"/>
                  <w:tcMar>
                    <w:left w:w="0" w:type="dxa"/>
                    <w:right w:w="0" w:type="dxa"/>
                  </w:tcMar>
                  <w:vAlign w:val="center"/>
                </w:tcPr>
                <w:p w14:paraId="48E3773A">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eastAsia" w:cs="Times New Roman"/>
                      <w:smallCaps w:val="0"/>
                      <w:color w:val="auto"/>
                      <w:kern w:val="0"/>
                      <w:sz w:val="21"/>
                      <w:szCs w:val="21"/>
                      <w:highlight w:val="none"/>
                      <w:lang w:val="en-US" w:eastAsia="zh-CN" w:bidi="ar-SA"/>
                    </w:rPr>
                    <w:t>2</w:t>
                  </w:r>
                </w:p>
              </w:tc>
              <w:tc>
                <w:tcPr>
                  <w:tcW w:w="367" w:type="pct"/>
                  <w:tcBorders>
                    <w:tl2br w:val="nil"/>
                    <w:tr2bl w:val="nil"/>
                  </w:tcBorders>
                  <w:noWrap w:val="0"/>
                  <w:tcMar>
                    <w:left w:w="0" w:type="dxa"/>
                    <w:right w:w="0" w:type="dxa"/>
                  </w:tcMar>
                  <w:vAlign w:val="center"/>
                </w:tcPr>
                <w:p w14:paraId="52F76609">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eastAsia"/>
                      <w:szCs w:val="21"/>
                      <w:highlight w:val="none"/>
                      <w:lang w:val="en-US" w:eastAsia="zh-CN"/>
                    </w:rPr>
                  </w:pPr>
                  <w:r>
                    <w:rPr>
                      <w:rFonts w:hint="eastAsia"/>
                      <w:szCs w:val="21"/>
                      <w:highlight w:val="none"/>
                      <w:lang w:val="en-US" w:eastAsia="zh-CN"/>
                    </w:rPr>
                    <w:t>废润滑油桶</w:t>
                  </w:r>
                </w:p>
              </w:tc>
              <w:tc>
                <w:tcPr>
                  <w:tcW w:w="471" w:type="pct"/>
                  <w:vMerge w:val="continue"/>
                  <w:tcBorders>
                    <w:tl2br w:val="nil"/>
                    <w:tr2bl w:val="nil"/>
                  </w:tcBorders>
                  <w:noWrap w:val="0"/>
                  <w:tcMar>
                    <w:left w:w="0" w:type="dxa"/>
                    <w:right w:w="0" w:type="dxa"/>
                  </w:tcMar>
                  <w:vAlign w:val="center"/>
                </w:tcPr>
                <w:p w14:paraId="557D823A">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p>
              </w:tc>
              <w:tc>
                <w:tcPr>
                  <w:tcW w:w="584" w:type="pct"/>
                  <w:tcBorders>
                    <w:tl2br w:val="nil"/>
                    <w:tr2bl w:val="nil"/>
                  </w:tcBorders>
                  <w:noWrap w:val="0"/>
                  <w:tcMar>
                    <w:left w:w="0" w:type="dxa"/>
                    <w:right w:w="0" w:type="dxa"/>
                  </w:tcMar>
                  <w:vAlign w:val="center"/>
                </w:tcPr>
                <w:p w14:paraId="05C28201">
                  <w:pPr>
                    <w:keepNext w:val="0"/>
                    <w:keepLines w:val="0"/>
                    <w:widowControl/>
                    <w:suppressLineNumbers w:val="0"/>
                    <w:adjustRightInd w:val="0"/>
                    <w:snapToGrid w:val="0"/>
                    <w:spacing w:before="0" w:beforeAutospacing="0" w:after="0" w:afterAutospacing="0"/>
                    <w:ind w:left="0" w:right="0"/>
                    <w:jc w:val="center"/>
                    <w:rPr>
                      <w:rFonts w:hint="eastAsia"/>
                      <w:szCs w:val="21"/>
                      <w:highlight w:val="none"/>
                      <w:lang w:val="en-US" w:eastAsia="zh-CN"/>
                    </w:rPr>
                  </w:pPr>
                </w:p>
                <w:p w14:paraId="54F93A18">
                  <w:pPr>
                    <w:keepNext w:val="0"/>
                    <w:keepLines w:val="0"/>
                    <w:widowControl/>
                    <w:suppressLineNumbers w:val="0"/>
                    <w:adjustRightInd w:val="0"/>
                    <w:snapToGrid w:val="0"/>
                    <w:spacing w:before="0" w:beforeAutospacing="0" w:after="0" w:afterAutospacing="0"/>
                    <w:ind w:left="0" w:right="0"/>
                    <w:jc w:val="center"/>
                    <w:rPr>
                      <w:rFonts w:hint="eastAsia"/>
                      <w:szCs w:val="21"/>
                      <w:highlight w:val="none"/>
                      <w:lang w:val="en-US" w:eastAsia="zh-CN"/>
                    </w:rPr>
                  </w:pPr>
                  <w:r>
                    <w:rPr>
                      <w:rFonts w:hint="eastAsia"/>
                      <w:szCs w:val="21"/>
                      <w:highlight w:val="none"/>
                      <w:lang w:val="en-US" w:eastAsia="zh-CN"/>
                    </w:rPr>
                    <w:t xml:space="preserve">900-249- 08 </w:t>
                  </w:r>
                </w:p>
                <w:p w14:paraId="125E7B92">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smallCaps w:val="0"/>
                      <w:color w:val="auto"/>
                      <w:kern w:val="0"/>
                      <w:sz w:val="21"/>
                      <w:szCs w:val="21"/>
                      <w:highlight w:val="none"/>
                      <w:lang w:val="en-US" w:eastAsia="zh-CN" w:bidi="ar-SA"/>
                    </w:rPr>
                  </w:pPr>
                </w:p>
              </w:tc>
              <w:tc>
                <w:tcPr>
                  <w:tcW w:w="520" w:type="pct"/>
                  <w:tcBorders>
                    <w:tl2br w:val="nil"/>
                    <w:tr2bl w:val="nil"/>
                  </w:tcBorders>
                  <w:noWrap w:val="0"/>
                  <w:tcMar>
                    <w:left w:w="0" w:type="dxa"/>
                    <w:right w:w="0" w:type="dxa"/>
                  </w:tcMar>
                  <w:vAlign w:val="center"/>
                </w:tcPr>
                <w:p w14:paraId="56D22106">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kern w:val="0"/>
                      <w:sz w:val="21"/>
                      <w:szCs w:val="21"/>
                      <w:highlight w:val="none"/>
                      <w:lang w:val="en-US" w:eastAsia="zh-CN" w:bidi="ar-SA"/>
                    </w:rPr>
                  </w:pPr>
                  <w:r>
                    <w:rPr>
                      <w:rFonts w:hint="eastAsia"/>
                      <w:szCs w:val="21"/>
                      <w:highlight w:val="none"/>
                      <w:lang w:val="en-US" w:eastAsia="zh-CN"/>
                    </w:rPr>
                    <w:t>0.001</w:t>
                  </w:r>
                </w:p>
              </w:tc>
              <w:tc>
                <w:tcPr>
                  <w:tcW w:w="666" w:type="pct"/>
                  <w:vMerge w:val="continue"/>
                  <w:tcBorders>
                    <w:tl2br w:val="nil"/>
                    <w:tr2bl w:val="nil"/>
                  </w:tcBorders>
                  <w:noWrap w:val="0"/>
                  <w:tcMar>
                    <w:left w:w="0" w:type="dxa"/>
                    <w:right w:w="0" w:type="dxa"/>
                  </w:tcMar>
                  <w:vAlign w:val="center"/>
                </w:tcPr>
                <w:p w14:paraId="0E43D2B4">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p>
              </w:tc>
              <w:tc>
                <w:tcPr>
                  <w:tcW w:w="298" w:type="pct"/>
                  <w:tcBorders>
                    <w:tl2br w:val="nil"/>
                    <w:tr2bl w:val="nil"/>
                  </w:tcBorders>
                  <w:noWrap w:val="0"/>
                  <w:tcMar>
                    <w:left w:w="0" w:type="dxa"/>
                    <w:right w:w="0" w:type="dxa"/>
                  </w:tcMar>
                  <w:vAlign w:val="center"/>
                </w:tcPr>
                <w:p w14:paraId="6AE49011">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eastAsia" w:ascii="Times New Roman" w:hAnsi="Times New Roman" w:cs="Times New Roman"/>
                      <w:smallCaps w:val="0"/>
                      <w:color w:val="auto"/>
                      <w:kern w:val="0"/>
                      <w:sz w:val="21"/>
                      <w:szCs w:val="21"/>
                      <w:highlight w:val="none"/>
                      <w:lang w:val="en-US" w:eastAsia="zh-CN" w:bidi="ar-SA"/>
                    </w:rPr>
                    <w:t>固态</w:t>
                  </w:r>
                </w:p>
              </w:tc>
              <w:tc>
                <w:tcPr>
                  <w:tcW w:w="496" w:type="pct"/>
                  <w:vMerge w:val="continue"/>
                  <w:tcBorders>
                    <w:tl2br w:val="nil"/>
                    <w:tr2bl w:val="nil"/>
                  </w:tcBorders>
                  <w:noWrap w:val="0"/>
                  <w:tcMar>
                    <w:left w:w="0" w:type="dxa"/>
                    <w:right w:w="0" w:type="dxa"/>
                  </w:tcMar>
                  <w:vAlign w:val="center"/>
                </w:tcPr>
                <w:p w14:paraId="00A770B9">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p>
              </w:tc>
              <w:tc>
                <w:tcPr>
                  <w:tcW w:w="409" w:type="pct"/>
                  <w:vMerge w:val="continue"/>
                  <w:tcBorders>
                    <w:tl2br w:val="nil"/>
                    <w:tr2bl w:val="nil"/>
                  </w:tcBorders>
                  <w:noWrap w:val="0"/>
                  <w:tcMar>
                    <w:left w:w="0" w:type="dxa"/>
                    <w:right w:w="0" w:type="dxa"/>
                  </w:tcMar>
                  <w:vAlign w:val="center"/>
                </w:tcPr>
                <w:p w14:paraId="5D669483">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p>
              </w:tc>
              <w:tc>
                <w:tcPr>
                  <w:tcW w:w="423" w:type="pct"/>
                  <w:vMerge w:val="continue"/>
                  <w:tcBorders>
                    <w:tl2br w:val="nil"/>
                    <w:tr2bl w:val="nil"/>
                  </w:tcBorders>
                  <w:noWrap w:val="0"/>
                  <w:tcMar>
                    <w:left w:w="0" w:type="dxa"/>
                    <w:right w:w="0" w:type="dxa"/>
                  </w:tcMar>
                  <w:vAlign w:val="center"/>
                </w:tcPr>
                <w:p w14:paraId="5976E64E">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p>
              </w:tc>
              <w:tc>
                <w:tcPr>
                  <w:tcW w:w="570" w:type="pct"/>
                  <w:vMerge w:val="continue"/>
                  <w:tcBorders>
                    <w:tl2br w:val="nil"/>
                    <w:tr2bl w:val="nil"/>
                  </w:tcBorders>
                  <w:noWrap w:val="0"/>
                  <w:tcMar>
                    <w:left w:w="0" w:type="dxa"/>
                    <w:right w:w="0" w:type="dxa"/>
                  </w:tcMar>
                  <w:vAlign w:val="center"/>
                </w:tcPr>
                <w:p w14:paraId="3E7660FC">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p>
              </w:tc>
            </w:tr>
            <w:tr w14:paraId="670C0F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1" w:type="pct"/>
                  <w:tcBorders>
                    <w:tl2br w:val="nil"/>
                    <w:tr2bl w:val="nil"/>
                  </w:tcBorders>
                  <w:noWrap w:val="0"/>
                  <w:tcMar>
                    <w:left w:w="0" w:type="dxa"/>
                    <w:right w:w="0" w:type="dxa"/>
                  </w:tcMar>
                  <w:vAlign w:val="center"/>
                </w:tcPr>
                <w:p w14:paraId="4119B817">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eastAsia" w:cs="Times New Roman"/>
                      <w:smallCaps w:val="0"/>
                      <w:color w:val="auto"/>
                      <w:kern w:val="0"/>
                      <w:sz w:val="21"/>
                      <w:szCs w:val="21"/>
                      <w:highlight w:val="none"/>
                      <w:lang w:val="en-US" w:eastAsia="zh-CN" w:bidi="ar-SA"/>
                    </w:rPr>
                    <w:t>3</w:t>
                  </w:r>
                </w:p>
              </w:tc>
              <w:tc>
                <w:tcPr>
                  <w:tcW w:w="367" w:type="pct"/>
                  <w:tcBorders>
                    <w:tl2br w:val="nil"/>
                    <w:tr2bl w:val="nil"/>
                  </w:tcBorders>
                  <w:noWrap w:val="0"/>
                  <w:tcMar>
                    <w:left w:w="0" w:type="dxa"/>
                    <w:right w:w="0" w:type="dxa"/>
                  </w:tcMar>
                  <w:vAlign w:val="center"/>
                </w:tcPr>
                <w:p w14:paraId="15C7F1F8">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eastAsia"/>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含油抹布</w:t>
                  </w:r>
                  <w:r>
                    <w:rPr>
                      <w:rFonts w:hint="eastAsia" w:ascii="Times New Roman" w:hAnsi="Times New Roman" w:eastAsia="宋体" w:cs="Times New Roman"/>
                      <w:color w:val="000000"/>
                      <w:sz w:val="21"/>
                      <w:szCs w:val="21"/>
                      <w:highlight w:val="none"/>
                      <w:lang w:val="en-US" w:eastAsia="zh-CN"/>
                    </w:rPr>
                    <w:t>及</w:t>
                  </w:r>
                  <w:r>
                    <w:rPr>
                      <w:rFonts w:hint="default" w:ascii="Times New Roman" w:hAnsi="Times New Roman" w:eastAsia="宋体" w:cs="Times New Roman"/>
                      <w:color w:val="000000"/>
                      <w:sz w:val="21"/>
                      <w:szCs w:val="21"/>
                      <w:highlight w:val="none"/>
                      <w:lang w:val="en-US" w:eastAsia="zh-CN"/>
                    </w:rPr>
                    <w:t>手套</w:t>
                  </w:r>
                </w:p>
              </w:tc>
              <w:tc>
                <w:tcPr>
                  <w:tcW w:w="471" w:type="pct"/>
                  <w:tcBorders>
                    <w:tl2br w:val="nil"/>
                    <w:tr2bl w:val="nil"/>
                  </w:tcBorders>
                  <w:noWrap w:val="0"/>
                  <w:tcMar>
                    <w:left w:w="0" w:type="dxa"/>
                    <w:right w:w="0" w:type="dxa"/>
                  </w:tcMar>
                  <w:vAlign w:val="center"/>
                </w:tcPr>
                <w:p w14:paraId="724A4DC2">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smallCaps w:val="0"/>
                      <w:color w:val="auto"/>
                      <w:kern w:val="0"/>
                      <w:sz w:val="21"/>
                      <w:szCs w:val="21"/>
                      <w:highlight w:val="none"/>
                      <w:lang w:val="en-US" w:eastAsia="zh-CN" w:bidi="ar-SA"/>
                    </w:rPr>
                    <w:t>HW49 其他废物</w:t>
                  </w:r>
                </w:p>
              </w:tc>
              <w:tc>
                <w:tcPr>
                  <w:tcW w:w="584" w:type="pct"/>
                  <w:tcBorders>
                    <w:tl2br w:val="nil"/>
                    <w:tr2bl w:val="nil"/>
                  </w:tcBorders>
                  <w:noWrap w:val="0"/>
                  <w:tcMar>
                    <w:left w:w="0" w:type="dxa"/>
                    <w:right w:w="0" w:type="dxa"/>
                  </w:tcMar>
                  <w:vAlign w:val="center"/>
                </w:tcPr>
                <w:p w14:paraId="17ABC00D">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smallCaps w:val="0"/>
                      <w:color w:val="auto"/>
                      <w:kern w:val="0"/>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900-041-49</w:t>
                  </w:r>
                </w:p>
              </w:tc>
              <w:tc>
                <w:tcPr>
                  <w:tcW w:w="520" w:type="pct"/>
                  <w:tcBorders>
                    <w:tl2br w:val="nil"/>
                    <w:tr2bl w:val="nil"/>
                  </w:tcBorders>
                  <w:noWrap w:val="0"/>
                  <w:tcMar>
                    <w:left w:w="0" w:type="dxa"/>
                    <w:right w:w="0" w:type="dxa"/>
                  </w:tcMar>
                  <w:vAlign w:val="center"/>
                </w:tcPr>
                <w:p w14:paraId="2015C6A3">
                  <w:pPr>
                    <w:keepNext w:val="0"/>
                    <w:keepLines w:val="0"/>
                    <w:widowControl/>
                    <w:suppressLineNumbers w:val="0"/>
                    <w:adjustRightInd w:val="0"/>
                    <w:snapToGrid w:val="0"/>
                    <w:spacing w:before="0" w:beforeAutospacing="0" w:after="0" w:afterAutospacing="0"/>
                    <w:ind w:left="0" w:right="0"/>
                    <w:jc w:val="center"/>
                    <w:rPr>
                      <w:rFonts w:hint="default"/>
                      <w:szCs w:val="21"/>
                      <w:highlight w:val="none"/>
                      <w:lang w:val="en-US" w:eastAsia="zh-CN"/>
                    </w:rPr>
                  </w:pPr>
                  <w:r>
                    <w:rPr>
                      <w:rFonts w:hint="eastAsia"/>
                      <w:szCs w:val="21"/>
                      <w:highlight w:val="none"/>
                      <w:lang w:val="en-US" w:eastAsia="zh-CN"/>
                    </w:rPr>
                    <w:t>0.0014</w:t>
                  </w:r>
                </w:p>
              </w:tc>
              <w:tc>
                <w:tcPr>
                  <w:tcW w:w="666" w:type="pct"/>
                  <w:vMerge w:val="continue"/>
                  <w:tcBorders>
                    <w:tl2br w:val="nil"/>
                    <w:tr2bl w:val="nil"/>
                  </w:tcBorders>
                  <w:noWrap w:val="0"/>
                  <w:tcMar>
                    <w:left w:w="0" w:type="dxa"/>
                    <w:right w:w="0" w:type="dxa"/>
                  </w:tcMar>
                  <w:vAlign w:val="center"/>
                </w:tcPr>
                <w:p w14:paraId="1ABE5BE2">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p>
              </w:tc>
              <w:tc>
                <w:tcPr>
                  <w:tcW w:w="298" w:type="pct"/>
                  <w:tcBorders>
                    <w:tl2br w:val="nil"/>
                    <w:tr2bl w:val="nil"/>
                  </w:tcBorders>
                  <w:noWrap w:val="0"/>
                  <w:tcMar>
                    <w:left w:w="0" w:type="dxa"/>
                    <w:right w:w="0" w:type="dxa"/>
                  </w:tcMar>
                  <w:vAlign w:val="center"/>
                </w:tcPr>
                <w:p w14:paraId="021DA9CE">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eastAsia" w:ascii="Times New Roman" w:hAnsi="Times New Roman" w:cs="Times New Roman"/>
                      <w:smallCaps w:val="0"/>
                      <w:color w:val="auto"/>
                      <w:kern w:val="0"/>
                      <w:sz w:val="21"/>
                      <w:szCs w:val="21"/>
                      <w:highlight w:val="none"/>
                      <w:lang w:val="en-US" w:eastAsia="zh-CN" w:bidi="ar-SA"/>
                    </w:rPr>
                  </w:pPr>
                  <w:r>
                    <w:rPr>
                      <w:rFonts w:hint="eastAsia" w:ascii="Times New Roman" w:hAnsi="Times New Roman" w:cs="Times New Roman"/>
                      <w:smallCaps w:val="0"/>
                      <w:color w:val="auto"/>
                      <w:kern w:val="0"/>
                      <w:sz w:val="21"/>
                      <w:szCs w:val="21"/>
                      <w:highlight w:val="none"/>
                      <w:lang w:val="en-US" w:eastAsia="zh-CN" w:bidi="ar-SA"/>
                    </w:rPr>
                    <w:t>固态</w:t>
                  </w:r>
                </w:p>
              </w:tc>
              <w:tc>
                <w:tcPr>
                  <w:tcW w:w="496" w:type="pct"/>
                  <w:vMerge w:val="continue"/>
                  <w:tcBorders>
                    <w:tl2br w:val="nil"/>
                    <w:tr2bl w:val="nil"/>
                  </w:tcBorders>
                  <w:noWrap w:val="0"/>
                  <w:tcMar>
                    <w:left w:w="0" w:type="dxa"/>
                    <w:right w:w="0" w:type="dxa"/>
                  </w:tcMar>
                  <w:vAlign w:val="center"/>
                </w:tcPr>
                <w:p w14:paraId="5FD8C058">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p>
              </w:tc>
              <w:tc>
                <w:tcPr>
                  <w:tcW w:w="409" w:type="pct"/>
                  <w:vMerge w:val="continue"/>
                  <w:tcBorders>
                    <w:tl2br w:val="nil"/>
                    <w:tr2bl w:val="nil"/>
                  </w:tcBorders>
                  <w:noWrap w:val="0"/>
                  <w:tcMar>
                    <w:left w:w="0" w:type="dxa"/>
                    <w:right w:w="0" w:type="dxa"/>
                  </w:tcMar>
                  <w:vAlign w:val="center"/>
                </w:tcPr>
                <w:p w14:paraId="064089CF">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p>
              </w:tc>
              <w:tc>
                <w:tcPr>
                  <w:tcW w:w="423" w:type="pct"/>
                  <w:vMerge w:val="continue"/>
                  <w:tcBorders>
                    <w:tl2br w:val="nil"/>
                    <w:tr2bl w:val="nil"/>
                  </w:tcBorders>
                  <w:noWrap w:val="0"/>
                  <w:tcMar>
                    <w:left w:w="0" w:type="dxa"/>
                    <w:right w:w="0" w:type="dxa"/>
                  </w:tcMar>
                  <w:vAlign w:val="center"/>
                </w:tcPr>
                <w:p w14:paraId="7B761D39">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p>
              </w:tc>
              <w:tc>
                <w:tcPr>
                  <w:tcW w:w="570" w:type="pct"/>
                  <w:vMerge w:val="continue"/>
                  <w:tcBorders>
                    <w:tl2br w:val="nil"/>
                    <w:tr2bl w:val="nil"/>
                  </w:tcBorders>
                  <w:noWrap w:val="0"/>
                  <w:tcMar>
                    <w:left w:w="0" w:type="dxa"/>
                    <w:right w:w="0" w:type="dxa"/>
                  </w:tcMar>
                  <w:vAlign w:val="center"/>
                </w:tcPr>
                <w:p w14:paraId="0C08C03C">
                  <w:pPr>
                    <w:keepNext w:val="0"/>
                    <w:keepLines w:val="0"/>
                    <w:pageBreakBefore w:val="0"/>
                    <w:widowControl w:val="0"/>
                    <w:suppressLineNumbers w:val="0"/>
                    <w:kinsoku/>
                    <w:wordWrap/>
                    <w:overflowPunct/>
                    <w:topLinePunct w:val="0"/>
                    <w:autoSpaceDE/>
                    <w:autoSpaceDN/>
                    <w:bidi w:val="0"/>
                    <w:adjustRightInd/>
                    <w:snapToGrid/>
                    <w:spacing w:before="63" w:beforeLines="20" w:beforeAutospacing="0" w:after="0" w:afterAutospacing="0" w:line="312" w:lineRule="auto"/>
                    <w:ind w:left="0" w:leftChars="0" w:right="0" w:rightChars="0" w:firstLine="0" w:firstLineChars="0"/>
                    <w:jc w:val="center"/>
                    <w:textAlignment w:val="auto"/>
                    <w:rPr>
                      <w:rFonts w:hint="default" w:ascii="Times New Roman" w:hAnsi="Times New Roman" w:eastAsia="宋体" w:cs="Times New Roman"/>
                      <w:smallCaps w:val="0"/>
                      <w:color w:val="auto"/>
                      <w:kern w:val="0"/>
                      <w:sz w:val="21"/>
                      <w:szCs w:val="21"/>
                      <w:highlight w:val="none"/>
                      <w:lang w:val="en-US" w:eastAsia="zh-CN" w:bidi="ar-SA"/>
                    </w:rPr>
                  </w:pPr>
                </w:p>
              </w:tc>
            </w:tr>
          </w:tbl>
          <w:p w14:paraId="2D56CC49">
            <w:pPr>
              <w:pStyle w:val="56"/>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color w:val="000000" w:themeColor="text1"/>
                <w:kern w:val="2"/>
                <w:sz w:val="24"/>
                <w:szCs w:val="24"/>
                <w:highlight w:val="none"/>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u w:val="none" w:color="auto"/>
                <w:lang w:val="en-US" w:eastAsia="zh-CN" w:bidi="ar-SA"/>
                <w14:textFill>
                  <w14:solidFill>
                    <w14:schemeClr w14:val="tx1"/>
                  </w14:solidFill>
                </w14:textFill>
              </w:rPr>
              <w:t>（三）环境影响分析</w:t>
            </w:r>
          </w:p>
          <w:p w14:paraId="7177C3E7">
            <w:pPr>
              <w:pStyle w:val="56"/>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color w:val="000000" w:themeColor="text1"/>
                <w:kern w:val="2"/>
                <w:sz w:val="24"/>
                <w:szCs w:val="24"/>
                <w:highlight w:val="none"/>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u w:val="none" w:color="auto"/>
                <w:lang w:val="en-US" w:eastAsia="zh-CN" w:bidi="ar-SA"/>
                <w14:textFill>
                  <w14:solidFill>
                    <w14:schemeClr w14:val="tx1"/>
                  </w14:solidFill>
                </w14:textFill>
              </w:rPr>
              <w:t>本项目所产生的固体废物做到及时收集，妥善处置。本项目产生的固体废物经过妥善处理后，处置率达到 100% ，不会影响周边环境。</w:t>
            </w:r>
          </w:p>
          <w:p w14:paraId="13847F9A">
            <w:pPr>
              <w:pStyle w:val="56"/>
              <w:keepNext w:val="0"/>
              <w:keepLines w:val="0"/>
              <w:suppressLineNumbers w:val="0"/>
              <w:spacing w:before="0" w:beforeAutospacing="0" w:after="0" w:afterAutospacing="0" w:line="360" w:lineRule="auto"/>
              <w:ind w:left="0" w:right="0" w:firstLine="482"/>
              <w:rPr>
                <w:rFonts w:hint="default" w:ascii="Times New Roman" w:hAnsi="Times New Roman" w:eastAsia="宋体" w:cs="Times New Roman"/>
                <w:b/>
                <w:bCs/>
                <w:color w:val="000000" w:themeColor="text1"/>
                <w:szCs w:val="24"/>
                <w:highlight w:val="none"/>
                <w14:textFill>
                  <w14:solidFill>
                    <w14:schemeClr w14:val="tx1"/>
                  </w14:solidFill>
                </w14:textFill>
              </w:rPr>
            </w:pPr>
            <w:r>
              <w:rPr>
                <w:rFonts w:hint="eastAsia" w:ascii="Times New Roman" w:hAnsi="Times New Roman" w:eastAsia="宋体" w:cs="Times New Roman"/>
                <w:b/>
                <w:bCs/>
                <w:color w:val="000000" w:themeColor="text1"/>
                <w:szCs w:val="24"/>
                <w:highlight w:val="none"/>
                <w:lang w:val="en-US" w:eastAsia="zh-CN"/>
                <w14:textFill>
                  <w14:solidFill>
                    <w14:schemeClr w14:val="tx1"/>
                  </w14:solidFill>
                </w14:textFill>
              </w:rPr>
              <w:t>五</w:t>
            </w:r>
            <w:r>
              <w:rPr>
                <w:rFonts w:hint="default" w:ascii="Times New Roman" w:hAnsi="Times New Roman" w:eastAsia="宋体" w:cs="Times New Roman"/>
                <w:b/>
                <w:bCs/>
                <w:color w:val="000000" w:themeColor="text1"/>
                <w:szCs w:val="24"/>
                <w:highlight w:val="none"/>
                <w14:textFill>
                  <w14:solidFill>
                    <w14:schemeClr w14:val="tx1"/>
                  </w14:solidFill>
                </w14:textFill>
              </w:rPr>
              <w:t xml:space="preserve">、地下水、土壤 </w:t>
            </w:r>
          </w:p>
          <w:p w14:paraId="7C6F6281">
            <w:pPr>
              <w:keepNext w:val="0"/>
              <w:keepLines w:val="0"/>
              <w:suppressLineNumbers w:val="0"/>
              <w:spacing w:before="0" w:beforeAutospacing="0" w:after="0" w:afterAutospacing="0" w:line="360" w:lineRule="auto"/>
              <w:ind w:left="0" w:right="0" w:firstLine="480" w:firstLineChars="200"/>
              <w:contextualSpacing/>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本项目用地范围内均进行了地面硬化，不存在土壤、地下水污染途径，对地下水、土壤无影响。</w:t>
            </w:r>
          </w:p>
          <w:p w14:paraId="25FA2FDB">
            <w:pPr>
              <w:pStyle w:val="56"/>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bCs/>
                <w:color w:val="000000" w:themeColor="text1"/>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Cs w:val="24"/>
                <w:highlight w:val="none"/>
                <w:lang w:val="en-US" w:eastAsia="zh-CN"/>
                <w14:textFill>
                  <w14:solidFill>
                    <w14:schemeClr w14:val="tx1"/>
                  </w14:solidFill>
                </w14:textFill>
              </w:rPr>
              <w:t>六、环境风险分析</w:t>
            </w:r>
          </w:p>
          <w:p w14:paraId="6B7E6FC6">
            <w:pPr>
              <w:keepNext w:val="0"/>
              <w:keepLines w:val="0"/>
              <w:suppressLineNumbers w:val="0"/>
              <w:spacing w:before="0" w:beforeAutospacing="0" w:after="0" w:afterAutospacing="0" w:line="360" w:lineRule="auto"/>
              <w:ind w:left="0" w:right="0" w:firstLine="480" w:firstLineChars="200"/>
              <w:contextualSpacing/>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根据《建设项目环境风险评价技术导则》（HJ169-2018）附录 B 以及《企业突发环境事件风险分级方法》(HJ941-2018）附录 A，本项目涉及的风险物质主要是设备维修保养产生的废润滑油。本项目废润滑油最大贮存量为0.01t，油类物质临界量为2500t，因此Q=0.000004；因此本项目Q=0.000004＜1。</w:t>
            </w:r>
          </w:p>
          <w:p w14:paraId="772A1E89">
            <w:pPr>
              <w:pStyle w:val="65"/>
              <w:keepNext w:val="0"/>
              <w:keepLines w:val="0"/>
              <w:suppressLineNumbers w:val="0"/>
              <w:shd w:val="clear"/>
              <w:spacing w:before="0" w:beforeAutospacing="0" w:after="0" w:afterAutospacing="0"/>
              <w:ind w:left="0" w:right="0"/>
              <w:jc w:val="center"/>
              <w:rPr>
                <w:rFonts w:hint="eastAsia" w:ascii="Times New Roman" w:hAnsi="Times New Roman" w:eastAsia="宋体" w:cs="宋体"/>
                <w:b/>
                <w:bCs/>
                <w:highlight w:val="none"/>
                <w:lang w:val="en-US" w:eastAsia="zh-CN"/>
              </w:rPr>
            </w:pPr>
            <w:r>
              <w:rPr>
                <w:rFonts w:hint="eastAsia" w:ascii="Times New Roman" w:hAnsi="Times New Roman" w:eastAsia="宋体" w:cs="宋体"/>
                <w:b/>
                <w:bCs/>
                <w:highlight w:val="none"/>
                <w:lang w:val="en-US" w:eastAsia="zh-CN"/>
              </w:rPr>
              <w:t>表4-10  建设项目Q值确定表</w:t>
            </w:r>
          </w:p>
          <w:tbl>
            <w:tblPr>
              <w:tblStyle w:val="35"/>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618"/>
              <w:gridCol w:w="1052"/>
              <w:gridCol w:w="1726"/>
              <w:gridCol w:w="1476"/>
              <w:gridCol w:w="1329"/>
            </w:tblGrid>
            <w:tr w14:paraId="046508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70" w:type="pct"/>
                  <w:noWrap w:val="0"/>
                  <w:vAlign w:val="center"/>
                </w:tcPr>
                <w:p w14:paraId="1B3B05D6">
                  <w:pPr>
                    <w:pStyle w:val="25"/>
                    <w:keepNext w:val="0"/>
                    <w:keepLines w:val="0"/>
                    <w:suppressLineNumbers w:val="0"/>
                    <w:spacing w:before="0" w:beforeAutospacing="0" w:after="0" w:afterAutospacing="0"/>
                    <w:ind w:left="0" w:right="0"/>
                    <w:rPr>
                      <w:rFonts w:hint="default"/>
                      <w:szCs w:val="21"/>
                      <w:highlight w:val="none"/>
                    </w:rPr>
                  </w:pPr>
                  <w:r>
                    <w:rPr>
                      <w:rFonts w:hint="default"/>
                      <w:szCs w:val="21"/>
                      <w:highlight w:val="none"/>
                    </w:rPr>
                    <w:t>序号</w:t>
                  </w:r>
                </w:p>
              </w:tc>
              <w:tc>
                <w:tcPr>
                  <w:tcW w:w="1017" w:type="pct"/>
                  <w:noWrap w:val="0"/>
                  <w:vAlign w:val="center"/>
                </w:tcPr>
                <w:p w14:paraId="2591AF4A">
                  <w:pPr>
                    <w:pStyle w:val="25"/>
                    <w:keepNext w:val="0"/>
                    <w:keepLines w:val="0"/>
                    <w:suppressLineNumbers w:val="0"/>
                    <w:spacing w:before="0" w:beforeAutospacing="0" w:after="0" w:afterAutospacing="0"/>
                    <w:ind w:left="0" w:right="0"/>
                    <w:rPr>
                      <w:rFonts w:hint="default"/>
                      <w:szCs w:val="21"/>
                      <w:highlight w:val="none"/>
                    </w:rPr>
                  </w:pPr>
                  <w:r>
                    <w:rPr>
                      <w:rFonts w:hint="default"/>
                      <w:szCs w:val="21"/>
                      <w:highlight w:val="none"/>
                    </w:rPr>
                    <w:t>危险物质名称</w:t>
                  </w:r>
                </w:p>
              </w:tc>
              <w:tc>
                <w:tcPr>
                  <w:tcW w:w="661" w:type="pct"/>
                  <w:noWrap w:val="0"/>
                  <w:vAlign w:val="center"/>
                </w:tcPr>
                <w:p w14:paraId="5B41EB69">
                  <w:pPr>
                    <w:pStyle w:val="25"/>
                    <w:keepNext w:val="0"/>
                    <w:keepLines w:val="0"/>
                    <w:suppressLineNumbers w:val="0"/>
                    <w:spacing w:before="0" w:beforeAutospacing="0" w:after="0" w:afterAutospacing="0"/>
                    <w:ind w:left="0" w:right="0"/>
                    <w:rPr>
                      <w:rFonts w:hint="default"/>
                      <w:szCs w:val="21"/>
                      <w:highlight w:val="none"/>
                    </w:rPr>
                  </w:pPr>
                  <w:r>
                    <w:rPr>
                      <w:rFonts w:hint="default"/>
                      <w:szCs w:val="21"/>
                      <w:highlight w:val="none"/>
                    </w:rPr>
                    <w:t>CAS号</w:t>
                  </w:r>
                </w:p>
              </w:tc>
              <w:tc>
                <w:tcPr>
                  <w:tcW w:w="1085" w:type="pct"/>
                  <w:noWrap w:val="0"/>
                  <w:vAlign w:val="center"/>
                </w:tcPr>
                <w:p w14:paraId="7E5D9C68">
                  <w:pPr>
                    <w:pStyle w:val="25"/>
                    <w:keepNext w:val="0"/>
                    <w:keepLines w:val="0"/>
                    <w:suppressLineNumbers w:val="0"/>
                    <w:spacing w:before="0" w:beforeAutospacing="0" w:after="0" w:afterAutospacing="0"/>
                    <w:ind w:left="0" w:right="0"/>
                    <w:rPr>
                      <w:rFonts w:hint="default"/>
                      <w:szCs w:val="21"/>
                      <w:highlight w:val="none"/>
                    </w:rPr>
                  </w:pPr>
                  <w:r>
                    <w:rPr>
                      <w:rFonts w:hint="default"/>
                      <w:szCs w:val="21"/>
                      <w:highlight w:val="none"/>
                    </w:rPr>
                    <w:t>最大存在总量</w:t>
                  </w:r>
                </w:p>
                <w:p w14:paraId="26CD6530">
                  <w:pPr>
                    <w:pStyle w:val="25"/>
                    <w:keepNext w:val="0"/>
                    <w:keepLines w:val="0"/>
                    <w:suppressLineNumbers w:val="0"/>
                    <w:spacing w:before="0" w:beforeAutospacing="0" w:after="0" w:afterAutospacing="0"/>
                    <w:ind w:left="0" w:right="0"/>
                    <w:rPr>
                      <w:rFonts w:hint="default"/>
                      <w:szCs w:val="21"/>
                      <w:highlight w:val="none"/>
                    </w:rPr>
                  </w:pPr>
                  <w:r>
                    <w:rPr>
                      <w:rFonts w:hint="default"/>
                      <w:szCs w:val="21"/>
                      <w:highlight w:val="none"/>
                    </w:rPr>
                    <w:t>qn/t</w:t>
                  </w:r>
                </w:p>
              </w:tc>
              <w:tc>
                <w:tcPr>
                  <w:tcW w:w="928" w:type="pct"/>
                  <w:noWrap w:val="0"/>
                  <w:vAlign w:val="center"/>
                </w:tcPr>
                <w:p w14:paraId="7AE1D85B">
                  <w:pPr>
                    <w:pStyle w:val="25"/>
                    <w:keepNext w:val="0"/>
                    <w:keepLines w:val="0"/>
                    <w:suppressLineNumbers w:val="0"/>
                    <w:spacing w:before="0" w:beforeAutospacing="0" w:after="0" w:afterAutospacing="0"/>
                    <w:ind w:left="0" w:right="0"/>
                    <w:rPr>
                      <w:rFonts w:hint="default"/>
                      <w:szCs w:val="21"/>
                      <w:highlight w:val="none"/>
                    </w:rPr>
                  </w:pPr>
                  <w:r>
                    <w:rPr>
                      <w:rFonts w:hint="default"/>
                      <w:szCs w:val="21"/>
                      <w:highlight w:val="none"/>
                    </w:rPr>
                    <w:t>临界量Qn/t</w:t>
                  </w:r>
                </w:p>
              </w:tc>
              <w:tc>
                <w:tcPr>
                  <w:tcW w:w="836" w:type="pct"/>
                  <w:noWrap w:val="0"/>
                  <w:vAlign w:val="center"/>
                </w:tcPr>
                <w:p w14:paraId="37B4AD32">
                  <w:pPr>
                    <w:pStyle w:val="25"/>
                    <w:keepNext w:val="0"/>
                    <w:keepLines w:val="0"/>
                    <w:suppressLineNumbers w:val="0"/>
                    <w:spacing w:before="0" w:beforeAutospacing="0" w:after="0" w:afterAutospacing="0"/>
                    <w:ind w:left="0" w:right="0"/>
                    <w:rPr>
                      <w:rFonts w:hint="default"/>
                      <w:szCs w:val="21"/>
                      <w:highlight w:val="none"/>
                    </w:rPr>
                  </w:pPr>
                  <w:r>
                    <w:rPr>
                      <w:rFonts w:hint="default"/>
                      <w:szCs w:val="21"/>
                      <w:highlight w:val="none"/>
                    </w:rPr>
                    <w:t>Q值</w:t>
                  </w:r>
                </w:p>
              </w:tc>
            </w:tr>
            <w:tr w14:paraId="6F09FD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470" w:type="pct"/>
                  <w:noWrap w:val="0"/>
                  <w:vAlign w:val="center"/>
                </w:tcPr>
                <w:p w14:paraId="3D7C157E">
                  <w:pPr>
                    <w:pStyle w:val="25"/>
                    <w:keepNext w:val="0"/>
                    <w:keepLines w:val="0"/>
                    <w:suppressLineNumbers w:val="0"/>
                    <w:spacing w:before="0" w:beforeAutospacing="0" w:after="0" w:afterAutospacing="0"/>
                    <w:ind w:left="0" w:right="0"/>
                    <w:rPr>
                      <w:rFonts w:hint="default"/>
                      <w:szCs w:val="21"/>
                      <w:highlight w:val="none"/>
                    </w:rPr>
                  </w:pPr>
                  <w:r>
                    <w:rPr>
                      <w:rFonts w:hint="default"/>
                      <w:szCs w:val="21"/>
                      <w:highlight w:val="none"/>
                    </w:rPr>
                    <w:t>1</w:t>
                  </w:r>
                </w:p>
              </w:tc>
              <w:tc>
                <w:tcPr>
                  <w:tcW w:w="1017" w:type="pct"/>
                  <w:noWrap w:val="0"/>
                  <w:vAlign w:val="center"/>
                </w:tcPr>
                <w:p w14:paraId="12035385">
                  <w:pPr>
                    <w:pStyle w:val="25"/>
                    <w:keepNext w:val="0"/>
                    <w:keepLines w:val="0"/>
                    <w:suppressLineNumbers w:val="0"/>
                    <w:spacing w:before="0" w:beforeAutospacing="0" w:after="0" w:afterAutospacing="0"/>
                    <w:ind w:left="0" w:right="0"/>
                    <w:rPr>
                      <w:rFonts w:hint="default"/>
                      <w:szCs w:val="21"/>
                      <w:highlight w:val="none"/>
                    </w:rPr>
                  </w:pPr>
                  <w:r>
                    <w:rPr>
                      <w:rFonts w:hint="default"/>
                      <w:szCs w:val="21"/>
                      <w:highlight w:val="none"/>
                    </w:rPr>
                    <w:t>废</w:t>
                  </w:r>
                  <w:r>
                    <w:rPr>
                      <w:rFonts w:hint="eastAsia"/>
                      <w:szCs w:val="21"/>
                      <w:highlight w:val="none"/>
                      <w:lang w:eastAsia="zh-CN"/>
                    </w:rPr>
                    <w:t>润滑</w:t>
                  </w:r>
                  <w:r>
                    <w:rPr>
                      <w:rFonts w:hint="default"/>
                      <w:szCs w:val="21"/>
                      <w:highlight w:val="none"/>
                    </w:rPr>
                    <w:t>油</w:t>
                  </w:r>
                </w:p>
              </w:tc>
              <w:tc>
                <w:tcPr>
                  <w:tcW w:w="661" w:type="pct"/>
                  <w:noWrap w:val="0"/>
                  <w:vAlign w:val="center"/>
                </w:tcPr>
                <w:p w14:paraId="01AA0D7B">
                  <w:pPr>
                    <w:pStyle w:val="25"/>
                    <w:keepNext w:val="0"/>
                    <w:keepLines w:val="0"/>
                    <w:suppressLineNumbers w:val="0"/>
                    <w:spacing w:before="0" w:beforeAutospacing="0" w:after="0" w:afterAutospacing="0"/>
                    <w:ind w:left="0" w:right="0"/>
                    <w:rPr>
                      <w:rFonts w:hint="default"/>
                      <w:szCs w:val="21"/>
                      <w:highlight w:val="none"/>
                    </w:rPr>
                  </w:pPr>
                  <w:r>
                    <w:rPr>
                      <w:rFonts w:hint="default"/>
                      <w:szCs w:val="21"/>
                      <w:highlight w:val="none"/>
                    </w:rPr>
                    <w:t>/</w:t>
                  </w:r>
                </w:p>
              </w:tc>
              <w:tc>
                <w:tcPr>
                  <w:tcW w:w="1085" w:type="pct"/>
                  <w:noWrap w:val="0"/>
                  <w:vAlign w:val="center"/>
                </w:tcPr>
                <w:p w14:paraId="321B64A7">
                  <w:pPr>
                    <w:pStyle w:val="25"/>
                    <w:keepNext w:val="0"/>
                    <w:keepLines w:val="0"/>
                    <w:suppressLineNumbers w:val="0"/>
                    <w:spacing w:before="0" w:beforeAutospacing="0" w:after="0" w:afterAutospacing="0"/>
                    <w:ind w:left="0" w:right="0"/>
                    <w:rPr>
                      <w:rFonts w:hint="default" w:eastAsia="宋体"/>
                      <w:szCs w:val="21"/>
                      <w:highlight w:val="none"/>
                      <w:lang w:val="en-US" w:eastAsia="zh-CN"/>
                    </w:rPr>
                  </w:pPr>
                  <w:r>
                    <w:rPr>
                      <w:rFonts w:hint="eastAsia"/>
                      <w:szCs w:val="21"/>
                      <w:highlight w:val="none"/>
                      <w:lang w:val="en-US" w:eastAsia="zh-CN"/>
                    </w:rPr>
                    <w:t>0.01</w:t>
                  </w:r>
                </w:p>
              </w:tc>
              <w:tc>
                <w:tcPr>
                  <w:tcW w:w="928" w:type="pct"/>
                  <w:noWrap w:val="0"/>
                  <w:vAlign w:val="center"/>
                </w:tcPr>
                <w:p w14:paraId="415540A6">
                  <w:pPr>
                    <w:pStyle w:val="25"/>
                    <w:keepNext w:val="0"/>
                    <w:keepLines w:val="0"/>
                    <w:suppressLineNumbers w:val="0"/>
                    <w:spacing w:before="0" w:beforeAutospacing="0" w:after="0" w:afterAutospacing="0"/>
                    <w:ind w:left="0" w:right="0"/>
                    <w:rPr>
                      <w:rFonts w:hint="default"/>
                      <w:kern w:val="0"/>
                      <w:sz w:val="21"/>
                      <w:szCs w:val="21"/>
                      <w:highlight w:val="none"/>
                      <w:lang w:val="en-US" w:eastAsia="zh-CN" w:bidi="ar-SA"/>
                    </w:rPr>
                  </w:pPr>
                  <w:r>
                    <w:rPr>
                      <w:rFonts w:hint="default"/>
                      <w:szCs w:val="21"/>
                      <w:highlight w:val="none"/>
                    </w:rPr>
                    <w:t>2500</w:t>
                  </w:r>
                </w:p>
              </w:tc>
              <w:tc>
                <w:tcPr>
                  <w:tcW w:w="836" w:type="pct"/>
                  <w:noWrap w:val="0"/>
                  <w:vAlign w:val="center"/>
                </w:tcPr>
                <w:p w14:paraId="2C0CEBFB">
                  <w:pPr>
                    <w:pStyle w:val="25"/>
                    <w:keepNext w:val="0"/>
                    <w:keepLines w:val="0"/>
                    <w:suppressLineNumbers w:val="0"/>
                    <w:spacing w:before="0" w:beforeAutospacing="0" w:after="0" w:afterAutospacing="0"/>
                    <w:ind w:left="0" w:right="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0.</w:t>
                  </w:r>
                  <w:r>
                    <w:rPr>
                      <w:rFonts w:hint="eastAsia" w:ascii="Times New Roman" w:hAnsi="Times New Roman" w:eastAsia="宋体" w:cs="Times New Roman"/>
                      <w:szCs w:val="21"/>
                      <w:highlight w:val="none"/>
                      <w:lang w:val="en-US" w:eastAsia="zh-CN"/>
                    </w:rPr>
                    <w:t>00000</w:t>
                  </w:r>
                  <w:r>
                    <w:rPr>
                      <w:rFonts w:hint="eastAsia" w:cs="Times New Roman"/>
                      <w:szCs w:val="21"/>
                      <w:highlight w:val="none"/>
                      <w:lang w:val="en-US" w:eastAsia="zh-CN"/>
                    </w:rPr>
                    <w:t>4</w:t>
                  </w:r>
                </w:p>
              </w:tc>
            </w:tr>
            <w:tr w14:paraId="5B13F4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4163" w:type="pct"/>
                  <w:gridSpan w:val="5"/>
                  <w:noWrap w:val="0"/>
                  <w:vAlign w:val="center"/>
                </w:tcPr>
                <w:p w14:paraId="7F8B57D9">
                  <w:pPr>
                    <w:pStyle w:val="25"/>
                    <w:keepNext w:val="0"/>
                    <w:keepLines w:val="0"/>
                    <w:suppressLineNumbers w:val="0"/>
                    <w:spacing w:before="0" w:beforeAutospacing="0" w:after="0" w:afterAutospacing="0"/>
                    <w:ind w:left="0" w:right="0"/>
                    <w:rPr>
                      <w:rFonts w:hint="default"/>
                      <w:szCs w:val="21"/>
                      <w:highlight w:val="none"/>
                    </w:rPr>
                  </w:pPr>
                  <w:r>
                    <w:rPr>
                      <w:rFonts w:hint="default"/>
                      <w:szCs w:val="21"/>
                      <w:highlight w:val="none"/>
                    </w:rPr>
                    <w:t>合计</w:t>
                  </w:r>
                </w:p>
              </w:tc>
              <w:tc>
                <w:tcPr>
                  <w:tcW w:w="836" w:type="pct"/>
                  <w:noWrap w:val="0"/>
                  <w:vAlign w:val="center"/>
                </w:tcPr>
                <w:p w14:paraId="6757A4E7">
                  <w:pPr>
                    <w:pStyle w:val="25"/>
                    <w:keepNext w:val="0"/>
                    <w:keepLines w:val="0"/>
                    <w:suppressLineNumbers w:val="0"/>
                    <w:spacing w:before="0" w:beforeAutospacing="0" w:after="0" w:afterAutospacing="0"/>
                    <w:ind w:left="0" w:right="0"/>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0.00000</w:t>
                  </w:r>
                  <w:r>
                    <w:rPr>
                      <w:rFonts w:hint="eastAsia" w:cs="Times New Roman"/>
                      <w:szCs w:val="21"/>
                      <w:highlight w:val="none"/>
                      <w:lang w:val="en-US" w:eastAsia="zh-CN"/>
                    </w:rPr>
                    <w:t>4</w:t>
                  </w:r>
                </w:p>
              </w:tc>
            </w:tr>
          </w:tbl>
          <w:p w14:paraId="3F3768BF">
            <w:pPr>
              <w:keepNext w:val="0"/>
              <w:keepLines w:val="0"/>
              <w:suppressLineNumbers w:val="0"/>
              <w:spacing w:before="0" w:beforeAutospacing="0" w:after="0" w:afterAutospacing="0" w:line="360" w:lineRule="auto"/>
              <w:ind w:left="0" w:right="0" w:firstLine="480" w:firstLineChars="200"/>
              <w:contextualSpacing/>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2、风险事故分析</w:t>
            </w:r>
          </w:p>
          <w:p w14:paraId="17817F09">
            <w:pPr>
              <w:keepNext w:val="0"/>
              <w:keepLines w:val="0"/>
              <w:suppressLineNumbers w:val="0"/>
              <w:spacing w:before="0" w:beforeAutospacing="0" w:after="0" w:afterAutospacing="0" w:line="360" w:lineRule="auto"/>
              <w:ind w:left="0" w:right="0" w:firstLine="480" w:firstLineChars="200"/>
              <w:contextualSpacing/>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项目存在的环境风险主要是废机油贮存处置不当发生泄漏后进入土壤，将导致土壤被破坏，造成污染，被人体重复接触后会造成中毒、致癌等严重危害，或发生火灾爆炸。如废机油下渗会导致地下水受到严重污染，严重影响城市民生保障系统的正常运行，危害人体健康</w:t>
            </w:r>
          </w:p>
          <w:p w14:paraId="20C6FAF1">
            <w:pPr>
              <w:keepNext w:val="0"/>
              <w:keepLines w:val="0"/>
              <w:suppressLineNumbers w:val="0"/>
              <w:spacing w:before="0" w:beforeAutospacing="0" w:after="0" w:afterAutospacing="0" w:line="360" w:lineRule="auto"/>
              <w:ind w:left="0" w:right="0" w:firstLine="480" w:firstLineChars="200"/>
              <w:contextualSpacing/>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3.环境风险防范措施</w:t>
            </w:r>
          </w:p>
          <w:p w14:paraId="1D2AEDB2">
            <w:pPr>
              <w:keepNext w:val="0"/>
              <w:keepLines w:val="0"/>
              <w:suppressLineNumbers w:val="0"/>
              <w:spacing w:before="0" w:beforeAutospacing="0" w:after="0" w:afterAutospacing="0" w:line="360" w:lineRule="auto"/>
              <w:ind w:left="0" w:right="0" w:firstLine="480" w:firstLineChars="200"/>
              <w:contextualSpacing/>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为尽可能降低环境风险事故发生的概率及减轻事故发生后的环境影响，本评价要求建设单位严格按照《危险废物贮存污染控制标准》（GB18597-2023）、《危险废物收集、贮存、运输技术规范》（HJ2025-2012）等相关标准规范建设、管理和运营，项目风险管理要求如下：</w:t>
            </w:r>
          </w:p>
          <w:p w14:paraId="6F1718A4">
            <w:pPr>
              <w:keepNext w:val="0"/>
              <w:keepLines w:val="0"/>
              <w:suppressLineNumbers w:val="0"/>
              <w:spacing w:before="0" w:beforeAutospacing="0" w:after="0" w:afterAutospacing="0" w:line="360" w:lineRule="auto"/>
              <w:ind w:left="0" w:right="0" w:firstLine="480" w:firstLineChars="200"/>
              <w:contextualSpacing/>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a.危废</w:t>
            </w:r>
            <w:r>
              <w:rPr>
                <w:rFonts w:hint="eastAsia" w:cs="Times New Roman"/>
                <w:color w:val="000000" w:themeColor="text1"/>
                <w:sz w:val="24"/>
                <w:szCs w:val="24"/>
                <w:highlight w:val="none"/>
                <w:u w:val="none" w:color="auto"/>
                <w:lang w:val="en-US" w:eastAsia="zh-CN"/>
                <w14:textFill>
                  <w14:solidFill>
                    <w14:schemeClr w14:val="tx1"/>
                  </w14:solidFill>
                </w14:textFill>
              </w:rPr>
              <w:t>贮存库</w:t>
            </w: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 xml:space="preserve">为水泥面硬化，地面采取重点防渗措施，防渗层为至少1 m 厚黏土层（渗透系数不大于10 </w:t>
            </w:r>
            <w:r>
              <w:rPr>
                <w:rFonts w:hint="eastAsia" w:ascii="Times New Roman" w:hAnsi="Times New Roman" w:eastAsia="宋体" w:cs="Times New Roman"/>
                <w:color w:val="000000" w:themeColor="text1"/>
                <w:sz w:val="24"/>
                <w:szCs w:val="24"/>
                <w:highlight w:val="none"/>
                <w:u w:val="none" w:color="auto"/>
                <w:vertAlign w:val="superscript"/>
                <w:lang w:val="en-US" w:eastAsia="zh-CN"/>
                <w14:textFill>
                  <w14:solidFill>
                    <w14:schemeClr w14:val="tx1"/>
                  </w14:solidFill>
                </w14:textFill>
              </w:rPr>
              <w:t>-7</w:t>
            </w: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cm/s），或至少2 mm 厚高密度聚乙烯膜等人工防渗材料（渗透系数不大于10</w:t>
            </w:r>
            <w:r>
              <w:rPr>
                <w:rFonts w:hint="eastAsia" w:ascii="Times New Roman" w:hAnsi="Times New Roman" w:eastAsia="宋体" w:cs="Times New Roman"/>
                <w:color w:val="000000" w:themeColor="text1"/>
                <w:sz w:val="24"/>
                <w:szCs w:val="24"/>
                <w:highlight w:val="none"/>
                <w:u w:val="none" w:color="auto"/>
                <w:vertAlign w:val="superscript"/>
                <w:lang w:val="en-US" w:eastAsia="zh-CN"/>
                <w14:textFill>
                  <w14:solidFill>
                    <w14:schemeClr w14:val="tx1"/>
                  </w14:solidFill>
                </w14:textFill>
              </w:rPr>
              <w:t>-10</w:t>
            </w: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cm/s），或其他防渗性能等效的材料，符合《危险废物贮存污染控制标准》（GB18597-2023）要求。</w:t>
            </w:r>
          </w:p>
          <w:p w14:paraId="138F61C7">
            <w:pPr>
              <w:keepNext w:val="0"/>
              <w:keepLines w:val="0"/>
              <w:suppressLineNumbers w:val="0"/>
              <w:spacing w:before="0" w:beforeAutospacing="0" w:after="0" w:afterAutospacing="0" w:line="360" w:lineRule="auto"/>
              <w:ind w:left="0" w:right="0" w:firstLine="480" w:firstLineChars="200"/>
              <w:contextualSpacing/>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b.每月盘查，如有异常亏损时，立即做追踪检查；</w:t>
            </w:r>
          </w:p>
          <w:p w14:paraId="1826BCE8">
            <w:pPr>
              <w:keepNext w:val="0"/>
              <w:keepLines w:val="0"/>
              <w:suppressLineNumbers w:val="0"/>
              <w:spacing w:before="0" w:beforeAutospacing="0" w:after="0" w:afterAutospacing="0" w:line="360" w:lineRule="auto"/>
              <w:ind w:left="0" w:right="0" w:firstLine="480" w:firstLineChars="200"/>
              <w:contextualSpacing/>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c.危废</w:t>
            </w:r>
            <w:r>
              <w:rPr>
                <w:rFonts w:hint="eastAsia" w:cs="Times New Roman"/>
                <w:color w:val="000000" w:themeColor="text1"/>
                <w:sz w:val="24"/>
                <w:szCs w:val="24"/>
                <w:highlight w:val="none"/>
                <w:u w:val="none" w:color="auto"/>
                <w:lang w:val="en-US" w:eastAsia="zh-CN"/>
                <w14:textFill>
                  <w14:solidFill>
                    <w14:schemeClr w14:val="tx1"/>
                  </w14:solidFill>
                </w14:textFill>
              </w:rPr>
              <w:t>贮存库</w:t>
            </w: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内的物体必须放在专用贮存桶内，且承装危险废物的容器材质和衬里要与危险废物相容（不相互反应）。</w:t>
            </w:r>
          </w:p>
          <w:p w14:paraId="6AA38911">
            <w:pPr>
              <w:keepNext w:val="0"/>
              <w:keepLines w:val="0"/>
              <w:suppressLineNumbers w:val="0"/>
              <w:spacing w:before="0" w:beforeAutospacing="0" w:after="0" w:afterAutospacing="0" w:line="360" w:lineRule="auto"/>
              <w:ind w:left="0" w:right="0" w:firstLine="480" w:firstLineChars="200"/>
              <w:contextualSpacing/>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d.危险废物贮存设施应配备通讯设备、照明设施、消防设施、安全防护服装及工具，并设有应急防护设施。</w:t>
            </w:r>
          </w:p>
          <w:p w14:paraId="4F54106D">
            <w:pPr>
              <w:keepNext w:val="0"/>
              <w:keepLines w:val="0"/>
              <w:suppressLineNumbers w:val="0"/>
              <w:spacing w:before="0" w:beforeAutospacing="0" w:after="0" w:afterAutospacing="0" w:line="360" w:lineRule="auto"/>
              <w:ind w:left="0" w:right="0" w:firstLine="480" w:firstLineChars="200"/>
              <w:contextualSpacing/>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e.危险废物收集、贮存、运输单位应建立规范的管理和技术人员培训制度，定期针对管理和技术人员进行培训。培训内容至少应包括危险废物鉴别要求、危险废物经营许可证管理、危险废物转移联单管理、危险废物包装和标识、危险废物运输要求、危险废物事故应急方法等。</w:t>
            </w:r>
          </w:p>
          <w:p w14:paraId="29BC059A">
            <w:pPr>
              <w:keepNext w:val="0"/>
              <w:keepLines w:val="0"/>
              <w:suppressLineNumbers w:val="0"/>
              <w:spacing w:before="0" w:beforeAutospacing="0" w:after="0" w:afterAutospacing="0" w:line="360" w:lineRule="auto"/>
              <w:ind w:left="0" w:right="0" w:firstLine="480" w:firstLineChars="200"/>
              <w:contextualSpacing/>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f.危险废物收集、贮存、运输单位应编制应急预案。应急预案编制可参照《危险废物经营单位编制应急预案指南》，涉及运输的相关内容还应符合交通行政主管部门的有关规定。针对危险废物收集、贮存、运输过程中的事故易发环节应定期组织应急演练。</w:t>
            </w:r>
          </w:p>
          <w:p w14:paraId="18961EE9">
            <w:pPr>
              <w:keepNext w:val="0"/>
              <w:keepLines w:val="0"/>
              <w:suppressLineNumbers w:val="0"/>
              <w:spacing w:before="0" w:beforeAutospacing="0" w:after="0" w:afterAutospacing="0" w:line="360" w:lineRule="auto"/>
              <w:ind w:left="0" w:right="0" w:firstLine="480" w:firstLineChars="200"/>
              <w:contextualSpacing/>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g.危险废物运输应由持有危险废物经营许可证的单位按照其许可证经营范围组织实施，承担危险废物运输的单位应获得交通部门颁发的危险货物运输资质。</w:t>
            </w:r>
          </w:p>
          <w:p w14:paraId="7234A71B">
            <w:pPr>
              <w:keepNext w:val="0"/>
              <w:keepLines w:val="0"/>
              <w:suppressLineNumbers w:val="0"/>
              <w:spacing w:before="0" w:beforeAutospacing="0" w:after="0" w:afterAutospacing="0" w:line="360" w:lineRule="auto"/>
              <w:ind w:left="0" w:right="0" w:firstLine="480" w:firstLineChars="200"/>
              <w:contextualSpacing/>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h.设单位需做好危险废物情况的记录，记录上须注明危险废物的名称、来源、数量、特性和包装容器的类别、入库日期、存放库位、废物出库日期及接收单位名称。</w:t>
            </w:r>
          </w:p>
          <w:p w14:paraId="6D6C5B69">
            <w:pPr>
              <w:keepNext w:val="0"/>
              <w:keepLines w:val="0"/>
              <w:suppressLineNumbers w:val="0"/>
              <w:spacing w:before="0" w:beforeAutospacing="0" w:after="0" w:afterAutospacing="0" w:line="360" w:lineRule="auto"/>
              <w:ind w:left="0" w:right="0" w:firstLine="480" w:firstLineChars="200"/>
              <w:contextualSpacing/>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i.厂区内设置消防沙池及干粉灭火器，值班人员需进行培训，力争将火灾隐患消灭在萌芽状态。</w:t>
            </w:r>
          </w:p>
          <w:p w14:paraId="1973BAF2">
            <w:pPr>
              <w:pStyle w:val="56"/>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bCs/>
                <w:color w:val="000000" w:themeColor="text1"/>
                <w:szCs w:val="24"/>
                <w:highlight w:val="none"/>
                <w:lang w:val="en-US" w:eastAsia="zh-CN"/>
                <w14:textFill>
                  <w14:solidFill>
                    <w14:schemeClr w14:val="tx1"/>
                  </w14:solidFill>
                </w14:textFill>
              </w:rPr>
            </w:pPr>
            <w:r>
              <w:rPr>
                <w:rFonts w:hint="eastAsia" w:cs="Times New Roman"/>
                <w:b/>
                <w:bCs/>
                <w:color w:val="000000" w:themeColor="text1"/>
                <w:szCs w:val="24"/>
                <w:highlight w:val="none"/>
                <w:lang w:val="en-US" w:eastAsia="zh-CN"/>
                <w14:textFill>
                  <w14:solidFill>
                    <w14:schemeClr w14:val="tx1"/>
                  </w14:solidFill>
                </w14:textFill>
              </w:rPr>
              <w:t>七</w:t>
            </w:r>
            <w:r>
              <w:rPr>
                <w:rFonts w:hint="eastAsia" w:ascii="Times New Roman" w:hAnsi="Times New Roman" w:eastAsia="宋体" w:cs="Times New Roman"/>
                <w:b/>
                <w:bCs/>
                <w:color w:val="000000" w:themeColor="text1"/>
                <w:szCs w:val="24"/>
                <w:highlight w:val="none"/>
                <w:lang w:val="en-US" w:eastAsia="zh-CN"/>
                <w14:textFill>
                  <w14:solidFill>
                    <w14:schemeClr w14:val="tx1"/>
                  </w14:solidFill>
                </w14:textFill>
              </w:rPr>
              <w:t xml:space="preserve">、生态 </w:t>
            </w:r>
          </w:p>
          <w:p w14:paraId="1488D424">
            <w:pPr>
              <w:keepNext w:val="0"/>
              <w:keepLines w:val="0"/>
              <w:suppressLineNumbers w:val="0"/>
              <w:spacing w:before="0" w:beforeAutospacing="0" w:after="0" w:afterAutospacing="0" w:line="360" w:lineRule="auto"/>
              <w:ind w:left="0" w:right="0" w:firstLine="480" w:firstLineChars="200"/>
              <w:contextualSpacing/>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 xml:space="preserve">本项目占地范围内无特殊生态敏感区及重要生态敏感区等生态环境保护目标，对周边生态环境影响较小，无需设置相应生态环境保护措施。 </w:t>
            </w:r>
          </w:p>
          <w:p w14:paraId="43BCCAF2">
            <w:pPr>
              <w:pStyle w:val="56"/>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Cs w:val="24"/>
                <w:highlight w:val="none"/>
                <w14:textFill>
                  <w14:solidFill>
                    <w14:schemeClr w14:val="tx1"/>
                  </w14:solidFill>
                </w14:textFill>
              </w:rPr>
            </w:pPr>
          </w:p>
        </w:tc>
      </w:tr>
    </w:tbl>
    <w:p w14:paraId="7CDC9A11">
      <w:pPr>
        <w:adjustRightInd w:val="0"/>
        <w:snapToGrid w:val="0"/>
        <w:spacing w:line="360" w:lineRule="auto"/>
        <w:rPr>
          <w:rFonts w:hint="eastAsia" w:ascii="Times New Roman" w:hAnsi="Times New Roman" w:eastAsia="宋体" w:cs="Times New Roman"/>
          <w:b/>
          <w:color w:val="000000" w:themeColor="text1"/>
          <w:kern w:val="0"/>
          <w:sz w:val="28"/>
          <w:szCs w:val="28"/>
          <w:highlight w:val="none"/>
          <w:lang w:val="en-US" w:eastAsia="zh-CN"/>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14:paraId="00925C6A">
      <w:pPr>
        <w:pStyle w:val="29"/>
        <w:jc w:val="center"/>
        <w:outlineLvl w:val="0"/>
        <w:rPr>
          <w:rFonts w:hint="default" w:ascii="Times New Roman" w:hAnsi="Times New Roman" w:eastAsia="宋体" w:cs="Times New Roman"/>
          <w:snapToGrid w:val="0"/>
          <w:color w:val="000000" w:themeColor="text1"/>
          <w:sz w:val="30"/>
          <w:szCs w:val="30"/>
          <w:highlight w:val="none"/>
          <w14:textFill>
            <w14:solidFill>
              <w14:schemeClr w14:val="tx1"/>
            </w14:solidFill>
          </w14:textFill>
        </w:rPr>
      </w:pPr>
      <w:bookmarkStart w:id="18" w:name="_Toc4115"/>
      <w:bookmarkStart w:id="19" w:name="_Toc5918"/>
      <w:r>
        <w:rPr>
          <w:rFonts w:hint="default" w:ascii="Times New Roman" w:hAnsi="Times New Roman" w:eastAsia="宋体" w:cs="Times New Roman"/>
          <w:snapToGrid w:val="0"/>
          <w:color w:val="000000" w:themeColor="text1"/>
          <w:sz w:val="30"/>
          <w:szCs w:val="30"/>
          <w:highlight w:val="none"/>
          <w14:textFill>
            <w14:solidFill>
              <w14:schemeClr w14:val="tx1"/>
            </w14:solidFill>
          </w14:textFill>
        </w:rPr>
        <w:t>五、</w:t>
      </w:r>
      <w:bookmarkStart w:id="20" w:name="_Hlk54167917"/>
      <w:r>
        <w:rPr>
          <w:rFonts w:hint="default" w:ascii="Times New Roman" w:hAnsi="Times New Roman" w:eastAsia="宋体" w:cs="Times New Roman"/>
          <w:snapToGrid w:val="0"/>
          <w:color w:val="000000" w:themeColor="text1"/>
          <w:sz w:val="30"/>
          <w:szCs w:val="30"/>
          <w:highlight w:val="none"/>
          <w14:textFill>
            <w14:solidFill>
              <w14:schemeClr w14:val="tx1"/>
            </w14:solidFill>
          </w14:textFill>
        </w:rPr>
        <w:t>环境保护措施监督检查清单</w:t>
      </w:r>
      <w:bookmarkEnd w:id="18"/>
      <w:bookmarkEnd w:id="19"/>
      <w:bookmarkEnd w:id="20"/>
    </w:p>
    <w:tbl>
      <w:tblPr>
        <w:tblStyle w:val="35"/>
        <w:tblW w:w="885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1617"/>
        <w:gridCol w:w="1183"/>
        <w:gridCol w:w="2767"/>
        <w:gridCol w:w="2229"/>
      </w:tblGrid>
      <w:tr w14:paraId="3D16C3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57" w:type="dxa"/>
            <w:tcBorders>
              <w:tl2br w:val="single" w:color="auto" w:sz="4" w:space="0"/>
            </w:tcBorders>
          </w:tcPr>
          <w:p w14:paraId="381FE972">
            <w:pPr>
              <w:keepNext w:val="0"/>
              <w:keepLines w:val="0"/>
              <w:suppressLineNumbers w:val="0"/>
              <w:adjustRightInd w:val="0"/>
              <w:snapToGrid w:val="0"/>
              <w:spacing w:before="0" w:beforeAutospacing="0" w:after="0" w:afterAutospacing="0" w:line="240" w:lineRule="auto"/>
              <w:ind w:left="0" w:right="0"/>
              <w:jc w:val="right"/>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内容</w:t>
            </w:r>
          </w:p>
          <w:p w14:paraId="349F4EBE">
            <w:pPr>
              <w:keepNext w:val="0"/>
              <w:keepLines w:val="0"/>
              <w:suppressLineNumbers w:val="0"/>
              <w:adjustRightInd w:val="0"/>
              <w:snapToGrid w:val="0"/>
              <w:spacing w:before="0" w:beforeAutospacing="0" w:after="0" w:afterAutospacing="0" w:line="240" w:lineRule="auto"/>
              <w:ind w:left="0" w:right="0"/>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要素</w:t>
            </w:r>
          </w:p>
        </w:tc>
        <w:tc>
          <w:tcPr>
            <w:tcW w:w="1617" w:type="dxa"/>
            <w:vAlign w:val="center"/>
          </w:tcPr>
          <w:p w14:paraId="0FBEDB53">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排放口(编号、</w:t>
            </w:r>
          </w:p>
          <w:p w14:paraId="512B6AF6">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名称)/污染源</w:t>
            </w:r>
          </w:p>
        </w:tc>
        <w:tc>
          <w:tcPr>
            <w:tcW w:w="1183" w:type="dxa"/>
            <w:vAlign w:val="center"/>
          </w:tcPr>
          <w:p w14:paraId="7DD848F1">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污染物项目</w:t>
            </w:r>
          </w:p>
        </w:tc>
        <w:tc>
          <w:tcPr>
            <w:tcW w:w="2767" w:type="dxa"/>
            <w:vAlign w:val="center"/>
          </w:tcPr>
          <w:p w14:paraId="5A11ADA1">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环境保护措施</w:t>
            </w:r>
          </w:p>
        </w:tc>
        <w:tc>
          <w:tcPr>
            <w:tcW w:w="2229" w:type="dxa"/>
            <w:vAlign w:val="center"/>
          </w:tcPr>
          <w:p w14:paraId="68EA0BB6">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执行标准</w:t>
            </w:r>
          </w:p>
        </w:tc>
      </w:tr>
      <w:tr w14:paraId="210105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57" w:type="dxa"/>
            <w:vMerge w:val="restart"/>
            <w:vAlign w:val="center"/>
          </w:tcPr>
          <w:p w14:paraId="2D9CF82B">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大气</w:t>
            </w:r>
          </w:p>
          <w:p w14:paraId="74028267">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环境</w:t>
            </w:r>
          </w:p>
        </w:tc>
        <w:tc>
          <w:tcPr>
            <w:tcW w:w="1617" w:type="dxa"/>
            <w:vMerge w:val="restart"/>
            <w:vAlign w:val="center"/>
          </w:tcPr>
          <w:p w14:paraId="65E63B26">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热风炉</w:t>
            </w:r>
          </w:p>
        </w:tc>
        <w:tc>
          <w:tcPr>
            <w:tcW w:w="1183" w:type="dxa"/>
            <w:vAlign w:val="center"/>
          </w:tcPr>
          <w:p w14:paraId="6CED5B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sz w:val="24"/>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bidi="ar"/>
                <w14:textFill>
                  <w14:solidFill>
                    <w14:schemeClr w14:val="tx1"/>
                  </w14:solidFill>
                </w14:textFill>
              </w:rPr>
              <w:t>颗粒物</w:t>
            </w: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 xml:space="preserve"> </w:t>
            </w:r>
          </w:p>
        </w:tc>
        <w:tc>
          <w:tcPr>
            <w:tcW w:w="2767" w:type="dxa"/>
            <w:vMerge w:val="restart"/>
            <w:vAlign w:val="center"/>
          </w:tcPr>
          <w:p w14:paraId="7DA3B8EA">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布袋除尘器（效率</w:t>
            </w:r>
            <w:r>
              <w:rPr>
                <w:rFonts w:hint="default" w:ascii="Times New Roman" w:hAnsi="Times New Roman" w:cs="Times New Roman"/>
                <w:color w:val="000000" w:themeColor="text1"/>
                <w:sz w:val="24"/>
                <w:szCs w:val="24"/>
                <w:highlight w:val="none"/>
                <w:lang w:eastAsia="zh-CN"/>
                <w14:textFill>
                  <w14:solidFill>
                    <w14:schemeClr w14:val="tx1"/>
                  </w14:solidFill>
                </w14:textFill>
              </w:rPr>
              <w:t>99.5%</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15</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m高烟囱</w:t>
            </w:r>
          </w:p>
        </w:tc>
        <w:tc>
          <w:tcPr>
            <w:tcW w:w="2229" w:type="dxa"/>
            <w:vMerge w:val="restart"/>
            <w:vAlign w:val="center"/>
          </w:tcPr>
          <w:p w14:paraId="2061F27C">
            <w:pPr>
              <w:pStyle w:val="81"/>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《工业炉窑大气污染物排放标准》（GB9078-1996）表2中二级标准</w:t>
            </w:r>
          </w:p>
        </w:tc>
      </w:tr>
      <w:tr w14:paraId="3350C7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57" w:type="dxa"/>
            <w:vMerge w:val="continue"/>
            <w:vAlign w:val="center"/>
          </w:tcPr>
          <w:p w14:paraId="1051D701">
            <w:pPr>
              <w:keepNext w:val="0"/>
              <w:keepLines w:val="0"/>
              <w:suppressLineNumbers w:val="0"/>
              <w:adjustRightInd w:val="0"/>
              <w:snapToGrid w:val="0"/>
              <w:spacing w:before="0" w:beforeAutospacing="0" w:after="0" w:afterAutospacing="0" w:line="240" w:lineRule="auto"/>
              <w:ind w:left="0" w:right="0" w:firstLine="480" w:firstLineChars="20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p>
        </w:tc>
        <w:tc>
          <w:tcPr>
            <w:tcW w:w="1617" w:type="dxa"/>
            <w:vMerge w:val="continue"/>
            <w:vAlign w:val="center"/>
          </w:tcPr>
          <w:p w14:paraId="081F5DC2">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 w:val="24"/>
                <w:szCs w:val="24"/>
                <w:highlight w:val="none"/>
                <w14:textFill>
                  <w14:solidFill>
                    <w14:schemeClr w14:val="tx1"/>
                  </w14:solidFill>
                </w14:textFill>
              </w:rPr>
            </w:pPr>
          </w:p>
        </w:tc>
        <w:tc>
          <w:tcPr>
            <w:tcW w:w="1183" w:type="dxa"/>
            <w:vAlign w:val="center"/>
          </w:tcPr>
          <w:p w14:paraId="64C1EF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sz w:val="24"/>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烟气黑度</w:t>
            </w:r>
          </w:p>
        </w:tc>
        <w:tc>
          <w:tcPr>
            <w:tcW w:w="2767" w:type="dxa"/>
            <w:vMerge w:val="continue"/>
            <w:vAlign w:val="center"/>
          </w:tcPr>
          <w:p w14:paraId="35181BC0">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p>
        </w:tc>
        <w:tc>
          <w:tcPr>
            <w:tcW w:w="2229" w:type="dxa"/>
            <w:vMerge w:val="continue"/>
            <w:vAlign w:val="center"/>
          </w:tcPr>
          <w:p w14:paraId="11557B54">
            <w:pPr>
              <w:keepNext w:val="0"/>
              <w:keepLines w:val="0"/>
              <w:suppressLineNumbers w:val="0"/>
              <w:adjustRightInd w:val="0"/>
              <w:snapToGrid w:val="0"/>
              <w:spacing w:before="0" w:beforeAutospacing="0" w:after="0" w:afterAutospacing="0" w:line="240" w:lineRule="auto"/>
              <w:ind w:left="0" w:right="0" w:firstLine="480" w:firstLineChars="20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p>
        </w:tc>
      </w:tr>
      <w:tr w14:paraId="6C8063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57" w:type="dxa"/>
            <w:vMerge w:val="continue"/>
            <w:vAlign w:val="center"/>
          </w:tcPr>
          <w:p w14:paraId="72C21478">
            <w:pPr>
              <w:keepNext w:val="0"/>
              <w:keepLines w:val="0"/>
              <w:suppressLineNumbers w:val="0"/>
              <w:adjustRightInd w:val="0"/>
              <w:snapToGrid w:val="0"/>
              <w:spacing w:before="0" w:beforeAutospacing="0" w:after="0" w:afterAutospacing="0" w:line="240" w:lineRule="auto"/>
              <w:ind w:left="0" w:right="0" w:firstLine="480" w:firstLineChars="20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p>
        </w:tc>
        <w:tc>
          <w:tcPr>
            <w:tcW w:w="1617" w:type="dxa"/>
            <w:vMerge w:val="continue"/>
            <w:vAlign w:val="center"/>
          </w:tcPr>
          <w:p w14:paraId="68A71A28">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 w:val="24"/>
                <w:szCs w:val="24"/>
                <w:highlight w:val="none"/>
                <w14:textFill>
                  <w14:solidFill>
                    <w14:schemeClr w14:val="tx1"/>
                  </w14:solidFill>
                </w14:textFill>
              </w:rPr>
            </w:pPr>
          </w:p>
        </w:tc>
        <w:tc>
          <w:tcPr>
            <w:tcW w:w="1183" w:type="dxa"/>
            <w:vAlign w:val="center"/>
          </w:tcPr>
          <w:p w14:paraId="686162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sz w:val="24"/>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SO</w:t>
            </w:r>
            <w:r>
              <w:rPr>
                <w:rFonts w:hint="default" w:ascii="Times New Roman" w:hAnsi="Times New Roman" w:eastAsia="宋体" w:cs="Times New Roman"/>
                <w:color w:val="000000" w:themeColor="text1"/>
                <w:kern w:val="0"/>
                <w:sz w:val="24"/>
                <w:highlight w:val="none"/>
                <w:vertAlign w:val="subscript"/>
                <w:lang w:bidi="ar"/>
                <w14:textFill>
                  <w14:solidFill>
                    <w14:schemeClr w14:val="tx1"/>
                  </w14:solidFill>
                </w14:textFill>
              </w:rPr>
              <w:t>2</w:t>
            </w:r>
          </w:p>
        </w:tc>
        <w:tc>
          <w:tcPr>
            <w:tcW w:w="2767" w:type="dxa"/>
            <w:vMerge w:val="continue"/>
            <w:vAlign w:val="center"/>
          </w:tcPr>
          <w:p w14:paraId="0E9A9214">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p>
        </w:tc>
        <w:tc>
          <w:tcPr>
            <w:tcW w:w="2229" w:type="dxa"/>
            <w:vAlign w:val="center"/>
          </w:tcPr>
          <w:p w14:paraId="24227772">
            <w:pPr>
              <w:keepNext w:val="0"/>
              <w:keepLines w:val="0"/>
              <w:suppressLineNumbers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《工业炉窑大气污染物排放标准》（GB9078-1996）表4中二级标准</w:t>
            </w:r>
          </w:p>
        </w:tc>
      </w:tr>
      <w:tr w14:paraId="7CA7A6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57" w:type="dxa"/>
            <w:vMerge w:val="continue"/>
            <w:vAlign w:val="center"/>
          </w:tcPr>
          <w:p w14:paraId="6F07F8B2">
            <w:pPr>
              <w:keepNext w:val="0"/>
              <w:keepLines w:val="0"/>
              <w:widowControl/>
              <w:suppressLineNumbers w:val="0"/>
              <w:spacing w:before="0" w:beforeAutospacing="0" w:after="0" w:afterAutospacing="0" w:line="240" w:lineRule="auto"/>
              <w:ind w:left="0" w:right="0"/>
              <w:jc w:val="center"/>
              <w:textAlignment w:val="center"/>
              <w:rPr>
                <w:rFonts w:hint="default"/>
                <w:color w:val="000000" w:themeColor="text1"/>
                <w:highlight w:val="none"/>
                <w14:textFill>
                  <w14:solidFill>
                    <w14:schemeClr w14:val="tx1"/>
                  </w14:solidFill>
                </w14:textFill>
              </w:rPr>
            </w:pPr>
          </w:p>
        </w:tc>
        <w:tc>
          <w:tcPr>
            <w:tcW w:w="1617" w:type="dxa"/>
            <w:vMerge w:val="continue"/>
            <w:vAlign w:val="center"/>
          </w:tcPr>
          <w:p w14:paraId="00C3BA58">
            <w:pPr>
              <w:keepNext w:val="0"/>
              <w:keepLines w:val="0"/>
              <w:widowControl/>
              <w:suppressLineNumbers w:val="0"/>
              <w:spacing w:before="0" w:beforeAutospacing="0" w:after="0" w:afterAutospacing="0" w:line="240" w:lineRule="auto"/>
              <w:ind w:left="0" w:right="0"/>
              <w:jc w:val="center"/>
              <w:textAlignment w:val="center"/>
              <w:rPr>
                <w:rFonts w:hint="default"/>
                <w:color w:val="000000" w:themeColor="text1"/>
                <w:highlight w:val="none"/>
                <w14:textFill>
                  <w14:solidFill>
                    <w14:schemeClr w14:val="tx1"/>
                  </w14:solidFill>
                </w14:textFill>
              </w:rPr>
            </w:pPr>
          </w:p>
        </w:tc>
        <w:tc>
          <w:tcPr>
            <w:tcW w:w="1183" w:type="dxa"/>
            <w:vAlign w:val="center"/>
          </w:tcPr>
          <w:p w14:paraId="2026B1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sz w:val="24"/>
                <w:highlight w:val="none"/>
                <w:lang w:bidi="ar"/>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NO</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x</w:t>
            </w:r>
          </w:p>
        </w:tc>
        <w:tc>
          <w:tcPr>
            <w:tcW w:w="2767" w:type="dxa"/>
            <w:vMerge w:val="continue"/>
            <w:vAlign w:val="center"/>
          </w:tcPr>
          <w:p w14:paraId="36AFDD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sz w:val="24"/>
                <w:highlight w:val="none"/>
                <w:lang w:bidi="ar"/>
                <w14:textFill>
                  <w14:solidFill>
                    <w14:schemeClr w14:val="tx1"/>
                  </w14:solidFill>
                </w14:textFill>
              </w:rPr>
            </w:pPr>
          </w:p>
        </w:tc>
        <w:tc>
          <w:tcPr>
            <w:tcW w:w="2229" w:type="dxa"/>
            <w:vAlign w:val="center"/>
          </w:tcPr>
          <w:p w14:paraId="2DDF1BEA">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color w:val="000000" w:themeColor="text1"/>
                <w:kern w:val="0"/>
                <w:sz w:val="24"/>
                <w:highlight w:val="none"/>
                <w:lang w:val="en-US" w:eastAsia="zh-CN" w:bidi="ar"/>
                <w14:textFill>
                  <w14:solidFill>
                    <w14:schemeClr w14:val="tx1"/>
                  </w14:solidFill>
                </w14:textFill>
              </w:rPr>
            </w:pPr>
            <w:r>
              <w:rPr>
                <w:rFonts w:hint="eastAsia" w:cs="Times New Roman"/>
                <w:color w:val="000000" w:themeColor="text1"/>
                <w:kern w:val="0"/>
                <w:sz w:val="24"/>
                <w:highlight w:val="none"/>
                <w:lang w:val="en-US" w:eastAsia="zh-CN" w:bidi="ar"/>
                <w14:textFill>
                  <w14:solidFill>
                    <w14:schemeClr w14:val="tx1"/>
                  </w14:solidFill>
                </w14:textFill>
              </w:rPr>
              <w:t>/</w:t>
            </w:r>
          </w:p>
        </w:tc>
      </w:tr>
      <w:tr w14:paraId="7B3D70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57" w:type="dxa"/>
            <w:vMerge w:val="continue"/>
            <w:vAlign w:val="center"/>
          </w:tcPr>
          <w:p w14:paraId="2F0E7451">
            <w:pPr>
              <w:keepNext w:val="0"/>
              <w:keepLines w:val="0"/>
              <w:suppressLineNumbers w:val="0"/>
              <w:adjustRightInd w:val="0"/>
              <w:snapToGrid w:val="0"/>
              <w:spacing w:before="0" w:beforeAutospacing="0" w:after="0" w:afterAutospacing="0" w:line="240" w:lineRule="auto"/>
              <w:ind w:left="0" w:right="0" w:firstLine="480" w:firstLineChars="20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p>
        </w:tc>
        <w:tc>
          <w:tcPr>
            <w:tcW w:w="1617" w:type="dxa"/>
            <w:vAlign w:val="center"/>
          </w:tcPr>
          <w:p w14:paraId="5B1C06D3">
            <w:pPr>
              <w:pStyle w:val="58"/>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热风炉</w:t>
            </w:r>
            <w:r>
              <w:rPr>
                <w:rFonts w:hint="default" w:ascii="Times New Roman" w:hAnsi="Times New Roman" w:eastAsia="宋体" w:cs="Times New Roman"/>
                <w:color w:val="000000" w:themeColor="text1"/>
                <w:sz w:val="24"/>
                <w:szCs w:val="24"/>
                <w:highlight w:val="none"/>
                <w14:textFill>
                  <w14:solidFill>
                    <w14:schemeClr w14:val="tx1"/>
                  </w14:solidFill>
                </w14:textFill>
              </w:rPr>
              <w:t>房门窗处颗粒物</w:t>
            </w:r>
          </w:p>
        </w:tc>
        <w:tc>
          <w:tcPr>
            <w:tcW w:w="1183" w:type="dxa"/>
            <w:vAlign w:val="center"/>
          </w:tcPr>
          <w:p w14:paraId="0CBCAE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kern w:val="0"/>
                <w:sz w:val="24"/>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bidi="ar"/>
                <w14:textFill>
                  <w14:solidFill>
                    <w14:schemeClr w14:val="tx1"/>
                  </w14:solidFill>
                </w14:textFill>
              </w:rPr>
              <w:t>颗粒物</w:t>
            </w:r>
          </w:p>
        </w:tc>
        <w:tc>
          <w:tcPr>
            <w:tcW w:w="2767" w:type="dxa"/>
            <w:vAlign w:val="center"/>
          </w:tcPr>
          <w:p w14:paraId="59CD092F">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p>
        </w:tc>
        <w:tc>
          <w:tcPr>
            <w:tcW w:w="2229" w:type="dxa"/>
            <w:vAlign w:val="center"/>
          </w:tcPr>
          <w:p w14:paraId="4E681D6C">
            <w:pPr>
              <w:keepNext w:val="0"/>
              <w:keepLines w:val="0"/>
              <w:suppressLineNumbers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《工业炉窑大气污染物排放标准》（GB9078-1996）表</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中标准限值</w:t>
            </w:r>
          </w:p>
        </w:tc>
      </w:tr>
      <w:tr w14:paraId="1CEE00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7" w:type="dxa"/>
            <w:vMerge w:val="continue"/>
            <w:vAlign w:val="center"/>
          </w:tcPr>
          <w:p w14:paraId="742C4849">
            <w:pPr>
              <w:keepNext w:val="0"/>
              <w:keepLines w:val="0"/>
              <w:suppressLineNumbers w:val="0"/>
              <w:adjustRightInd w:val="0"/>
              <w:snapToGrid w:val="0"/>
              <w:spacing w:before="0" w:beforeAutospacing="0" w:after="0" w:afterAutospacing="0" w:line="240" w:lineRule="auto"/>
              <w:ind w:left="0" w:right="0" w:firstLine="480" w:firstLineChars="20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p>
        </w:tc>
        <w:tc>
          <w:tcPr>
            <w:tcW w:w="1617" w:type="dxa"/>
            <w:vAlign w:val="center"/>
          </w:tcPr>
          <w:p w14:paraId="40D5939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原粮卸粮</w:t>
            </w:r>
          </w:p>
        </w:tc>
        <w:tc>
          <w:tcPr>
            <w:tcW w:w="1183" w:type="dxa"/>
            <w:vAlign w:val="center"/>
          </w:tcPr>
          <w:p w14:paraId="4BA963A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颗粒物</w:t>
            </w:r>
          </w:p>
        </w:tc>
        <w:tc>
          <w:tcPr>
            <w:tcW w:w="2767" w:type="dxa"/>
            <w:vAlign w:val="center"/>
          </w:tcPr>
          <w:p w14:paraId="606A0D6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减小装卸高度</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、密闭输送</w:t>
            </w:r>
          </w:p>
        </w:tc>
        <w:tc>
          <w:tcPr>
            <w:tcW w:w="2229" w:type="dxa"/>
            <w:vMerge w:val="restart"/>
            <w:vAlign w:val="center"/>
          </w:tcPr>
          <w:p w14:paraId="15B34FC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《大气污染物综合排放标准》（GB16297-1996）表2无组织排放监控浓度限值标准</w:t>
            </w:r>
          </w:p>
        </w:tc>
      </w:tr>
      <w:tr w14:paraId="56CA90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7" w:type="dxa"/>
            <w:vMerge w:val="continue"/>
            <w:vAlign w:val="center"/>
          </w:tcPr>
          <w:p w14:paraId="2496741D">
            <w:pPr>
              <w:keepNext w:val="0"/>
              <w:keepLines w:val="0"/>
              <w:suppressLineNumbers w:val="0"/>
              <w:adjustRightInd w:val="0"/>
              <w:snapToGrid w:val="0"/>
              <w:spacing w:before="0" w:beforeAutospacing="0" w:after="0" w:afterAutospacing="0" w:line="240" w:lineRule="auto"/>
              <w:ind w:left="0" w:right="0" w:firstLine="480" w:firstLineChars="20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p>
        </w:tc>
        <w:tc>
          <w:tcPr>
            <w:tcW w:w="1617" w:type="dxa"/>
            <w:vAlign w:val="center"/>
          </w:tcPr>
          <w:p w14:paraId="092357B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原粮筛分</w:t>
            </w:r>
          </w:p>
        </w:tc>
        <w:tc>
          <w:tcPr>
            <w:tcW w:w="1183" w:type="dxa"/>
            <w:vAlign w:val="center"/>
          </w:tcPr>
          <w:p w14:paraId="6D913AE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颗粒物</w:t>
            </w:r>
          </w:p>
        </w:tc>
        <w:tc>
          <w:tcPr>
            <w:tcW w:w="2767" w:type="dxa"/>
            <w:vAlign w:val="center"/>
          </w:tcPr>
          <w:p w14:paraId="7BC7253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密闭设备</w:t>
            </w:r>
          </w:p>
        </w:tc>
        <w:tc>
          <w:tcPr>
            <w:tcW w:w="2229" w:type="dxa"/>
            <w:vMerge w:val="continue"/>
            <w:vAlign w:val="center"/>
          </w:tcPr>
          <w:p w14:paraId="0F14F1C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p>
        </w:tc>
      </w:tr>
      <w:tr w14:paraId="21BC4E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57" w:type="dxa"/>
            <w:vMerge w:val="continue"/>
            <w:vAlign w:val="center"/>
          </w:tcPr>
          <w:p w14:paraId="6BE7C879">
            <w:pPr>
              <w:keepNext w:val="0"/>
              <w:keepLines w:val="0"/>
              <w:suppressLineNumbers w:val="0"/>
              <w:adjustRightInd w:val="0"/>
              <w:snapToGrid w:val="0"/>
              <w:spacing w:before="0" w:beforeAutospacing="0" w:after="0" w:afterAutospacing="0" w:line="240" w:lineRule="auto"/>
              <w:ind w:left="0" w:right="0" w:firstLine="480" w:firstLineChars="20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p>
        </w:tc>
        <w:tc>
          <w:tcPr>
            <w:tcW w:w="1617" w:type="dxa"/>
            <w:vAlign w:val="center"/>
          </w:tcPr>
          <w:p w14:paraId="606EF2D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烘干塔</w:t>
            </w:r>
          </w:p>
        </w:tc>
        <w:tc>
          <w:tcPr>
            <w:tcW w:w="1183" w:type="dxa"/>
            <w:vAlign w:val="center"/>
          </w:tcPr>
          <w:p w14:paraId="7976832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颗粒物</w:t>
            </w:r>
          </w:p>
        </w:tc>
        <w:tc>
          <w:tcPr>
            <w:tcW w:w="2767" w:type="dxa"/>
            <w:vAlign w:val="center"/>
          </w:tcPr>
          <w:p w14:paraId="1E8B13C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烘干塔塔体两侧排气孔设置折流挡板，塔顶排气孔设滤尘网</w:t>
            </w:r>
          </w:p>
        </w:tc>
        <w:tc>
          <w:tcPr>
            <w:tcW w:w="2229" w:type="dxa"/>
            <w:vMerge w:val="continue"/>
            <w:vAlign w:val="center"/>
          </w:tcPr>
          <w:p w14:paraId="0B1F269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p>
        </w:tc>
      </w:tr>
      <w:tr w14:paraId="1D9203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57" w:type="dxa"/>
            <w:vMerge w:val="continue"/>
            <w:vAlign w:val="center"/>
          </w:tcPr>
          <w:p w14:paraId="7B86CE9F">
            <w:pPr>
              <w:keepNext w:val="0"/>
              <w:keepLines w:val="0"/>
              <w:suppressLineNumbers w:val="0"/>
              <w:adjustRightInd w:val="0"/>
              <w:snapToGrid w:val="0"/>
              <w:spacing w:before="0" w:beforeAutospacing="0" w:after="0" w:afterAutospacing="0" w:line="240" w:lineRule="auto"/>
              <w:ind w:left="0" w:right="0" w:firstLine="480" w:firstLineChars="20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p>
        </w:tc>
        <w:tc>
          <w:tcPr>
            <w:tcW w:w="1617" w:type="dxa"/>
            <w:vAlign w:val="center"/>
          </w:tcPr>
          <w:p w14:paraId="4F264A42">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晾晒场</w:t>
            </w:r>
          </w:p>
        </w:tc>
        <w:tc>
          <w:tcPr>
            <w:tcW w:w="1183" w:type="dxa"/>
            <w:vAlign w:val="center"/>
          </w:tcPr>
          <w:p w14:paraId="0697C41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颗粒物</w:t>
            </w:r>
          </w:p>
        </w:tc>
        <w:tc>
          <w:tcPr>
            <w:tcW w:w="2767" w:type="dxa"/>
            <w:vAlign w:val="center"/>
          </w:tcPr>
          <w:p w14:paraId="3CF3119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堆场地面进行硬化</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加盖苫布，设置防风抑尘网</w:t>
            </w:r>
          </w:p>
        </w:tc>
        <w:tc>
          <w:tcPr>
            <w:tcW w:w="2229" w:type="dxa"/>
            <w:vMerge w:val="continue"/>
            <w:vAlign w:val="center"/>
          </w:tcPr>
          <w:p w14:paraId="3B65950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p>
        </w:tc>
      </w:tr>
      <w:tr w14:paraId="1D4D0E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57" w:type="dxa"/>
            <w:vMerge w:val="continue"/>
            <w:vAlign w:val="center"/>
          </w:tcPr>
          <w:p w14:paraId="5371E6B5">
            <w:pPr>
              <w:keepNext w:val="0"/>
              <w:keepLines w:val="0"/>
              <w:suppressLineNumbers w:val="0"/>
              <w:adjustRightInd w:val="0"/>
              <w:snapToGrid w:val="0"/>
              <w:spacing w:before="0" w:beforeAutospacing="0" w:after="0" w:afterAutospacing="0" w:line="240" w:lineRule="auto"/>
              <w:ind w:left="0" w:right="0" w:firstLine="480" w:firstLineChars="20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p>
        </w:tc>
        <w:tc>
          <w:tcPr>
            <w:tcW w:w="1617" w:type="dxa"/>
            <w:vAlign w:val="center"/>
          </w:tcPr>
          <w:p w14:paraId="21272F3C">
            <w:pPr>
              <w:keepNext w:val="0"/>
              <w:keepLines w:val="0"/>
              <w:suppressLineNumbers w:val="0"/>
              <w:spacing w:before="0" w:beforeAutospacing="0" w:after="0" w:afterAutospacing="0" w:line="240" w:lineRule="auto"/>
              <w:ind w:left="0" w:right="0"/>
              <w:jc w:val="center"/>
              <w:rPr>
                <w:rFonts w:hint="eastAsia"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燃料储存</w:t>
            </w:r>
          </w:p>
        </w:tc>
        <w:tc>
          <w:tcPr>
            <w:tcW w:w="1183" w:type="dxa"/>
            <w:vAlign w:val="center"/>
          </w:tcPr>
          <w:p w14:paraId="300F6BC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颗粒物</w:t>
            </w:r>
          </w:p>
        </w:tc>
        <w:tc>
          <w:tcPr>
            <w:tcW w:w="2767" w:type="dxa"/>
            <w:vAlign w:val="center"/>
          </w:tcPr>
          <w:p w14:paraId="2D48B16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全封闭</w:t>
            </w:r>
            <w:r>
              <w:rPr>
                <w:rFonts w:hint="eastAsia" w:cs="Times New Roman"/>
                <w:color w:val="000000" w:themeColor="text1"/>
                <w:sz w:val="24"/>
                <w:highlight w:val="none"/>
                <w:lang w:val="en-US" w:eastAsia="zh-CN"/>
                <w14:textFill>
                  <w14:solidFill>
                    <w14:schemeClr w14:val="tx1"/>
                  </w14:solidFill>
                </w14:textFill>
              </w:rPr>
              <w:t>燃料间</w:t>
            </w:r>
          </w:p>
        </w:tc>
        <w:tc>
          <w:tcPr>
            <w:tcW w:w="2229" w:type="dxa"/>
            <w:vMerge w:val="continue"/>
            <w:vAlign w:val="center"/>
          </w:tcPr>
          <w:p w14:paraId="43F931F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p>
        </w:tc>
      </w:tr>
      <w:tr w14:paraId="16E092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57" w:type="dxa"/>
            <w:vMerge w:val="continue"/>
            <w:vAlign w:val="center"/>
          </w:tcPr>
          <w:p w14:paraId="7DF1D442">
            <w:pPr>
              <w:keepNext w:val="0"/>
              <w:keepLines w:val="0"/>
              <w:suppressLineNumbers w:val="0"/>
              <w:adjustRightInd w:val="0"/>
              <w:snapToGrid w:val="0"/>
              <w:spacing w:before="0" w:beforeAutospacing="0" w:after="0" w:afterAutospacing="0" w:line="240" w:lineRule="auto"/>
              <w:ind w:left="0" w:right="0" w:firstLine="480" w:firstLineChars="20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p>
        </w:tc>
        <w:tc>
          <w:tcPr>
            <w:tcW w:w="1617" w:type="dxa"/>
            <w:vAlign w:val="center"/>
          </w:tcPr>
          <w:p w14:paraId="14841F63">
            <w:pPr>
              <w:keepNext w:val="0"/>
              <w:keepLines w:val="0"/>
              <w:suppressLineNumbers w:val="0"/>
              <w:spacing w:before="0" w:beforeAutospacing="0" w:after="0" w:afterAutospacing="0" w:line="240" w:lineRule="auto"/>
              <w:ind w:left="0" w:right="0"/>
              <w:jc w:val="center"/>
              <w:rPr>
                <w:rFonts w:hint="eastAsia"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灰渣储存转运</w:t>
            </w:r>
          </w:p>
        </w:tc>
        <w:tc>
          <w:tcPr>
            <w:tcW w:w="1183" w:type="dxa"/>
            <w:vAlign w:val="center"/>
          </w:tcPr>
          <w:p w14:paraId="138EF2B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颗粒物</w:t>
            </w:r>
          </w:p>
        </w:tc>
        <w:tc>
          <w:tcPr>
            <w:tcW w:w="2767" w:type="dxa"/>
            <w:vAlign w:val="center"/>
          </w:tcPr>
          <w:p w14:paraId="3A90898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全封闭灰渣储存间，封闭汽车外运</w:t>
            </w:r>
          </w:p>
        </w:tc>
        <w:tc>
          <w:tcPr>
            <w:tcW w:w="2229" w:type="dxa"/>
            <w:vMerge w:val="continue"/>
            <w:vAlign w:val="center"/>
          </w:tcPr>
          <w:p w14:paraId="57EAC6D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p>
        </w:tc>
      </w:tr>
      <w:tr w14:paraId="4C8DFC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57" w:type="dxa"/>
            <w:vAlign w:val="center"/>
          </w:tcPr>
          <w:p w14:paraId="674D47B2">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地表水环境</w:t>
            </w:r>
          </w:p>
        </w:tc>
        <w:tc>
          <w:tcPr>
            <w:tcW w:w="1617" w:type="dxa"/>
            <w:vAlign w:val="center"/>
          </w:tcPr>
          <w:p w14:paraId="6B79CE2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生活污水</w:t>
            </w:r>
          </w:p>
        </w:tc>
        <w:tc>
          <w:tcPr>
            <w:tcW w:w="1183" w:type="dxa"/>
            <w:vAlign w:val="center"/>
          </w:tcPr>
          <w:p w14:paraId="03A1496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COD、氨氮</w:t>
            </w:r>
          </w:p>
        </w:tc>
        <w:tc>
          <w:tcPr>
            <w:tcW w:w="2767" w:type="dxa"/>
            <w:vAlign w:val="center"/>
          </w:tcPr>
          <w:p w14:paraId="0FFD176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排入</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防渗旱厕</w:t>
            </w:r>
            <w:r>
              <w:rPr>
                <w:rFonts w:hint="default" w:ascii="Times New Roman" w:hAnsi="Times New Roman" w:eastAsia="宋体" w:cs="Times New Roman"/>
                <w:color w:val="000000" w:themeColor="text1"/>
                <w:sz w:val="24"/>
                <w:highlight w:val="none"/>
                <w14:textFill>
                  <w14:solidFill>
                    <w14:schemeClr w14:val="tx1"/>
                  </w14:solidFill>
                </w14:textFill>
              </w:rPr>
              <w:t>，定期清掏</w:t>
            </w:r>
          </w:p>
        </w:tc>
        <w:tc>
          <w:tcPr>
            <w:tcW w:w="2229" w:type="dxa"/>
            <w:vAlign w:val="center"/>
          </w:tcPr>
          <w:p w14:paraId="0577156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不外排</w:t>
            </w:r>
          </w:p>
        </w:tc>
      </w:tr>
      <w:tr w14:paraId="5DB989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57" w:type="dxa"/>
            <w:vAlign w:val="center"/>
          </w:tcPr>
          <w:p w14:paraId="7804E707">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声环境</w:t>
            </w:r>
          </w:p>
        </w:tc>
        <w:tc>
          <w:tcPr>
            <w:tcW w:w="1617" w:type="dxa"/>
            <w:vAlign w:val="center"/>
          </w:tcPr>
          <w:p w14:paraId="48216E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设备</w:t>
            </w:r>
          </w:p>
        </w:tc>
        <w:tc>
          <w:tcPr>
            <w:tcW w:w="1183" w:type="dxa"/>
            <w:vAlign w:val="center"/>
          </w:tcPr>
          <w:p w14:paraId="5F82CC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噪声</w:t>
            </w:r>
          </w:p>
        </w:tc>
        <w:tc>
          <w:tcPr>
            <w:tcW w:w="2767" w:type="dxa"/>
            <w:vAlign w:val="center"/>
          </w:tcPr>
          <w:p w14:paraId="05AF1C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低噪声设备、隔声、减振</w:t>
            </w:r>
          </w:p>
        </w:tc>
        <w:tc>
          <w:tcPr>
            <w:tcW w:w="2229" w:type="dxa"/>
            <w:vAlign w:val="center"/>
          </w:tcPr>
          <w:p w14:paraId="390928C6">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《工业企业厂界环境噪声排放标准》（GB12348-2008）中2类标准</w:t>
            </w:r>
          </w:p>
        </w:tc>
      </w:tr>
      <w:tr w14:paraId="765FAD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57" w:type="dxa"/>
            <w:vAlign w:val="center"/>
          </w:tcPr>
          <w:p w14:paraId="5502DB05">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电磁辐射</w:t>
            </w:r>
          </w:p>
        </w:tc>
        <w:tc>
          <w:tcPr>
            <w:tcW w:w="1617" w:type="dxa"/>
            <w:vAlign w:val="center"/>
          </w:tcPr>
          <w:p w14:paraId="2D64A920">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w:t>
            </w:r>
          </w:p>
        </w:tc>
        <w:tc>
          <w:tcPr>
            <w:tcW w:w="1183" w:type="dxa"/>
            <w:vAlign w:val="center"/>
          </w:tcPr>
          <w:p w14:paraId="01FA0F4E">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w:t>
            </w:r>
          </w:p>
        </w:tc>
        <w:tc>
          <w:tcPr>
            <w:tcW w:w="2767" w:type="dxa"/>
            <w:vAlign w:val="center"/>
          </w:tcPr>
          <w:p w14:paraId="5A716441">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w:t>
            </w:r>
          </w:p>
        </w:tc>
        <w:tc>
          <w:tcPr>
            <w:tcW w:w="2229" w:type="dxa"/>
            <w:vAlign w:val="center"/>
          </w:tcPr>
          <w:p w14:paraId="2FAD13BC">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w:t>
            </w:r>
          </w:p>
        </w:tc>
      </w:tr>
      <w:tr w14:paraId="78B88D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057" w:type="dxa"/>
            <w:vAlign w:val="center"/>
          </w:tcPr>
          <w:p w14:paraId="7F293272">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固体废物</w:t>
            </w:r>
          </w:p>
        </w:tc>
        <w:tc>
          <w:tcPr>
            <w:tcW w:w="7796" w:type="dxa"/>
            <w:gridSpan w:val="4"/>
            <w:vAlign w:val="center"/>
          </w:tcPr>
          <w:p w14:paraId="0A78433E">
            <w:pPr>
              <w:pStyle w:val="56"/>
              <w:keepNext w:val="0"/>
              <w:keepLines w:val="0"/>
              <w:suppressLineNumbers w:val="0"/>
              <w:spacing w:before="0" w:beforeAutospacing="0" w:after="0" w:afterAutospacing="0" w:line="240" w:lineRule="auto"/>
              <w:ind w:left="0" w:right="0" w:firstLine="480"/>
              <w:rPr>
                <w:rFonts w:hint="default" w:ascii="Times New Roman" w:hAnsi="Times New Roman" w:eastAsia="宋体" w:cs="Times New Roman"/>
                <w:color w:val="000000" w:themeColor="text1"/>
                <w:szCs w:val="24"/>
                <w:highlight w:val="none"/>
                <w:lang w:val="en-US"/>
                <w14:textFill>
                  <w14:solidFill>
                    <w14:schemeClr w14:val="tx1"/>
                  </w14:solidFill>
                </w14:textFill>
              </w:rPr>
            </w:pP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生活垃圾</w:t>
            </w:r>
            <w:r>
              <w:rPr>
                <w:rFonts w:hint="default" w:ascii="Times New Roman" w:hAnsi="Times New Roman" w:eastAsia="宋体" w:cs="Times New Roman"/>
                <w:color w:val="000000" w:themeColor="text1"/>
                <w:szCs w:val="24"/>
                <w:highlight w:val="none"/>
                <w:lang w:val="en-US"/>
                <w14:textFill>
                  <w14:solidFill>
                    <w14:schemeClr w14:val="tx1"/>
                  </w14:solidFill>
                </w14:textFill>
              </w:rPr>
              <w:t>集中收集后，</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交由环卫部门统一清运处理。杂质、热风炉灰渣、热风炉除尘系统收尘、烘干塔除尘系统收尘及筛分粉尘，装袋后统一收集暂存于灰渣间中，定期外售综合利用。废布袋集中收集后，由厂家定期回收。维修保养时产生的废润滑油及废润滑油油桶</w:t>
            </w:r>
            <w:r>
              <w:rPr>
                <w:rFonts w:hint="eastAsia" w:cs="Times New Roman"/>
                <w:color w:val="000000" w:themeColor="text1"/>
                <w:szCs w:val="24"/>
                <w:highlight w:val="none"/>
                <w:lang w:val="en-US" w:eastAsia="zh-CN"/>
                <w14:textFill>
                  <w14:solidFill>
                    <w14:schemeClr w14:val="tx1"/>
                  </w14:solidFill>
                </w14:textFill>
              </w:rPr>
              <w:t>、含油抹布及手套</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，集中收集定期交由有资质的单位处理。</w:t>
            </w:r>
          </w:p>
        </w:tc>
      </w:tr>
      <w:tr w14:paraId="4DDA26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057" w:type="dxa"/>
            <w:vAlign w:val="center"/>
          </w:tcPr>
          <w:p w14:paraId="226128B7">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土壤及地下水污染防治措施</w:t>
            </w:r>
          </w:p>
        </w:tc>
        <w:tc>
          <w:tcPr>
            <w:tcW w:w="7796" w:type="dxa"/>
            <w:gridSpan w:val="4"/>
            <w:vAlign w:val="center"/>
          </w:tcPr>
          <w:p w14:paraId="27746D9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w:t>
            </w:r>
          </w:p>
        </w:tc>
      </w:tr>
      <w:tr w14:paraId="2B5ABB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057" w:type="dxa"/>
            <w:vAlign w:val="center"/>
          </w:tcPr>
          <w:p w14:paraId="7BED148C">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生态保护措施</w:t>
            </w:r>
          </w:p>
        </w:tc>
        <w:tc>
          <w:tcPr>
            <w:tcW w:w="7796" w:type="dxa"/>
            <w:gridSpan w:val="4"/>
            <w:vAlign w:val="center"/>
          </w:tcPr>
          <w:p w14:paraId="6D63554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w:t>
            </w:r>
          </w:p>
        </w:tc>
      </w:tr>
      <w:tr w14:paraId="608E87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057" w:type="dxa"/>
            <w:vAlign w:val="center"/>
          </w:tcPr>
          <w:p w14:paraId="0AAA8E7C">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环境风险防范措施</w:t>
            </w:r>
          </w:p>
        </w:tc>
        <w:tc>
          <w:tcPr>
            <w:tcW w:w="7796" w:type="dxa"/>
            <w:gridSpan w:val="4"/>
            <w:vAlign w:val="center"/>
          </w:tcPr>
          <w:p w14:paraId="0532D0F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危险废物贮存库</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为重点防渗区，采用基础防渗层为至少1m厚粘土层（渗透系数K≤10-7cm/s）或2mm厚高密度聚乙烯或至少2mm厚的其他人工材料（渗透系数K≤10</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-10</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cm/s）；化粪池为一般防渗区，池体基础防渗，防渗层为至少1m厚粘土层或2mm厚高密度聚乙烯，需满足等效黏土防渗层Mb≥1.5m，K≤1×10</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-7</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cm/s的要求。本项目其他建筑物及厂内道路采用简单防渗，简单防渗区采用水泥进行硬化。</w:t>
            </w:r>
          </w:p>
        </w:tc>
      </w:tr>
      <w:tr w14:paraId="09DA34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057" w:type="dxa"/>
            <w:vAlign w:val="center"/>
          </w:tcPr>
          <w:p w14:paraId="62106787">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其他环境管理要求</w:t>
            </w:r>
          </w:p>
        </w:tc>
        <w:tc>
          <w:tcPr>
            <w:tcW w:w="7796" w:type="dxa"/>
            <w:gridSpan w:val="4"/>
            <w:vAlign w:val="center"/>
          </w:tcPr>
          <w:p w14:paraId="149302AD">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pacing w:val="0"/>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①根据《关于做好环境影响评价制度与排污许可制衔接相关工作的通知》（环办环评[2017]84号），建设项目发生实际排污行为之前，排污单位应当按照国家环境保护相关法律法规以及排污许可证申请与核发技术规范要求申请排污许可证，不得无证排污或不按证排污。环境影响报告书（表）2015年1月1日（含）后获得批准的建设项目，其环境影响报告书（表）以及审批文件中与污染物排放相关的主要内容应当纳入排污许可证。为此，下阶段应将项目建设内容、产品方案、建设规模，采用的工艺流程、工艺技术方案，污染预防和清洁生产措施，环保设施和治理措施，各类污染物排放总量，在线监测和自主监测要求，环境安全防范措施，环境应急体系和应急设施等，全部按装置、设施载入排污许可证。企业在设计，建设和运营过程中，需按照许可证管理要求进行监测和申报，自证守法；许可证内容发生变更应进行申报，重大变更应重新环评和申请许可证变更。环保管理部门对许可证内容进行定期和不定期的监督核查。</w:t>
            </w:r>
          </w:p>
          <w:p w14:paraId="6330E3A0">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pacing w:val="0"/>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本项目应在环评文件审批后，根据《固定污染源排污许可分类管理名录（2019年版）》实行简化管理，按照简化管理要求申领排污许可证。</w:t>
            </w:r>
          </w:p>
          <w:p w14:paraId="1913F657">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bCs/>
                <w:color w:val="000000" w:themeColor="text1"/>
                <w:spacing w:val="0"/>
                <w:sz w:val="24"/>
                <w:highlight w:val="none"/>
                <w14:textFill>
                  <w14:solidFill>
                    <w14:schemeClr w14:val="tx1"/>
                  </w14:solidFill>
                </w14:textFill>
              </w:rPr>
              <w:t>②工作区内需指定专门的人员，在本项目实施时严格执行“三同时”制度，保证项目运营时三废均能得到有效处理后达标排放。在日常生产中，应加强环保管理，大力推行清洁生产，并加强职工对污染要“以防为主，防治结合”的认识。另外，应加强对设备运行状况的检查，对三废处理装置要定期检修，以确保污染物达标排放。按照相关要求，对排污口进行规范化管理，在正确的排放点位设置标识，以便进行自主验收和规范化管理。</w:t>
            </w:r>
            <w:r>
              <w:rPr>
                <w:rFonts w:hint="eastAsia" w:ascii="Times New Roman" w:hAnsi="Times New Roman" w:eastAsia="宋体" w:cs="Times New Roman"/>
                <w:bCs/>
                <w:color w:val="000000" w:themeColor="text1"/>
                <w:spacing w:val="0"/>
                <w:sz w:val="24"/>
                <w:highlight w:val="none"/>
                <w:lang w:val="en-US" w:eastAsia="zh-CN"/>
                <w14:textFill>
                  <w14:solidFill>
                    <w14:schemeClr w14:val="tx1"/>
                  </w14:solidFill>
                </w14:textFill>
              </w:rPr>
              <w:t xml:space="preserve">             </w:t>
            </w:r>
          </w:p>
        </w:tc>
      </w:tr>
    </w:tbl>
    <w:p w14:paraId="54BDB792">
      <w:pPr>
        <w:pStyle w:val="29"/>
        <w:jc w:val="center"/>
        <w:outlineLvl w:val="0"/>
        <w:rPr>
          <w:rFonts w:hint="default" w:ascii="Times New Roman" w:hAnsi="Times New Roman" w:eastAsia="宋体" w:cs="Times New Roman"/>
          <w:snapToGrid w:val="0"/>
          <w:color w:val="000000" w:themeColor="text1"/>
          <w:sz w:val="30"/>
          <w:szCs w:val="30"/>
          <w:highlight w:val="none"/>
          <w14:textFill>
            <w14:solidFill>
              <w14:schemeClr w14:val="tx1"/>
            </w14:solidFill>
          </w14:textFill>
        </w:rPr>
      </w:pPr>
      <w:r>
        <w:rPr>
          <w:rFonts w:hint="default" w:ascii="Times New Roman" w:hAnsi="Times New Roman" w:eastAsia="宋体" w:cs="Times New Roman"/>
          <w:snapToGrid w:val="0"/>
          <w:color w:val="000000" w:themeColor="text1"/>
          <w:highlight w:val="none"/>
          <w14:textFill>
            <w14:solidFill>
              <w14:schemeClr w14:val="tx1"/>
            </w14:solidFill>
          </w14:textFill>
        </w:rPr>
        <w:br w:type="page"/>
      </w:r>
      <w:bookmarkStart w:id="21" w:name="_Toc32058"/>
      <w:bookmarkStart w:id="22" w:name="_Toc7756"/>
      <w:r>
        <w:rPr>
          <w:rFonts w:hint="default" w:ascii="Times New Roman" w:hAnsi="Times New Roman" w:eastAsia="宋体" w:cs="Times New Roman"/>
          <w:snapToGrid w:val="0"/>
          <w:color w:val="000000" w:themeColor="text1"/>
          <w:sz w:val="30"/>
          <w:szCs w:val="30"/>
          <w:highlight w:val="none"/>
          <w14:textFill>
            <w14:solidFill>
              <w14:schemeClr w14:val="tx1"/>
            </w14:solidFill>
          </w14:textFill>
        </w:rPr>
        <w:t>六、结论</w:t>
      </w:r>
      <w:bookmarkEnd w:id="21"/>
      <w:bookmarkEnd w:id="22"/>
    </w:p>
    <w:tbl>
      <w:tblPr>
        <w:tblStyle w:val="35"/>
        <w:tblW w:w="88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10053D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14:paraId="5AFF194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项目符合国家产业政策要求，符合</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鸡西</w:t>
            </w:r>
            <w:r>
              <w:rPr>
                <w:rFonts w:hint="default" w:ascii="Times New Roman" w:hAnsi="Times New Roman" w:eastAsia="宋体" w:cs="Times New Roman"/>
                <w:color w:val="000000" w:themeColor="text1"/>
                <w:sz w:val="24"/>
                <w:highlight w:val="none"/>
                <w14:textFill>
                  <w14:solidFill>
                    <w14:schemeClr w14:val="tx1"/>
                  </w14:solidFill>
                </w14:textFill>
              </w:rPr>
              <w:t>市“三线一单”及其他环保政策相关规定，</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选址合理，</w:t>
            </w:r>
            <w:r>
              <w:rPr>
                <w:rFonts w:hint="default" w:ascii="Times New Roman" w:hAnsi="Times New Roman" w:eastAsia="宋体" w:cs="Times New Roman"/>
                <w:color w:val="000000" w:themeColor="text1"/>
                <w:sz w:val="24"/>
                <w:highlight w:val="none"/>
                <w14:textFill>
                  <w14:solidFill>
                    <w14:schemeClr w14:val="tx1"/>
                  </w14:solidFill>
                </w14:textFill>
              </w:rPr>
              <w:t>污染防治措施合理有效，污染物能够达标排放，对周围环境影响较小。在采纳本报告表所提出的污染治理，并在各种污染治理措施落实良好的前提下，从环保角度</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考虑</w:t>
            </w:r>
            <w:r>
              <w:rPr>
                <w:rFonts w:hint="default" w:ascii="Times New Roman" w:hAnsi="Times New Roman" w:eastAsia="宋体" w:cs="Times New Roman"/>
                <w:color w:val="000000" w:themeColor="text1"/>
                <w:sz w:val="24"/>
                <w:highlight w:val="none"/>
                <w14:textFill>
                  <w14:solidFill>
                    <w14:schemeClr w14:val="tx1"/>
                  </w14:solidFill>
                </w14:textFill>
              </w:rPr>
              <w:t>，本项目建设可行。</w:t>
            </w:r>
          </w:p>
          <w:p w14:paraId="1A8C8B3A">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4"/>
                <w:highlight w:val="none"/>
                <w14:textFill>
                  <w14:solidFill>
                    <w14:schemeClr w14:val="tx1"/>
                  </w14:solidFill>
                </w14:textFill>
              </w:rPr>
            </w:pPr>
          </w:p>
        </w:tc>
      </w:tr>
    </w:tbl>
    <w:p w14:paraId="544C83EA">
      <w:pPr>
        <w:rPr>
          <w:rFonts w:hint="default" w:ascii="Times New Roman" w:hAnsi="Times New Roman" w:eastAsia="宋体" w:cs="Times New Roman"/>
          <w:color w:val="000000" w:themeColor="text1"/>
          <w:highlight w:val="none"/>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3DCADE6B">
      <w:pPr>
        <w:pStyle w:val="29"/>
        <w:adjustRightInd w:val="0"/>
        <w:snapToGrid w:val="0"/>
        <w:spacing w:before="0" w:beforeAutospacing="0" w:after="0" w:afterAutospacing="0"/>
        <w:outlineLvl w:val="0"/>
        <w:rPr>
          <w:rFonts w:hint="default" w:ascii="Times New Roman" w:hAnsi="Times New Roman" w:eastAsia="宋体" w:cs="Times New Roman"/>
          <w:snapToGrid w:val="0"/>
          <w:color w:val="000000" w:themeColor="text1"/>
          <w:sz w:val="32"/>
          <w:szCs w:val="32"/>
          <w:highlight w:val="none"/>
          <w14:textFill>
            <w14:solidFill>
              <w14:schemeClr w14:val="tx1"/>
            </w14:solidFill>
          </w14:textFill>
        </w:rPr>
      </w:pPr>
      <w:bookmarkStart w:id="23" w:name="_Toc19871"/>
      <w:bookmarkStart w:id="24" w:name="_Toc18257"/>
      <w:r>
        <w:rPr>
          <w:rFonts w:hint="default" w:ascii="Times New Roman" w:hAnsi="Times New Roman" w:eastAsia="宋体" w:cs="Times New Roman"/>
          <w:snapToGrid w:val="0"/>
          <w:color w:val="000000" w:themeColor="text1"/>
          <w:sz w:val="32"/>
          <w:szCs w:val="32"/>
          <w:highlight w:val="none"/>
          <w14:textFill>
            <w14:solidFill>
              <w14:schemeClr w14:val="tx1"/>
            </w14:solidFill>
          </w14:textFill>
        </w:rPr>
        <w:t>附表</w:t>
      </w:r>
      <w:bookmarkEnd w:id="23"/>
      <w:bookmarkEnd w:id="24"/>
    </w:p>
    <w:p w14:paraId="27D0C119">
      <w:pPr>
        <w:pStyle w:val="29"/>
        <w:adjustRightInd w:val="0"/>
        <w:snapToGrid w:val="0"/>
        <w:spacing w:before="0" w:beforeAutospacing="0" w:after="0" w:afterAutospacing="0"/>
        <w:jc w:val="center"/>
        <w:outlineLvl w:val="0"/>
        <w:rPr>
          <w:rFonts w:hint="default" w:ascii="Times New Roman" w:hAnsi="Times New Roman" w:eastAsia="宋体" w:cs="Times New Roman"/>
          <w:snapToGrid w:val="0"/>
          <w:color w:val="000000" w:themeColor="text1"/>
          <w:sz w:val="38"/>
          <w:szCs w:val="38"/>
          <w:highlight w:val="none"/>
          <w14:textFill>
            <w14:solidFill>
              <w14:schemeClr w14:val="tx1"/>
            </w14:solidFill>
          </w14:textFill>
        </w:rPr>
      </w:pPr>
      <w:bookmarkStart w:id="25" w:name="_Toc15701"/>
      <w:bookmarkStart w:id="26" w:name="_Toc29567"/>
      <w:bookmarkStart w:id="27" w:name="_Toc18819"/>
      <w:r>
        <w:rPr>
          <w:rFonts w:hint="default" w:ascii="Times New Roman" w:hAnsi="Times New Roman" w:eastAsia="宋体" w:cs="Times New Roman"/>
          <w:snapToGrid w:val="0"/>
          <w:color w:val="000000" w:themeColor="text1"/>
          <w:sz w:val="38"/>
          <w:szCs w:val="38"/>
          <w:highlight w:val="none"/>
          <w14:textFill>
            <w14:solidFill>
              <w14:schemeClr w14:val="tx1"/>
            </w14:solidFill>
          </w14:textFill>
        </w:rPr>
        <w:t>建设项目污染物排放量汇总表</w:t>
      </w:r>
      <w:bookmarkEnd w:id="25"/>
      <w:bookmarkEnd w:id="26"/>
      <w:bookmarkEnd w:id="27"/>
    </w:p>
    <w:tbl>
      <w:tblPr>
        <w:tblStyle w:val="35"/>
        <w:tblW w:w="1383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98"/>
        <w:gridCol w:w="2112"/>
        <w:gridCol w:w="1794"/>
        <w:gridCol w:w="1881"/>
        <w:gridCol w:w="1724"/>
        <w:gridCol w:w="1947"/>
        <w:gridCol w:w="1632"/>
        <w:gridCol w:w="1447"/>
      </w:tblGrid>
      <w:tr w14:paraId="2F3042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98" w:type="dxa"/>
            <w:tcBorders>
              <w:tl2br w:val="single" w:color="auto" w:sz="4" w:space="0"/>
            </w:tcBorders>
            <w:tcMar>
              <w:left w:w="28" w:type="dxa"/>
              <w:right w:w="28" w:type="dxa"/>
            </w:tcMar>
            <w:vAlign w:val="center"/>
          </w:tcPr>
          <w:p w14:paraId="73B4488E">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t>项目</w:t>
            </w:r>
          </w:p>
          <w:p w14:paraId="4A18F1F0">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t>分类</w:t>
            </w:r>
          </w:p>
        </w:tc>
        <w:tc>
          <w:tcPr>
            <w:tcW w:w="2112" w:type="dxa"/>
            <w:tcMar>
              <w:left w:w="28" w:type="dxa"/>
              <w:right w:w="28" w:type="dxa"/>
            </w:tcMar>
            <w:vAlign w:val="center"/>
          </w:tcPr>
          <w:p w14:paraId="6A5561C8">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t>污染物名称</w:t>
            </w:r>
          </w:p>
        </w:tc>
        <w:tc>
          <w:tcPr>
            <w:tcW w:w="1794" w:type="dxa"/>
            <w:tcMar>
              <w:left w:w="28" w:type="dxa"/>
              <w:right w:w="28" w:type="dxa"/>
            </w:tcMar>
            <w:vAlign w:val="center"/>
          </w:tcPr>
          <w:p w14:paraId="78D10981">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t>现有工程</w:t>
            </w:r>
          </w:p>
          <w:p w14:paraId="747CE51C">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t>排放量（固体废物产生量）</w: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instrText xml:space="preserve"> = 1 \* GB3 \* MERGEFORMAT </w:instrTex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2"/>
                <w:szCs w:val="21"/>
                <w:highlight w:val="none"/>
                <w14:textFill>
                  <w14:solidFill>
                    <w14:schemeClr w14:val="tx1"/>
                  </w14:solidFill>
                </w14:textFill>
              </w:rPr>
              <w:t>①</w: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end"/>
            </w:r>
          </w:p>
        </w:tc>
        <w:tc>
          <w:tcPr>
            <w:tcW w:w="1881" w:type="dxa"/>
            <w:tcMar>
              <w:left w:w="28" w:type="dxa"/>
              <w:right w:w="28" w:type="dxa"/>
            </w:tcMar>
            <w:vAlign w:val="center"/>
          </w:tcPr>
          <w:p w14:paraId="4A864644">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t>在建工程</w:t>
            </w:r>
          </w:p>
          <w:p w14:paraId="03C8D341">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t>排放量（固体废物产生量）</w: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instrText xml:space="preserve"> = 3 \* GB3 \* MERGEFORMAT </w:instrTex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2"/>
                <w:szCs w:val="21"/>
                <w:highlight w:val="none"/>
                <w14:textFill>
                  <w14:solidFill>
                    <w14:schemeClr w14:val="tx1"/>
                  </w14:solidFill>
                </w14:textFill>
              </w:rPr>
              <w:t>③</w: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end"/>
            </w:r>
          </w:p>
        </w:tc>
        <w:tc>
          <w:tcPr>
            <w:tcW w:w="1724" w:type="dxa"/>
            <w:tcMar>
              <w:left w:w="28" w:type="dxa"/>
              <w:right w:w="28" w:type="dxa"/>
            </w:tcMar>
            <w:vAlign w:val="center"/>
          </w:tcPr>
          <w:p w14:paraId="1DE99F8B">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t>本项目</w:t>
            </w:r>
          </w:p>
          <w:p w14:paraId="5CE31E5E">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t>排放量（固体废物产生量）</w: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instrText xml:space="preserve"> = 4 \* GB3 \* MERGEFORMAT </w:instrTex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2"/>
                <w:szCs w:val="21"/>
                <w:highlight w:val="none"/>
                <w14:textFill>
                  <w14:solidFill>
                    <w14:schemeClr w14:val="tx1"/>
                  </w14:solidFill>
                </w14:textFill>
              </w:rPr>
              <w:t>④</w: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end"/>
            </w:r>
          </w:p>
        </w:tc>
        <w:tc>
          <w:tcPr>
            <w:tcW w:w="1947" w:type="dxa"/>
            <w:tcMar>
              <w:left w:w="28" w:type="dxa"/>
              <w:right w:w="28" w:type="dxa"/>
            </w:tcMar>
            <w:vAlign w:val="center"/>
          </w:tcPr>
          <w:p w14:paraId="14CE7C18">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t>以新带老削减量</w:t>
            </w:r>
          </w:p>
          <w:p w14:paraId="7263707B">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t>（新建项目不填）</w:t>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instrText xml:space="preserve"> = 5 \* GB3 \* MERGEFORMAT </w:instrText>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2"/>
                <w:szCs w:val="21"/>
                <w:highlight w:val="none"/>
                <w14:textFill>
                  <w14:solidFill>
                    <w14:schemeClr w14:val="tx1"/>
                  </w14:solidFill>
                </w14:textFill>
              </w:rPr>
              <w:t>⑤</w:t>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fldChar w:fldCharType="end"/>
            </w:r>
          </w:p>
        </w:tc>
        <w:tc>
          <w:tcPr>
            <w:tcW w:w="1632" w:type="dxa"/>
            <w:tcMar>
              <w:left w:w="28" w:type="dxa"/>
              <w:right w:w="28" w:type="dxa"/>
            </w:tcMar>
            <w:vAlign w:val="center"/>
          </w:tcPr>
          <w:p w14:paraId="307B28D7">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t>本项目建成后</w:t>
            </w:r>
          </w:p>
          <w:p w14:paraId="36089484">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t>全厂排放量（固体废物产生量）</w:t>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instrText xml:space="preserve"> = 6 \* GB3 \* MERGEFORMAT </w:instrText>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2"/>
                <w:szCs w:val="21"/>
                <w:highlight w:val="none"/>
                <w14:textFill>
                  <w14:solidFill>
                    <w14:schemeClr w14:val="tx1"/>
                  </w14:solidFill>
                </w14:textFill>
              </w:rPr>
              <w:t>⑥</w:t>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fldChar w:fldCharType="end"/>
            </w:r>
          </w:p>
        </w:tc>
        <w:tc>
          <w:tcPr>
            <w:tcW w:w="1447" w:type="dxa"/>
            <w:tcMar>
              <w:left w:w="28" w:type="dxa"/>
              <w:right w:w="28" w:type="dxa"/>
            </w:tcMar>
            <w:vAlign w:val="center"/>
          </w:tcPr>
          <w:p w14:paraId="351A5786">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t>变化量</w:t>
            </w:r>
          </w:p>
          <w:p w14:paraId="66AEDB88">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instrText xml:space="preserve"> = 7 \* GB3 \* MERGEFORMAT </w:instrTex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kern w:val="2"/>
                <w:szCs w:val="21"/>
                <w:highlight w:val="none"/>
                <w14:textFill>
                  <w14:solidFill>
                    <w14:schemeClr w14:val="tx1"/>
                  </w14:solidFill>
                </w14:textFill>
              </w:rPr>
              <w:t>⑦</w: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end"/>
            </w:r>
          </w:p>
        </w:tc>
      </w:tr>
      <w:tr w14:paraId="1C7D08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298" w:type="dxa"/>
            <w:vMerge w:val="restart"/>
            <w:vAlign w:val="center"/>
          </w:tcPr>
          <w:p w14:paraId="0DC09135">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t>废气</w:t>
            </w:r>
          </w:p>
        </w:tc>
        <w:tc>
          <w:tcPr>
            <w:tcW w:w="2112" w:type="dxa"/>
            <w:vAlign w:val="center"/>
          </w:tcPr>
          <w:p w14:paraId="43AA0D89">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t>工业粉尘</w:t>
            </w:r>
          </w:p>
        </w:tc>
        <w:tc>
          <w:tcPr>
            <w:tcW w:w="1794" w:type="dxa"/>
            <w:vAlign w:val="center"/>
          </w:tcPr>
          <w:p w14:paraId="1A19E5CA">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0</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.52t/a</w:t>
            </w:r>
          </w:p>
        </w:tc>
        <w:tc>
          <w:tcPr>
            <w:tcW w:w="1881" w:type="dxa"/>
            <w:vAlign w:val="center"/>
          </w:tcPr>
          <w:p w14:paraId="2F797051">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724" w:type="dxa"/>
            <w:vAlign w:val="center"/>
          </w:tcPr>
          <w:p w14:paraId="3D82BB27">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4.10</w:t>
            </w: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8</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t/a</w:t>
            </w:r>
          </w:p>
        </w:tc>
        <w:tc>
          <w:tcPr>
            <w:tcW w:w="1947" w:type="dxa"/>
            <w:vAlign w:val="center"/>
          </w:tcPr>
          <w:p w14:paraId="263019DE">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0</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.52t/a</w:t>
            </w:r>
          </w:p>
        </w:tc>
        <w:tc>
          <w:tcPr>
            <w:tcW w:w="1632" w:type="dxa"/>
            <w:vAlign w:val="center"/>
          </w:tcPr>
          <w:p w14:paraId="65580949">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4.10</w:t>
            </w: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8</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t/a</w:t>
            </w:r>
          </w:p>
        </w:tc>
        <w:tc>
          <w:tcPr>
            <w:tcW w:w="1447" w:type="dxa"/>
            <w:vAlign w:val="center"/>
          </w:tcPr>
          <w:p w14:paraId="37E05629">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3.588t</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/a</w:t>
            </w:r>
          </w:p>
        </w:tc>
      </w:tr>
      <w:tr w14:paraId="3B240F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98" w:type="dxa"/>
            <w:vMerge w:val="continue"/>
            <w:vAlign w:val="center"/>
          </w:tcPr>
          <w:p w14:paraId="3DE3907C">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p>
        </w:tc>
        <w:tc>
          <w:tcPr>
            <w:tcW w:w="2112" w:type="dxa"/>
            <w:vAlign w:val="center"/>
          </w:tcPr>
          <w:p w14:paraId="45647E32">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t>颗粒物</w:t>
            </w:r>
          </w:p>
        </w:tc>
        <w:tc>
          <w:tcPr>
            <w:tcW w:w="1794" w:type="dxa"/>
            <w:vAlign w:val="center"/>
          </w:tcPr>
          <w:p w14:paraId="050C7326">
            <w:pPr>
              <w:pStyle w:val="96"/>
              <w:keepNext w:val="0"/>
              <w:keepLines w:val="0"/>
              <w:suppressLineNumbers w:val="0"/>
              <w:spacing w:before="0" w:beforeAutospacing="0" w:after="0" w:afterAutospacing="0"/>
              <w:ind w:left="0" w:right="0"/>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0.609</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t/a</w:t>
            </w:r>
          </w:p>
        </w:tc>
        <w:tc>
          <w:tcPr>
            <w:tcW w:w="1881" w:type="dxa"/>
            <w:vAlign w:val="center"/>
          </w:tcPr>
          <w:p w14:paraId="54028E50">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724" w:type="dxa"/>
            <w:vAlign w:val="center"/>
          </w:tcPr>
          <w:p w14:paraId="654DE89C">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0.29t/a</w:t>
            </w:r>
          </w:p>
        </w:tc>
        <w:tc>
          <w:tcPr>
            <w:tcW w:w="1947" w:type="dxa"/>
            <w:vAlign w:val="center"/>
          </w:tcPr>
          <w:p w14:paraId="7675EA35">
            <w:pPr>
              <w:pStyle w:val="96"/>
              <w:keepNext w:val="0"/>
              <w:keepLines w:val="0"/>
              <w:suppressLineNumbers w:val="0"/>
              <w:spacing w:before="0" w:beforeAutospacing="0" w:after="0" w:afterAutospacing="0"/>
              <w:ind w:left="0" w:right="0"/>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0.609</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t/a</w:t>
            </w:r>
          </w:p>
        </w:tc>
        <w:tc>
          <w:tcPr>
            <w:tcW w:w="1632" w:type="dxa"/>
            <w:vAlign w:val="center"/>
          </w:tcPr>
          <w:p w14:paraId="4CF75C8B">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0.29t/a</w:t>
            </w:r>
          </w:p>
        </w:tc>
        <w:tc>
          <w:tcPr>
            <w:tcW w:w="1447" w:type="dxa"/>
            <w:vAlign w:val="center"/>
          </w:tcPr>
          <w:p w14:paraId="25DA0907">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cs="Times New Roman"/>
                <w:color w:val="000000" w:themeColor="text1"/>
                <w:spacing w:val="0"/>
                <w:kern w:val="0"/>
                <w:sz w:val="21"/>
                <w:szCs w:val="21"/>
                <w:highlight w:val="none"/>
                <w:lang w:val="en-US" w:eastAsia="zh-CN" w:bidi="ar-SA"/>
                <w14:textFill>
                  <w14:solidFill>
                    <w14:schemeClr w14:val="tx1"/>
                  </w14:solidFill>
                </w14:textFill>
              </w:rPr>
              <w:t>-0.319</w:t>
            </w: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t</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/a</w:t>
            </w:r>
          </w:p>
        </w:tc>
      </w:tr>
      <w:tr w14:paraId="3388B3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98" w:type="dxa"/>
            <w:vMerge w:val="continue"/>
            <w:vAlign w:val="center"/>
          </w:tcPr>
          <w:p w14:paraId="45973254">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p>
        </w:tc>
        <w:tc>
          <w:tcPr>
            <w:tcW w:w="2112" w:type="dxa"/>
            <w:vAlign w:val="center"/>
          </w:tcPr>
          <w:p w14:paraId="22A516D1">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lang w:bidi="ar"/>
                <w14:textFill>
                  <w14:solidFill>
                    <w14:schemeClr w14:val="tx1"/>
                  </w14:solidFill>
                </w14:textFill>
              </w:rPr>
              <w:t>SO</w:t>
            </w:r>
            <w:r>
              <w:rPr>
                <w:rFonts w:hint="default" w:ascii="Times New Roman" w:hAnsi="Times New Roman" w:eastAsia="宋体" w:cs="Times New Roman"/>
                <w:color w:val="000000" w:themeColor="text1"/>
                <w:szCs w:val="21"/>
                <w:highlight w:val="none"/>
                <w:vertAlign w:val="subscript"/>
                <w:lang w:bidi="ar"/>
                <w14:textFill>
                  <w14:solidFill>
                    <w14:schemeClr w14:val="tx1"/>
                  </w14:solidFill>
                </w14:textFill>
              </w:rPr>
              <w:t>2</w:t>
            </w:r>
          </w:p>
        </w:tc>
        <w:tc>
          <w:tcPr>
            <w:tcW w:w="1794" w:type="dxa"/>
            <w:vAlign w:val="center"/>
          </w:tcPr>
          <w:p w14:paraId="4D074E91">
            <w:pPr>
              <w:pStyle w:val="96"/>
              <w:keepNext w:val="0"/>
              <w:keepLines w:val="0"/>
              <w:suppressLineNumbers w:val="0"/>
              <w:spacing w:before="0" w:beforeAutospacing="0" w:after="0" w:afterAutospacing="0"/>
              <w:ind w:left="0" w:right="0"/>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1.908</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t/a</w:t>
            </w:r>
          </w:p>
        </w:tc>
        <w:tc>
          <w:tcPr>
            <w:tcW w:w="1881" w:type="dxa"/>
            <w:vAlign w:val="center"/>
          </w:tcPr>
          <w:p w14:paraId="16A2FA22">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724" w:type="dxa"/>
            <w:vAlign w:val="center"/>
          </w:tcPr>
          <w:p w14:paraId="5D3B588A">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1.07</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t/a</w:t>
            </w:r>
          </w:p>
        </w:tc>
        <w:tc>
          <w:tcPr>
            <w:tcW w:w="1947" w:type="dxa"/>
            <w:vAlign w:val="center"/>
          </w:tcPr>
          <w:p w14:paraId="262F9730">
            <w:pPr>
              <w:pStyle w:val="96"/>
              <w:keepNext w:val="0"/>
              <w:keepLines w:val="0"/>
              <w:suppressLineNumbers w:val="0"/>
              <w:spacing w:before="0" w:beforeAutospacing="0" w:after="0" w:afterAutospacing="0"/>
              <w:ind w:left="0" w:right="0"/>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1.908</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t/a</w:t>
            </w:r>
          </w:p>
        </w:tc>
        <w:tc>
          <w:tcPr>
            <w:tcW w:w="1632" w:type="dxa"/>
            <w:vAlign w:val="center"/>
          </w:tcPr>
          <w:p w14:paraId="402A2AE2">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1.07</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t/a</w:t>
            </w:r>
          </w:p>
        </w:tc>
        <w:tc>
          <w:tcPr>
            <w:tcW w:w="1447" w:type="dxa"/>
            <w:vAlign w:val="center"/>
          </w:tcPr>
          <w:p w14:paraId="033EC24B">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cs="Times New Roman"/>
                <w:color w:val="000000" w:themeColor="text1"/>
                <w:spacing w:val="0"/>
                <w:kern w:val="0"/>
                <w:sz w:val="21"/>
                <w:szCs w:val="21"/>
                <w:highlight w:val="none"/>
                <w:lang w:val="en-US" w:eastAsia="zh-CN" w:bidi="ar-SA"/>
                <w14:textFill>
                  <w14:solidFill>
                    <w14:schemeClr w14:val="tx1"/>
                  </w14:solidFill>
                </w14:textFill>
              </w:rPr>
              <w:t>-0.838</w:t>
            </w: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t</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/a</w:t>
            </w:r>
          </w:p>
        </w:tc>
      </w:tr>
      <w:tr w14:paraId="50F80B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298" w:type="dxa"/>
            <w:vMerge w:val="continue"/>
            <w:vAlign w:val="center"/>
          </w:tcPr>
          <w:p w14:paraId="12981F32">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p>
        </w:tc>
        <w:tc>
          <w:tcPr>
            <w:tcW w:w="2112" w:type="dxa"/>
            <w:vAlign w:val="center"/>
          </w:tcPr>
          <w:p w14:paraId="15CDA176">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lang w:bidi="ar"/>
                <w14:textFill>
                  <w14:solidFill>
                    <w14:schemeClr w14:val="tx1"/>
                  </w14:solidFill>
                </w14:textFill>
              </w:rPr>
              <w:t>NO</w:t>
            </w:r>
            <w:r>
              <w:rPr>
                <w:rFonts w:hint="default" w:ascii="Times New Roman" w:hAnsi="Times New Roman" w:eastAsia="宋体" w:cs="Times New Roman"/>
                <w:color w:val="000000" w:themeColor="text1"/>
                <w:szCs w:val="21"/>
                <w:highlight w:val="none"/>
                <w:vertAlign w:val="subscript"/>
                <w:lang w:bidi="ar"/>
                <w14:textFill>
                  <w14:solidFill>
                    <w14:schemeClr w14:val="tx1"/>
                  </w14:solidFill>
                </w14:textFill>
              </w:rPr>
              <w:t>X</w:t>
            </w:r>
          </w:p>
        </w:tc>
        <w:tc>
          <w:tcPr>
            <w:tcW w:w="1794" w:type="dxa"/>
            <w:vAlign w:val="center"/>
          </w:tcPr>
          <w:p w14:paraId="5DB2FA3A">
            <w:pPr>
              <w:pStyle w:val="96"/>
              <w:keepNext w:val="0"/>
              <w:keepLines w:val="0"/>
              <w:suppressLineNumbers w:val="0"/>
              <w:spacing w:before="0" w:beforeAutospacing="0" w:after="0" w:afterAutospacing="0"/>
              <w:ind w:left="0" w:right="0"/>
              <w:jc w:val="cente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1.859</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t/a</w:t>
            </w:r>
          </w:p>
        </w:tc>
        <w:tc>
          <w:tcPr>
            <w:tcW w:w="1881" w:type="dxa"/>
            <w:vAlign w:val="center"/>
          </w:tcPr>
          <w:p w14:paraId="4E3B6AA9">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724" w:type="dxa"/>
            <w:vAlign w:val="center"/>
          </w:tcPr>
          <w:p w14:paraId="54D35B67">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2.56t</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/a</w:t>
            </w:r>
          </w:p>
        </w:tc>
        <w:tc>
          <w:tcPr>
            <w:tcW w:w="1947" w:type="dxa"/>
            <w:vAlign w:val="center"/>
          </w:tcPr>
          <w:p w14:paraId="633D8C63">
            <w:pPr>
              <w:pStyle w:val="96"/>
              <w:keepNext w:val="0"/>
              <w:keepLines w:val="0"/>
              <w:suppressLineNumbers w:val="0"/>
              <w:spacing w:before="0" w:beforeAutospacing="0" w:after="0" w:afterAutospacing="0"/>
              <w:ind w:left="0" w:right="0"/>
              <w:jc w:val="cente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1.859</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t/a</w:t>
            </w:r>
          </w:p>
        </w:tc>
        <w:tc>
          <w:tcPr>
            <w:tcW w:w="1632" w:type="dxa"/>
            <w:vAlign w:val="center"/>
          </w:tcPr>
          <w:p w14:paraId="6F12DC34">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2.56t</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/a</w:t>
            </w:r>
          </w:p>
        </w:tc>
        <w:tc>
          <w:tcPr>
            <w:tcW w:w="1447" w:type="dxa"/>
            <w:vAlign w:val="center"/>
          </w:tcPr>
          <w:p w14:paraId="0AA97AC1">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cs="Times New Roman"/>
                <w:color w:val="000000" w:themeColor="text1"/>
                <w:spacing w:val="0"/>
                <w:kern w:val="0"/>
                <w:sz w:val="21"/>
                <w:szCs w:val="21"/>
                <w:highlight w:val="none"/>
                <w:lang w:val="en-US" w:eastAsia="zh-CN"/>
                <w14:textFill>
                  <w14:solidFill>
                    <w14:schemeClr w14:val="tx1"/>
                  </w14:solidFill>
                </w14:textFill>
              </w:rPr>
              <w:t>+0.701</w:t>
            </w: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t</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/a</w:t>
            </w:r>
          </w:p>
        </w:tc>
      </w:tr>
      <w:tr w14:paraId="4BFDE6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98" w:type="dxa"/>
            <w:vMerge w:val="restart"/>
            <w:vAlign w:val="center"/>
          </w:tcPr>
          <w:p w14:paraId="02548999">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固体废物</w:t>
            </w:r>
          </w:p>
        </w:tc>
        <w:tc>
          <w:tcPr>
            <w:tcW w:w="2112" w:type="dxa"/>
            <w:vAlign w:val="center"/>
          </w:tcPr>
          <w:p w14:paraId="34436421">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热风炉</w:t>
            </w: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布袋除尘器</w:t>
            </w:r>
            <w: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t>收尘</w:t>
            </w:r>
          </w:p>
        </w:tc>
        <w:tc>
          <w:tcPr>
            <w:tcW w:w="1794" w:type="dxa"/>
            <w:vAlign w:val="center"/>
          </w:tcPr>
          <w:p w14:paraId="2D1FAA4F">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881" w:type="dxa"/>
            <w:vAlign w:val="center"/>
          </w:tcPr>
          <w:p w14:paraId="77321363">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724" w:type="dxa"/>
            <w:vAlign w:val="center"/>
          </w:tcPr>
          <w:p w14:paraId="4D0C01C7">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58.01</w:t>
            </w: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t</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/a</w:t>
            </w:r>
          </w:p>
        </w:tc>
        <w:tc>
          <w:tcPr>
            <w:tcW w:w="1947" w:type="dxa"/>
            <w:vAlign w:val="center"/>
          </w:tcPr>
          <w:p w14:paraId="2EC475F5">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eastAsia" w:cs="Times New Roman"/>
                <w:snapToGrid w:val="0"/>
                <w:color w:val="000000" w:themeColor="text1"/>
                <w:kern w:val="21"/>
                <w:szCs w:val="21"/>
                <w:highlight w:val="none"/>
                <w:lang w:val="en-US" w:eastAsia="zh-CN"/>
                <w14:textFill>
                  <w14:solidFill>
                    <w14:schemeClr w14:val="tx1"/>
                  </w14:solidFill>
                </w14:textFill>
              </w:rPr>
              <w:t>/</w:t>
            </w:r>
          </w:p>
        </w:tc>
        <w:tc>
          <w:tcPr>
            <w:tcW w:w="1632" w:type="dxa"/>
            <w:vAlign w:val="center"/>
          </w:tcPr>
          <w:p w14:paraId="28E4DBA7">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58.01</w:t>
            </w: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t</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/a</w:t>
            </w:r>
          </w:p>
        </w:tc>
        <w:tc>
          <w:tcPr>
            <w:tcW w:w="1447" w:type="dxa"/>
            <w:vAlign w:val="center"/>
          </w:tcPr>
          <w:p w14:paraId="4908AE33">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+58.01t/a</w:t>
            </w:r>
          </w:p>
        </w:tc>
      </w:tr>
      <w:tr w14:paraId="1466FF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98" w:type="dxa"/>
            <w:vMerge w:val="continue"/>
            <w:vAlign w:val="center"/>
          </w:tcPr>
          <w:p w14:paraId="2757500E">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p>
        </w:tc>
        <w:tc>
          <w:tcPr>
            <w:tcW w:w="2112" w:type="dxa"/>
            <w:vAlign w:val="center"/>
          </w:tcPr>
          <w:p w14:paraId="5B5A82D4">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t>废布袋</w:t>
            </w:r>
          </w:p>
        </w:tc>
        <w:tc>
          <w:tcPr>
            <w:tcW w:w="1794" w:type="dxa"/>
            <w:vAlign w:val="center"/>
          </w:tcPr>
          <w:p w14:paraId="27FE04FF">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881" w:type="dxa"/>
            <w:vAlign w:val="center"/>
          </w:tcPr>
          <w:p w14:paraId="3B7BBE53">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724" w:type="dxa"/>
            <w:vAlign w:val="center"/>
          </w:tcPr>
          <w:p w14:paraId="2204B766">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0.1t/a</w:t>
            </w:r>
          </w:p>
        </w:tc>
        <w:tc>
          <w:tcPr>
            <w:tcW w:w="1947" w:type="dxa"/>
            <w:vAlign w:val="center"/>
          </w:tcPr>
          <w:p w14:paraId="6D319682">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eastAsia" w:cs="Times New Roman"/>
                <w:snapToGrid w:val="0"/>
                <w:color w:val="000000" w:themeColor="text1"/>
                <w:kern w:val="21"/>
                <w:szCs w:val="21"/>
                <w:highlight w:val="none"/>
                <w:lang w:val="en-US" w:eastAsia="zh-CN"/>
                <w14:textFill>
                  <w14:solidFill>
                    <w14:schemeClr w14:val="tx1"/>
                  </w14:solidFill>
                </w14:textFill>
              </w:rPr>
              <w:t>/</w:t>
            </w:r>
          </w:p>
        </w:tc>
        <w:tc>
          <w:tcPr>
            <w:tcW w:w="1632" w:type="dxa"/>
            <w:vAlign w:val="center"/>
          </w:tcPr>
          <w:p w14:paraId="06E037B1">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0.1t/a</w:t>
            </w:r>
          </w:p>
        </w:tc>
        <w:tc>
          <w:tcPr>
            <w:tcW w:w="1447" w:type="dxa"/>
            <w:vAlign w:val="center"/>
          </w:tcPr>
          <w:p w14:paraId="4608F364">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0.1t/a</w:t>
            </w:r>
          </w:p>
        </w:tc>
      </w:tr>
      <w:tr w14:paraId="1DA1C5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98" w:type="dxa"/>
            <w:vMerge w:val="continue"/>
            <w:vAlign w:val="center"/>
          </w:tcPr>
          <w:p w14:paraId="036BB40A">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p>
        </w:tc>
        <w:tc>
          <w:tcPr>
            <w:tcW w:w="2112" w:type="dxa"/>
            <w:vAlign w:val="center"/>
          </w:tcPr>
          <w:p w14:paraId="09E14407">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t>热风炉</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灰渣</w:t>
            </w:r>
          </w:p>
        </w:tc>
        <w:tc>
          <w:tcPr>
            <w:tcW w:w="1794" w:type="dxa"/>
            <w:vAlign w:val="center"/>
          </w:tcPr>
          <w:p w14:paraId="4B9CE1B1">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881" w:type="dxa"/>
            <w:vAlign w:val="center"/>
          </w:tcPr>
          <w:p w14:paraId="2B60A1E2">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724" w:type="dxa"/>
            <w:vAlign w:val="center"/>
          </w:tcPr>
          <w:p w14:paraId="146FF3D9">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58.47</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t/a</w:t>
            </w:r>
          </w:p>
        </w:tc>
        <w:tc>
          <w:tcPr>
            <w:tcW w:w="1947" w:type="dxa"/>
            <w:vAlign w:val="center"/>
          </w:tcPr>
          <w:p w14:paraId="2F346253">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eastAsia" w:cs="Times New Roman"/>
                <w:snapToGrid w:val="0"/>
                <w:color w:val="000000" w:themeColor="text1"/>
                <w:kern w:val="21"/>
                <w:szCs w:val="21"/>
                <w:highlight w:val="none"/>
                <w:lang w:val="en-US" w:eastAsia="zh-CN"/>
                <w14:textFill>
                  <w14:solidFill>
                    <w14:schemeClr w14:val="tx1"/>
                  </w14:solidFill>
                </w14:textFill>
              </w:rPr>
              <w:t>/</w:t>
            </w:r>
          </w:p>
        </w:tc>
        <w:tc>
          <w:tcPr>
            <w:tcW w:w="1632" w:type="dxa"/>
            <w:vAlign w:val="center"/>
          </w:tcPr>
          <w:p w14:paraId="32811E26">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58.47</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t/a</w:t>
            </w:r>
          </w:p>
        </w:tc>
        <w:tc>
          <w:tcPr>
            <w:tcW w:w="1447" w:type="dxa"/>
            <w:vAlign w:val="center"/>
          </w:tcPr>
          <w:p w14:paraId="5D388989">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58.47</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t/a</w:t>
            </w:r>
          </w:p>
        </w:tc>
      </w:tr>
      <w:tr w14:paraId="12337F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98" w:type="dxa"/>
            <w:vMerge w:val="continue"/>
            <w:vAlign w:val="center"/>
          </w:tcPr>
          <w:p w14:paraId="382BC97E">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p>
        </w:tc>
        <w:tc>
          <w:tcPr>
            <w:tcW w:w="2112" w:type="dxa"/>
            <w:vAlign w:val="center"/>
          </w:tcPr>
          <w:p w14:paraId="5D3CD29F">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烘干塔收尘</w:t>
            </w:r>
          </w:p>
        </w:tc>
        <w:tc>
          <w:tcPr>
            <w:tcW w:w="1794" w:type="dxa"/>
            <w:vAlign w:val="center"/>
          </w:tcPr>
          <w:p w14:paraId="67D461F6">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881" w:type="dxa"/>
            <w:vAlign w:val="center"/>
          </w:tcPr>
          <w:p w14:paraId="3B8C3535">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724" w:type="dxa"/>
            <w:vAlign w:val="center"/>
          </w:tcPr>
          <w:p w14:paraId="2FB02DBC">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2.16</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t/a</w:t>
            </w:r>
          </w:p>
        </w:tc>
        <w:tc>
          <w:tcPr>
            <w:tcW w:w="1947" w:type="dxa"/>
            <w:vAlign w:val="center"/>
          </w:tcPr>
          <w:p w14:paraId="00982EEE">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eastAsia" w:cs="Times New Roman"/>
                <w:snapToGrid w:val="0"/>
                <w:color w:val="000000" w:themeColor="text1"/>
                <w:kern w:val="21"/>
                <w:szCs w:val="21"/>
                <w:highlight w:val="none"/>
                <w:lang w:val="en-US" w:eastAsia="zh-CN"/>
                <w14:textFill>
                  <w14:solidFill>
                    <w14:schemeClr w14:val="tx1"/>
                  </w14:solidFill>
                </w14:textFill>
              </w:rPr>
              <w:t>/</w:t>
            </w:r>
          </w:p>
        </w:tc>
        <w:tc>
          <w:tcPr>
            <w:tcW w:w="1632" w:type="dxa"/>
            <w:vAlign w:val="center"/>
          </w:tcPr>
          <w:p w14:paraId="4B3202B9">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2.16</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t/a</w:t>
            </w:r>
          </w:p>
        </w:tc>
        <w:tc>
          <w:tcPr>
            <w:tcW w:w="1447" w:type="dxa"/>
            <w:vAlign w:val="center"/>
          </w:tcPr>
          <w:p w14:paraId="005E7266">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2.16</w:t>
            </w: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t/a</w:t>
            </w:r>
          </w:p>
        </w:tc>
      </w:tr>
      <w:tr w14:paraId="06F51F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98" w:type="dxa"/>
            <w:vMerge w:val="continue"/>
            <w:vAlign w:val="center"/>
          </w:tcPr>
          <w:p w14:paraId="6E00A253">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p>
        </w:tc>
        <w:tc>
          <w:tcPr>
            <w:tcW w:w="2112" w:type="dxa"/>
            <w:vAlign w:val="center"/>
          </w:tcPr>
          <w:p w14:paraId="01EDEB6A">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筛分杂质</w:t>
            </w:r>
          </w:p>
        </w:tc>
        <w:tc>
          <w:tcPr>
            <w:tcW w:w="1794" w:type="dxa"/>
            <w:vAlign w:val="center"/>
          </w:tcPr>
          <w:p w14:paraId="3E6F4A65">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881" w:type="dxa"/>
            <w:vAlign w:val="center"/>
          </w:tcPr>
          <w:p w14:paraId="712C2A25">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724" w:type="dxa"/>
            <w:vAlign w:val="center"/>
          </w:tcPr>
          <w:p w14:paraId="29BCD16D">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3.6</w:t>
            </w:r>
            <w: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t>t/a</w:t>
            </w:r>
          </w:p>
        </w:tc>
        <w:tc>
          <w:tcPr>
            <w:tcW w:w="1947" w:type="dxa"/>
            <w:vAlign w:val="center"/>
          </w:tcPr>
          <w:p w14:paraId="17A434E6">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eastAsia" w:cs="Times New Roman"/>
                <w:snapToGrid w:val="0"/>
                <w:color w:val="000000" w:themeColor="text1"/>
                <w:kern w:val="21"/>
                <w:szCs w:val="21"/>
                <w:highlight w:val="none"/>
                <w:lang w:val="en-US" w:eastAsia="zh-CN"/>
                <w14:textFill>
                  <w14:solidFill>
                    <w14:schemeClr w14:val="tx1"/>
                  </w14:solidFill>
                </w14:textFill>
              </w:rPr>
              <w:t>/</w:t>
            </w:r>
          </w:p>
        </w:tc>
        <w:tc>
          <w:tcPr>
            <w:tcW w:w="1632" w:type="dxa"/>
            <w:vAlign w:val="center"/>
          </w:tcPr>
          <w:p w14:paraId="69B8FC04">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3.6</w:t>
            </w:r>
            <w: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t>t/a</w:t>
            </w:r>
          </w:p>
        </w:tc>
        <w:tc>
          <w:tcPr>
            <w:tcW w:w="1447" w:type="dxa"/>
            <w:vAlign w:val="center"/>
          </w:tcPr>
          <w:p w14:paraId="45F27C78">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+3.6</w:t>
            </w:r>
            <w: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t>t/a</w:t>
            </w:r>
          </w:p>
        </w:tc>
      </w:tr>
      <w:tr w14:paraId="2AF78A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98" w:type="dxa"/>
            <w:vMerge w:val="continue"/>
            <w:vAlign w:val="center"/>
          </w:tcPr>
          <w:p w14:paraId="44AD75EF">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p>
        </w:tc>
        <w:tc>
          <w:tcPr>
            <w:tcW w:w="2112" w:type="dxa"/>
            <w:vAlign w:val="center"/>
          </w:tcPr>
          <w:p w14:paraId="0C363EEB">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筛分工序收尘</w:t>
            </w:r>
          </w:p>
        </w:tc>
        <w:tc>
          <w:tcPr>
            <w:tcW w:w="1794" w:type="dxa"/>
            <w:vAlign w:val="center"/>
          </w:tcPr>
          <w:p w14:paraId="3FEF7557">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881" w:type="dxa"/>
            <w:vAlign w:val="center"/>
          </w:tcPr>
          <w:p w14:paraId="6BCFB869">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724" w:type="dxa"/>
            <w:vAlign w:val="center"/>
          </w:tcPr>
          <w:p w14:paraId="0C87A4E3">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3.24</w:t>
            </w:r>
            <w: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t>t/a</w:t>
            </w:r>
          </w:p>
        </w:tc>
        <w:tc>
          <w:tcPr>
            <w:tcW w:w="1947" w:type="dxa"/>
            <w:vAlign w:val="center"/>
          </w:tcPr>
          <w:p w14:paraId="1A6CCE40">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eastAsia"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632" w:type="dxa"/>
            <w:vAlign w:val="center"/>
          </w:tcPr>
          <w:p w14:paraId="5E96B452">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3.24</w:t>
            </w:r>
            <w: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t>t/a</w:t>
            </w:r>
          </w:p>
        </w:tc>
        <w:tc>
          <w:tcPr>
            <w:tcW w:w="1447" w:type="dxa"/>
            <w:vAlign w:val="center"/>
          </w:tcPr>
          <w:p w14:paraId="3CD04021">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+3.24</w:t>
            </w:r>
            <w: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t>t/a</w:t>
            </w:r>
          </w:p>
        </w:tc>
      </w:tr>
      <w:tr w14:paraId="7F13BD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98" w:type="dxa"/>
            <w:vMerge w:val="continue"/>
            <w:vAlign w:val="center"/>
          </w:tcPr>
          <w:p w14:paraId="3A913C79">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p>
        </w:tc>
        <w:tc>
          <w:tcPr>
            <w:tcW w:w="2112" w:type="dxa"/>
            <w:vAlign w:val="center"/>
          </w:tcPr>
          <w:p w14:paraId="7264F38A">
            <w:pPr>
              <w:pStyle w:val="55"/>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生活垃圾</w:t>
            </w:r>
          </w:p>
        </w:tc>
        <w:tc>
          <w:tcPr>
            <w:tcW w:w="1794" w:type="dxa"/>
            <w:vAlign w:val="center"/>
          </w:tcPr>
          <w:p w14:paraId="6BA733C2">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881" w:type="dxa"/>
            <w:vAlign w:val="center"/>
          </w:tcPr>
          <w:p w14:paraId="1A4A889D">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724" w:type="dxa"/>
            <w:vAlign w:val="center"/>
          </w:tcPr>
          <w:p w14:paraId="71668F8F">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jc w:val="center"/>
              <w:textAlignment w:val="auto"/>
              <w:rPr>
                <w:rFonts w:hint="default" w:ascii="Times New Roman" w:cs="Times New Roman"/>
                <w:snapToGrid w:val="0"/>
                <w:color w:val="000000" w:themeColor="text1"/>
                <w:kern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0.1125</w:t>
            </w:r>
            <w: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t>t/a</w:t>
            </w:r>
          </w:p>
        </w:tc>
        <w:tc>
          <w:tcPr>
            <w:tcW w:w="1947" w:type="dxa"/>
            <w:vAlign w:val="center"/>
          </w:tcPr>
          <w:p w14:paraId="3D009AC2">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w:t>
            </w:r>
          </w:p>
        </w:tc>
        <w:tc>
          <w:tcPr>
            <w:tcW w:w="1632" w:type="dxa"/>
            <w:vAlign w:val="center"/>
          </w:tcPr>
          <w:p w14:paraId="0448E505">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t>0.1125</w:t>
            </w:r>
            <w: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t>t/a</w:t>
            </w:r>
          </w:p>
        </w:tc>
        <w:tc>
          <w:tcPr>
            <w:tcW w:w="1447" w:type="dxa"/>
            <w:vAlign w:val="center"/>
          </w:tcPr>
          <w:p w14:paraId="2D523E10">
            <w:pPr>
              <w:pStyle w:val="5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cs="Times New Roman"/>
                <w:snapToGrid w:val="0"/>
                <w:color w:val="000000" w:themeColor="text1"/>
                <w:kern w:val="21"/>
                <w:szCs w:val="21"/>
                <w:highlight w:val="none"/>
                <w:lang w:val="en-US" w:eastAsia="zh-CN"/>
                <w14:textFill>
                  <w14:solidFill>
                    <w14:schemeClr w14:val="tx1"/>
                  </w14:solidFill>
                </w14:textFill>
              </w:rPr>
              <w:t>+0.1125</w:t>
            </w:r>
            <w: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t>t/a</w:t>
            </w:r>
          </w:p>
        </w:tc>
      </w:tr>
      <w:tr w14:paraId="4D2750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298" w:type="dxa"/>
            <w:vMerge w:val="restart"/>
            <w:vAlign w:val="center"/>
          </w:tcPr>
          <w:p w14:paraId="466D0730">
            <w:pPr>
              <w:pStyle w:val="55"/>
              <w:keepNext w:val="0"/>
              <w:keepLines w:val="0"/>
              <w:suppressLineNumbers w:val="0"/>
              <w:adjustRightInd/>
              <w:snapToGrid/>
              <w:spacing w:before="0" w:beforeLines="0" w:beforeAutospacing="0" w:after="0" w:afterLines="0" w:afterAutospacing="0" w:line="240" w:lineRule="auto"/>
              <w:ind w:left="0" w:right="0"/>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r>
              <w:rPr>
                <w:rFonts w:hint="eastAsia" w:ascii="Times New Roman"/>
                <w:snapToGrid w:val="0"/>
                <w:kern w:val="21"/>
                <w:szCs w:val="21"/>
                <w:highlight w:val="none"/>
                <w:lang w:val="en-US" w:eastAsia="zh-CN"/>
              </w:rPr>
              <w:t>危险废物</w:t>
            </w:r>
          </w:p>
        </w:tc>
        <w:tc>
          <w:tcPr>
            <w:tcW w:w="2112" w:type="dxa"/>
            <w:vAlign w:val="center"/>
          </w:tcPr>
          <w:p w14:paraId="6D52723C">
            <w:pPr>
              <w:pStyle w:val="55"/>
              <w:keepNext w:val="0"/>
              <w:keepLines w:val="0"/>
              <w:suppressLineNumbers w:val="0"/>
              <w:adjustRightInd/>
              <w:snapToGrid/>
              <w:spacing w:before="0" w:beforeLines="0" w:beforeAutospacing="0" w:after="0" w:afterLines="0" w:afterAutospacing="0" w:line="240" w:lineRule="auto"/>
              <w:ind w:left="0" w:right="0"/>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snapToGrid w:val="0"/>
                <w:kern w:val="21"/>
                <w:szCs w:val="21"/>
                <w:highlight w:val="none"/>
                <w:lang w:val="en-US" w:eastAsia="zh-CN"/>
              </w:rPr>
              <w:t>废润滑油</w:t>
            </w:r>
          </w:p>
        </w:tc>
        <w:tc>
          <w:tcPr>
            <w:tcW w:w="1794" w:type="dxa"/>
            <w:vAlign w:val="center"/>
          </w:tcPr>
          <w:p w14:paraId="1825BE7E">
            <w:pPr>
              <w:pStyle w:val="55"/>
              <w:keepNext w:val="0"/>
              <w:keepLines w:val="0"/>
              <w:suppressLineNumbers w:val="0"/>
              <w:adjustRightInd/>
              <w:snapToGrid/>
              <w:spacing w:before="0" w:beforeLines="0" w:beforeAutospacing="0" w:after="0" w:afterLines="0" w:afterAutospacing="0" w:line="240" w:lineRule="auto"/>
              <w:ind w:left="0" w:right="0"/>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snapToGrid w:val="0"/>
                <w:kern w:val="21"/>
                <w:szCs w:val="21"/>
                <w:highlight w:val="none"/>
              </w:rPr>
              <w:t>/</w:t>
            </w:r>
          </w:p>
        </w:tc>
        <w:tc>
          <w:tcPr>
            <w:tcW w:w="1881" w:type="dxa"/>
            <w:vAlign w:val="center"/>
          </w:tcPr>
          <w:p w14:paraId="39F444C0">
            <w:pPr>
              <w:pStyle w:val="55"/>
              <w:keepNext w:val="0"/>
              <w:keepLines w:val="0"/>
              <w:suppressLineNumbers w:val="0"/>
              <w:adjustRightInd/>
              <w:snapToGrid/>
              <w:spacing w:before="0" w:beforeLines="0" w:beforeAutospacing="0" w:after="0" w:afterLines="0" w:afterAutospacing="0" w:line="240" w:lineRule="auto"/>
              <w:ind w:left="0" w:right="0"/>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snapToGrid w:val="0"/>
                <w:kern w:val="21"/>
                <w:szCs w:val="21"/>
                <w:highlight w:val="none"/>
              </w:rPr>
              <w:t>/</w:t>
            </w:r>
          </w:p>
        </w:tc>
        <w:tc>
          <w:tcPr>
            <w:tcW w:w="1724" w:type="dxa"/>
            <w:vAlign w:val="center"/>
          </w:tcPr>
          <w:p w14:paraId="21CB44F3">
            <w:pPr>
              <w:pStyle w:val="55"/>
              <w:keepNext w:val="0"/>
              <w:keepLines w:val="0"/>
              <w:suppressLineNumbers w:val="0"/>
              <w:adjustRightInd/>
              <w:snapToGrid/>
              <w:spacing w:before="0" w:beforeLines="0" w:beforeAutospacing="0" w:after="0" w:afterLines="0" w:afterAutospacing="0" w:line="240" w:lineRule="auto"/>
              <w:ind w:left="0" w:right="0"/>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snapToGrid w:val="0"/>
                <w:kern w:val="21"/>
                <w:szCs w:val="21"/>
                <w:highlight w:val="none"/>
                <w:lang w:val="en-US" w:eastAsia="zh-CN"/>
              </w:rPr>
              <w:t>0.01t/a</w:t>
            </w:r>
          </w:p>
        </w:tc>
        <w:tc>
          <w:tcPr>
            <w:tcW w:w="1947" w:type="dxa"/>
            <w:vAlign w:val="center"/>
          </w:tcPr>
          <w:p w14:paraId="09931F3D">
            <w:pPr>
              <w:pStyle w:val="55"/>
              <w:keepNext w:val="0"/>
              <w:keepLines w:val="0"/>
              <w:suppressLineNumbers w:val="0"/>
              <w:adjustRightInd/>
              <w:snapToGrid/>
              <w:spacing w:before="0" w:beforeLines="0" w:beforeAutospacing="0" w:after="0" w:afterLines="0" w:afterAutospacing="0" w:line="240" w:lineRule="auto"/>
              <w:ind w:left="0" w:right="0"/>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snapToGrid w:val="0"/>
                <w:kern w:val="21"/>
                <w:szCs w:val="21"/>
                <w:highlight w:val="none"/>
              </w:rPr>
              <w:t>/</w:t>
            </w:r>
          </w:p>
        </w:tc>
        <w:tc>
          <w:tcPr>
            <w:tcW w:w="1632" w:type="dxa"/>
            <w:vAlign w:val="center"/>
          </w:tcPr>
          <w:p w14:paraId="557C1C6C">
            <w:pPr>
              <w:pStyle w:val="55"/>
              <w:keepNext w:val="0"/>
              <w:keepLines w:val="0"/>
              <w:suppressLineNumbers w:val="0"/>
              <w:adjustRightInd/>
              <w:snapToGrid/>
              <w:spacing w:before="0" w:beforeLines="0" w:beforeAutospacing="0" w:after="0" w:afterLines="0" w:afterAutospacing="0" w:line="240" w:lineRule="auto"/>
              <w:ind w:left="0" w:right="0"/>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snapToGrid w:val="0"/>
                <w:kern w:val="21"/>
                <w:szCs w:val="21"/>
                <w:highlight w:val="none"/>
                <w:lang w:val="en-US" w:eastAsia="zh-CN"/>
              </w:rPr>
              <w:t>0.01t/a</w:t>
            </w:r>
          </w:p>
        </w:tc>
        <w:tc>
          <w:tcPr>
            <w:tcW w:w="1447" w:type="dxa"/>
            <w:vAlign w:val="center"/>
          </w:tcPr>
          <w:p w14:paraId="350438AC">
            <w:pPr>
              <w:pStyle w:val="55"/>
              <w:keepNext w:val="0"/>
              <w:keepLines w:val="0"/>
              <w:suppressLineNumbers w:val="0"/>
              <w:adjustRightInd/>
              <w:snapToGrid/>
              <w:spacing w:before="0" w:beforeLines="0" w:beforeAutospacing="0" w:after="0" w:afterLines="0" w:afterAutospacing="0" w:line="240" w:lineRule="auto"/>
              <w:ind w:left="0" w:right="0"/>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snapToGrid w:val="0"/>
                <w:kern w:val="21"/>
                <w:szCs w:val="21"/>
                <w:highlight w:val="none"/>
                <w:lang w:val="en-US" w:eastAsia="zh-CN"/>
              </w:rPr>
              <w:t>+0.01t/a</w:t>
            </w:r>
          </w:p>
        </w:tc>
      </w:tr>
      <w:tr w14:paraId="34CB19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98" w:type="dxa"/>
            <w:vMerge w:val="continue"/>
            <w:vAlign w:val="center"/>
          </w:tcPr>
          <w:p w14:paraId="238E88F1">
            <w:pPr>
              <w:pStyle w:val="55"/>
              <w:keepNext w:val="0"/>
              <w:keepLines w:val="0"/>
              <w:suppressLineNumbers w:val="0"/>
              <w:adjustRightInd/>
              <w:snapToGrid/>
              <w:spacing w:before="0" w:beforeLines="0" w:beforeAutospacing="0" w:after="0" w:afterLines="0" w:afterAutospacing="0" w:line="240" w:lineRule="auto"/>
              <w:ind w:left="0" w:right="0"/>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p>
        </w:tc>
        <w:tc>
          <w:tcPr>
            <w:tcW w:w="2112" w:type="dxa"/>
            <w:vAlign w:val="center"/>
          </w:tcPr>
          <w:p w14:paraId="6626CE89">
            <w:pPr>
              <w:pStyle w:val="55"/>
              <w:keepNext w:val="0"/>
              <w:keepLines w:val="0"/>
              <w:suppressLineNumbers w:val="0"/>
              <w:adjustRightInd/>
              <w:snapToGrid/>
              <w:spacing w:before="0" w:beforeLines="0" w:beforeAutospacing="0" w:after="0" w:afterLines="0" w:afterAutospacing="0" w:line="240" w:lineRule="auto"/>
              <w:ind w:left="0" w:right="0"/>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snapToGrid w:val="0"/>
                <w:kern w:val="21"/>
                <w:szCs w:val="21"/>
                <w:highlight w:val="none"/>
                <w:lang w:val="en-US" w:eastAsia="zh-CN"/>
              </w:rPr>
              <w:t>废润滑油桶</w:t>
            </w:r>
          </w:p>
        </w:tc>
        <w:tc>
          <w:tcPr>
            <w:tcW w:w="1794" w:type="dxa"/>
            <w:vAlign w:val="center"/>
          </w:tcPr>
          <w:p w14:paraId="3F32041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cs="Times New Roman"/>
                <w:color w:val="auto"/>
                <w:spacing w:val="0"/>
                <w:kern w:val="0"/>
                <w:sz w:val="21"/>
                <w:szCs w:val="21"/>
                <w:highlight w:val="none"/>
                <w:lang w:val="en-US" w:eastAsia="zh-CN"/>
              </w:rPr>
              <w:t>/</w:t>
            </w:r>
          </w:p>
        </w:tc>
        <w:tc>
          <w:tcPr>
            <w:tcW w:w="1881" w:type="dxa"/>
            <w:vAlign w:val="center"/>
          </w:tcPr>
          <w:p w14:paraId="284BD463">
            <w:pPr>
              <w:pStyle w:val="55"/>
              <w:keepNext w:val="0"/>
              <w:keepLines w:val="0"/>
              <w:suppressLineNumbers w:val="0"/>
              <w:adjustRightInd/>
              <w:snapToGrid/>
              <w:spacing w:before="0" w:beforeLines="0" w:beforeAutospacing="0" w:after="0" w:afterLines="0" w:afterAutospacing="0" w:line="240" w:lineRule="auto"/>
              <w:ind w:left="0" w:right="0"/>
              <w:rPr>
                <w:rFonts w:hint="default" w:ascii="Times New Roman" w:hAnsi="Times New Roman" w:eastAsia="宋体" w:cs="Times New Roman"/>
                <w:snapToGrid w:val="0"/>
                <w:color w:val="000000" w:themeColor="text1"/>
                <w:kern w:val="21"/>
                <w:szCs w:val="21"/>
                <w:highlight w:val="none"/>
                <w:lang w:val="en-US" w:eastAsia="zh-CN"/>
                <w14:textFill>
                  <w14:solidFill>
                    <w14:schemeClr w14:val="tx1"/>
                  </w14:solidFill>
                </w14:textFill>
              </w:rPr>
            </w:pPr>
            <w:r>
              <w:rPr>
                <w:rFonts w:hint="eastAsia" w:ascii="Times New Roman"/>
                <w:snapToGrid w:val="0"/>
                <w:kern w:val="21"/>
                <w:szCs w:val="21"/>
                <w:highlight w:val="none"/>
                <w:lang w:val="en-US" w:eastAsia="zh-CN"/>
              </w:rPr>
              <w:t>/</w:t>
            </w:r>
          </w:p>
        </w:tc>
        <w:tc>
          <w:tcPr>
            <w:tcW w:w="1724" w:type="dxa"/>
            <w:shd w:val="clear" w:color="auto" w:fill="auto"/>
            <w:vAlign w:val="center"/>
          </w:tcPr>
          <w:p w14:paraId="38F2528B">
            <w:pPr>
              <w:pStyle w:val="55"/>
              <w:keepNext w:val="0"/>
              <w:keepLines w:val="0"/>
              <w:suppressLineNumbers w:val="0"/>
              <w:adjustRightInd/>
              <w:snapToGrid/>
              <w:spacing w:before="0" w:beforeLines="0" w:beforeAutospacing="0" w:after="0" w:afterLines="0" w:afterAutospacing="0" w:line="240" w:lineRule="auto"/>
              <w:ind w:left="0" w:leftChars="0" w:right="0" w:rightChars="0"/>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snapToGrid w:val="0"/>
                <w:kern w:val="21"/>
                <w:szCs w:val="21"/>
                <w:highlight w:val="none"/>
                <w:lang w:val="en-US" w:eastAsia="zh-CN"/>
              </w:rPr>
              <w:t>0.001t/a</w:t>
            </w:r>
          </w:p>
        </w:tc>
        <w:tc>
          <w:tcPr>
            <w:tcW w:w="1947" w:type="dxa"/>
            <w:shd w:val="clear" w:color="auto" w:fill="auto"/>
            <w:vAlign w:val="center"/>
          </w:tcPr>
          <w:p w14:paraId="328C8876">
            <w:pPr>
              <w:pStyle w:val="55"/>
              <w:keepNext w:val="0"/>
              <w:keepLines w:val="0"/>
              <w:suppressLineNumbers w:val="0"/>
              <w:adjustRightInd/>
              <w:snapToGrid/>
              <w:spacing w:before="0" w:beforeLines="0" w:beforeAutospacing="0" w:after="0" w:afterLines="0" w:afterAutospacing="0" w:line="240" w:lineRule="auto"/>
              <w:ind w:left="0" w:leftChars="0" w:right="0" w:rightChars="0"/>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snapToGrid w:val="0"/>
                <w:kern w:val="21"/>
                <w:szCs w:val="21"/>
                <w:highlight w:val="none"/>
              </w:rPr>
              <w:t>/</w:t>
            </w:r>
          </w:p>
        </w:tc>
        <w:tc>
          <w:tcPr>
            <w:tcW w:w="1632" w:type="dxa"/>
            <w:shd w:val="clear" w:color="auto" w:fill="auto"/>
            <w:vAlign w:val="center"/>
          </w:tcPr>
          <w:p w14:paraId="36208CCE">
            <w:pPr>
              <w:pStyle w:val="55"/>
              <w:keepNext w:val="0"/>
              <w:keepLines w:val="0"/>
              <w:suppressLineNumbers w:val="0"/>
              <w:adjustRightInd/>
              <w:snapToGrid/>
              <w:spacing w:before="0" w:beforeLines="0" w:beforeAutospacing="0" w:after="0" w:afterLines="0" w:afterAutospacing="0" w:line="240" w:lineRule="auto"/>
              <w:ind w:left="0" w:leftChars="0" w:right="0" w:rightChars="0"/>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snapToGrid w:val="0"/>
                <w:kern w:val="21"/>
                <w:szCs w:val="21"/>
                <w:highlight w:val="none"/>
                <w:lang w:val="en-US" w:eastAsia="zh-CN"/>
              </w:rPr>
              <w:t>0.001t/a</w:t>
            </w:r>
          </w:p>
        </w:tc>
        <w:tc>
          <w:tcPr>
            <w:tcW w:w="1447" w:type="dxa"/>
            <w:shd w:val="clear" w:color="auto" w:fill="auto"/>
            <w:vAlign w:val="center"/>
          </w:tcPr>
          <w:p w14:paraId="770C917E">
            <w:pPr>
              <w:pStyle w:val="55"/>
              <w:keepNext w:val="0"/>
              <w:keepLines w:val="0"/>
              <w:suppressLineNumbers w:val="0"/>
              <w:adjustRightInd/>
              <w:snapToGrid/>
              <w:spacing w:before="0" w:beforeLines="0" w:beforeAutospacing="0" w:after="0" w:afterLines="0" w:afterAutospacing="0" w:line="240" w:lineRule="auto"/>
              <w:ind w:left="0" w:leftChars="0" w:right="0" w:rightChars="0"/>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snapToGrid w:val="0"/>
                <w:kern w:val="21"/>
                <w:szCs w:val="21"/>
                <w:highlight w:val="none"/>
                <w:lang w:val="en-US" w:eastAsia="zh-CN"/>
              </w:rPr>
              <w:t>+0.001t/a</w:t>
            </w:r>
          </w:p>
        </w:tc>
      </w:tr>
      <w:tr w14:paraId="50A6C5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298" w:type="dxa"/>
            <w:vMerge w:val="continue"/>
            <w:vAlign w:val="center"/>
          </w:tcPr>
          <w:p w14:paraId="12F34692">
            <w:pPr>
              <w:pStyle w:val="55"/>
              <w:keepNext w:val="0"/>
              <w:keepLines w:val="0"/>
              <w:suppressLineNumbers w:val="0"/>
              <w:adjustRightInd/>
              <w:snapToGrid/>
              <w:spacing w:before="0" w:beforeLines="0" w:beforeAutospacing="0" w:after="0" w:afterLines="0" w:afterAutospacing="0" w:line="240" w:lineRule="auto"/>
              <w:ind w:left="0" w:right="0"/>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pPr>
          </w:p>
        </w:tc>
        <w:tc>
          <w:tcPr>
            <w:tcW w:w="2112" w:type="dxa"/>
            <w:vAlign w:val="center"/>
          </w:tcPr>
          <w:p w14:paraId="2F22C988">
            <w:pPr>
              <w:pStyle w:val="55"/>
              <w:keepNext w:val="0"/>
              <w:keepLines w:val="0"/>
              <w:suppressLineNumbers w:val="0"/>
              <w:adjustRightInd/>
              <w:snapToGrid/>
              <w:spacing w:before="0" w:beforeLines="0" w:beforeAutospacing="0" w:after="0" w:afterLines="0" w:afterAutospacing="0" w:line="240" w:lineRule="auto"/>
              <w:ind w:left="0" w:right="0"/>
              <w:rPr>
                <w:rFonts w:hint="default" w:ascii="Times New Roman"/>
                <w:snapToGrid w:val="0"/>
                <w:kern w:val="21"/>
                <w:szCs w:val="21"/>
                <w:highlight w:val="none"/>
                <w:lang w:val="en-US" w:eastAsia="zh-CN"/>
              </w:rPr>
            </w:pPr>
            <w:r>
              <w:rPr>
                <w:rFonts w:hint="eastAsia" w:ascii="Times New Roman"/>
                <w:snapToGrid w:val="0"/>
                <w:kern w:val="21"/>
                <w:szCs w:val="21"/>
                <w:highlight w:val="none"/>
                <w:lang w:val="en-US" w:eastAsia="zh-CN"/>
              </w:rPr>
              <w:t>含油抹布及手套</w:t>
            </w:r>
          </w:p>
        </w:tc>
        <w:tc>
          <w:tcPr>
            <w:tcW w:w="1794" w:type="dxa"/>
            <w:shd w:val="clear" w:color="auto" w:fill="auto"/>
            <w:vAlign w:val="center"/>
          </w:tcPr>
          <w:p w14:paraId="1B8AF80A">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cs="Times New Roman"/>
                <w:color w:val="auto"/>
                <w:spacing w:val="0"/>
                <w:kern w:val="0"/>
                <w:sz w:val="21"/>
                <w:szCs w:val="21"/>
                <w:highlight w:val="none"/>
                <w:lang w:val="en-US" w:eastAsia="zh-CN"/>
              </w:rPr>
              <w:t>/</w:t>
            </w:r>
          </w:p>
        </w:tc>
        <w:tc>
          <w:tcPr>
            <w:tcW w:w="1881" w:type="dxa"/>
            <w:shd w:val="clear" w:color="auto" w:fill="auto"/>
            <w:vAlign w:val="center"/>
          </w:tcPr>
          <w:p w14:paraId="70B73162">
            <w:pPr>
              <w:pStyle w:val="55"/>
              <w:keepNext w:val="0"/>
              <w:keepLines w:val="0"/>
              <w:suppressLineNumbers w:val="0"/>
              <w:adjustRightInd/>
              <w:snapToGrid/>
              <w:spacing w:before="0" w:beforeLines="0" w:beforeAutospacing="0" w:after="0" w:afterLines="0" w:afterAutospacing="0" w:line="240" w:lineRule="auto"/>
              <w:ind w:left="0" w:leftChars="0" w:right="0" w:rightChars="0"/>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snapToGrid w:val="0"/>
                <w:kern w:val="21"/>
                <w:szCs w:val="21"/>
                <w:highlight w:val="none"/>
                <w:lang w:val="en-US" w:eastAsia="zh-CN"/>
              </w:rPr>
              <w:t>/</w:t>
            </w:r>
          </w:p>
        </w:tc>
        <w:tc>
          <w:tcPr>
            <w:tcW w:w="1724" w:type="dxa"/>
            <w:shd w:val="clear" w:color="auto" w:fill="auto"/>
            <w:vAlign w:val="center"/>
          </w:tcPr>
          <w:p w14:paraId="69480363">
            <w:pPr>
              <w:pStyle w:val="55"/>
              <w:keepNext w:val="0"/>
              <w:keepLines w:val="0"/>
              <w:suppressLineNumbers w:val="0"/>
              <w:adjustRightInd/>
              <w:snapToGrid/>
              <w:spacing w:before="0" w:beforeLines="0" w:beforeAutospacing="0" w:after="0" w:afterLines="0" w:afterAutospacing="0" w:line="240" w:lineRule="auto"/>
              <w:ind w:left="0" w:leftChars="0" w:right="0" w:rightChars="0"/>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snapToGrid w:val="0"/>
                <w:kern w:val="21"/>
                <w:szCs w:val="21"/>
                <w:highlight w:val="none"/>
                <w:lang w:val="en-US" w:eastAsia="zh-CN"/>
              </w:rPr>
              <w:t>0.0014t/a</w:t>
            </w:r>
          </w:p>
        </w:tc>
        <w:tc>
          <w:tcPr>
            <w:tcW w:w="1947" w:type="dxa"/>
            <w:shd w:val="clear" w:color="auto" w:fill="auto"/>
            <w:vAlign w:val="center"/>
          </w:tcPr>
          <w:p w14:paraId="6FAFBE68">
            <w:pPr>
              <w:pStyle w:val="55"/>
              <w:keepNext w:val="0"/>
              <w:keepLines w:val="0"/>
              <w:suppressLineNumbers w:val="0"/>
              <w:adjustRightInd/>
              <w:snapToGrid/>
              <w:spacing w:before="0" w:beforeLines="0" w:beforeAutospacing="0" w:after="0" w:afterLines="0" w:afterAutospacing="0" w:line="240" w:lineRule="auto"/>
              <w:ind w:left="0" w:leftChars="0" w:right="0" w:rightChars="0"/>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snapToGrid w:val="0"/>
                <w:kern w:val="21"/>
                <w:szCs w:val="21"/>
                <w:highlight w:val="none"/>
              </w:rPr>
              <w:t>/</w:t>
            </w:r>
          </w:p>
        </w:tc>
        <w:tc>
          <w:tcPr>
            <w:tcW w:w="1632" w:type="dxa"/>
            <w:shd w:val="clear" w:color="auto" w:fill="auto"/>
            <w:vAlign w:val="center"/>
          </w:tcPr>
          <w:p w14:paraId="74F8B1BF">
            <w:pPr>
              <w:pStyle w:val="55"/>
              <w:keepNext w:val="0"/>
              <w:keepLines w:val="0"/>
              <w:suppressLineNumbers w:val="0"/>
              <w:adjustRightInd/>
              <w:snapToGrid/>
              <w:spacing w:before="0" w:beforeLines="0" w:beforeAutospacing="0" w:after="0" w:afterLines="0" w:afterAutospacing="0" w:line="240" w:lineRule="auto"/>
              <w:ind w:left="0" w:leftChars="0" w:right="0" w:rightChars="0"/>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snapToGrid w:val="0"/>
                <w:kern w:val="21"/>
                <w:szCs w:val="21"/>
                <w:highlight w:val="none"/>
                <w:lang w:val="en-US" w:eastAsia="zh-CN"/>
              </w:rPr>
              <w:t>0.0014t/a</w:t>
            </w:r>
          </w:p>
        </w:tc>
        <w:tc>
          <w:tcPr>
            <w:tcW w:w="1447" w:type="dxa"/>
            <w:shd w:val="clear" w:color="auto" w:fill="auto"/>
            <w:vAlign w:val="center"/>
          </w:tcPr>
          <w:p w14:paraId="62319517">
            <w:pPr>
              <w:pStyle w:val="55"/>
              <w:keepNext w:val="0"/>
              <w:keepLines w:val="0"/>
              <w:suppressLineNumbers w:val="0"/>
              <w:adjustRightInd/>
              <w:snapToGrid/>
              <w:spacing w:before="0" w:beforeLines="0" w:beforeAutospacing="0" w:after="0" w:afterLines="0" w:afterAutospacing="0" w:line="240" w:lineRule="auto"/>
              <w:ind w:left="0" w:leftChars="0" w:right="0" w:rightChars="0"/>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snapToGrid w:val="0"/>
                <w:kern w:val="21"/>
                <w:szCs w:val="21"/>
                <w:highlight w:val="none"/>
                <w:lang w:val="en-US" w:eastAsia="zh-CN"/>
              </w:rPr>
              <w:t>+0.0014t/a</w:t>
            </w:r>
          </w:p>
        </w:tc>
      </w:tr>
    </w:tbl>
    <w:p w14:paraId="0D645ABF">
      <w:pPr>
        <w:pStyle w:val="55"/>
        <w:spacing w:before="192" w:beforeLines="80" w:after="24"/>
        <w:jc w:val="left"/>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Cs w:val="21"/>
          <w:highlight w:val="none"/>
          <w14:textFill>
            <w14:solidFill>
              <w14:schemeClr w14:val="tx1"/>
            </w14:solidFill>
          </w14:textFill>
        </w:rPr>
        <w:t>注：</w:t>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instrText xml:space="preserve"> = 6 \* GB3 \* MERGEFORMAT </w:instrText>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szCs w:val="21"/>
          <w:highlight w:val="none"/>
          <w14:textFill>
            <w14:solidFill>
              <w14:schemeClr w14:val="tx1"/>
            </w14:solidFill>
          </w14:textFill>
        </w:rPr>
        <w:t>⑥</w:t>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fldChar w:fldCharType="end"/>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t>=</w: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instrText xml:space="preserve"> = 1 \* GB3 \* MERGEFORMAT </w:instrTex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szCs w:val="21"/>
          <w:highlight w:val="none"/>
          <w14:textFill>
            <w14:solidFill>
              <w14:schemeClr w14:val="tx1"/>
            </w14:solidFill>
          </w14:textFill>
        </w:rPr>
        <w:t>①</w: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end"/>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t>+</w: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instrText xml:space="preserve"> = 3 \* GB3 \* MERGEFORMAT </w:instrTex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szCs w:val="21"/>
          <w:highlight w:val="none"/>
          <w14:textFill>
            <w14:solidFill>
              <w14:schemeClr w14:val="tx1"/>
            </w14:solidFill>
          </w14:textFill>
        </w:rPr>
        <w:t>③</w: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end"/>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t>+</w: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instrText xml:space="preserve"> = 4 \* GB3 \* MERGEFORMAT </w:instrTex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szCs w:val="21"/>
          <w:highlight w:val="none"/>
          <w14:textFill>
            <w14:solidFill>
              <w14:schemeClr w14:val="tx1"/>
            </w14:solidFill>
          </w14:textFill>
        </w:rPr>
        <w:t>④</w: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end"/>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t>-</w:t>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instrText xml:space="preserve"> = 5 \* GB3 \* MERGEFORMAT </w:instrText>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szCs w:val="21"/>
          <w:highlight w:val="none"/>
          <w14:textFill>
            <w14:solidFill>
              <w14:schemeClr w14:val="tx1"/>
            </w14:solidFill>
          </w14:textFill>
        </w:rPr>
        <w:t>⑤</w:t>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fldChar w:fldCharType="end"/>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t>；</w: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instrText xml:space="preserve"> = 7 \* GB3 \* MERGEFORMAT </w:instrTex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szCs w:val="21"/>
          <w:highlight w:val="none"/>
          <w14:textFill>
            <w14:solidFill>
              <w14:schemeClr w14:val="tx1"/>
            </w14:solidFill>
          </w14:textFill>
        </w:rPr>
        <w:t>⑦</w: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end"/>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t>=</w:t>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instrText xml:space="preserve"> = 6 \* GB3 \* MERGEFORMAT </w:instrText>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szCs w:val="21"/>
          <w:highlight w:val="none"/>
          <w14:textFill>
            <w14:solidFill>
              <w14:schemeClr w14:val="tx1"/>
            </w14:solidFill>
          </w14:textFill>
        </w:rPr>
        <w:t>⑥</w:t>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fldChar w:fldCharType="end"/>
      </w:r>
      <w:r>
        <w:rPr>
          <w:rFonts w:hint="default" w:ascii="Times New Roman" w:hAnsi="Times New Roman" w:eastAsia="宋体" w:cs="Times New Roman"/>
          <w:snapToGrid w:val="0"/>
          <w:color w:val="000000" w:themeColor="text1"/>
          <w:spacing w:val="-16"/>
          <w:kern w:val="21"/>
          <w:szCs w:val="21"/>
          <w:highlight w:val="none"/>
          <w14:textFill>
            <w14:solidFill>
              <w14:schemeClr w14:val="tx1"/>
            </w14:solidFill>
          </w14:textFill>
        </w:rPr>
        <w:t>-</w: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instrText xml:space="preserve"> = 1 \* GB3 \* MERGEFORMAT </w:instrTex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eastAsia="宋体" w:cs="Times New Roman"/>
          <w:color w:val="000000" w:themeColor="text1"/>
          <w:szCs w:val="21"/>
          <w:highlight w:val="none"/>
          <w14:textFill>
            <w14:solidFill>
              <w14:schemeClr w14:val="tx1"/>
            </w14:solidFill>
          </w14:textFill>
        </w:rPr>
        <w:t>①</w:t>
      </w:r>
      <w:r>
        <w:rPr>
          <w:rFonts w:hint="default" w:ascii="Times New Roman" w:hAnsi="Times New Roman" w:eastAsia="宋体" w:cs="Times New Roman"/>
          <w:snapToGrid w:val="0"/>
          <w:color w:val="000000" w:themeColor="text1"/>
          <w:spacing w:val="-6"/>
          <w:kern w:val="21"/>
          <w:szCs w:val="21"/>
          <w:highlight w:val="none"/>
          <w14:textFill>
            <w14:solidFill>
              <w14:schemeClr w14:val="tx1"/>
            </w14:solidFill>
          </w14:textFill>
        </w:rPr>
        <w:fldChar w:fldCharType="end"/>
      </w:r>
    </w:p>
    <w:p w14:paraId="15C3755D">
      <w:pPr>
        <w:jc w:val="left"/>
        <w:outlineLvl w:val="0"/>
        <w:rPr>
          <w:rFonts w:hint="default" w:ascii="Times New Roman" w:hAnsi="Times New Roman" w:eastAsia="宋体" w:cs="Times New Roman"/>
          <w:b/>
          <w:color w:val="000000" w:themeColor="text1"/>
          <w:highlight w:val="none"/>
          <w14:textFill>
            <w14:solidFill>
              <w14:schemeClr w14:val="tx1"/>
            </w14:solidFill>
          </w14:textFill>
        </w:rPr>
      </w:pPr>
      <w:bookmarkStart w:id="28" w:name="_Toc28396"/>
    </w:p>
    <w:p w14:paraId="45596F91">
      <w:pPr>
        <w:jc w:val="left"/>
        <w:outlineLvl w:val="0"/>
        <w:rPr>
          <w:rFonts w:hint="default" w:ascii="Times New Roman" w:hAnsi="Times New Roman" w:eastAsia="宋体" w:cs="Times New Roman"/>
          <w:color w:val="000000" w:themeColor="text1"/>
          <w:highlight w:val="none"/>
          <w14:textFill>
            <w14:solidFill>
              <w14:schemeClr w14:val="tx1"/>
            </w14:solidFill>
          </w14:textFill>
        </w:rPr>
      </w:pPr>
      <w:bookmarkStart w:id="29" w:name="_Toc930"/>
      <w:r>
        <w:rPr>
          <w:rFonts w:hint="default" w:ascii="Times New Roman" w:hAnsi="Times New Roman" w:eastAsia="宋体" w:cs="Times New Roman"/>
          <w:color w:val="000000" w:themeColor="text1"/>
          <w:highlight w:val="none"/>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733425</wp:posOffset>
                </wp:positionH>
                <wp:positionV relativeFrom="paragraph">
                  <wp:posOffset>2260600</wp:posOffset>
                </wp:positionV>
                <wp:extent cx="1311910" cy="581025"/>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1311910" cy="581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DCB8EA">
                            <w:pPr>
                              <w:rPr>
                                <w:rFonts w:hint="eastAsia" w:eastAsia="宋体"/>
                                <w:b/>
                                <w:bCs/>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75pt;margin-top:178pt;height:45.75pt;width:103.3pt;z-index:251665408;mso-width-relative:page;mso-height-relative:page;" filled="f" stroked="f" coordsize="21600,21600" o:gfxdata="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2/uodNsAAAALAQAADwAAAAAAAAABACAAAAAiAAAA&#10;ZHJzL2Rvd25yZXYueG1sUEsBAhQAFAAAAAgAh07iQK3SLm49AgAAagQAAA4AAAAAAAAAAQAgAAAA&#10;KgEAAGRycy9lMm9Eb2MueG1sUEsFBgAAAAAGAAYAWQEAANkFAAAAAA==&#10;">
                <v:fill on="f" focussize="0,0"/>
                <v:stroke on="f" weight="0.5pt"/>
                <v:imagedata o:title=""/>
                <o:lock v:ext="edit" aspectratio="f"/>
                <v:textbox>
                  <w:txbxContent>
                    <w:p w14:paraId="36DCB8EA">
                      <w:pPr>
                        <w:rPr>
                          <w:rFonts w:hint="eastAsia" w:eastAsia="宋体"/>
                          <w:b/>
                          <w:bCs/>
                          <w:lang w:val="en-US" w:eastAsia="zh-CN"/>
                        </w:rPr>
                      </w:pPr>
                    </w:p>
                  </w:txbxContent>
                </v:textbox>
              </v:shape>
            </w:pict>
          </mc:Fallback>
        </mc:AlternateContent>
      </w:r>
      <w:r>
        <w:rPr>
          <w:rFonts w:hint="default" w:ascii="Times New Roman" w:hAnsi="Times New Roman" w:eastAsia="宋体" w:cs="Times New Roman"/>
          <w:b/>
          <w:color w:val="000000" w:themeColor="text1"/>
          <w:highlight w:val="none"/>
          <w14:textFill>
            <w14:solidFill>
              <w14:schemeClr w14:val="tx1"/>
            </w14:solidFill>
          </w14:textFill>
        </w:rPr>
        <w:t>附图</w:t>
      </w:r>
      <w:r>
        <w:rPr>
          <w:rFonts w:hint="default" w:ascii="Times New Roman" w:hAnsi="Times New Roman" w:eastAsia="宋体" w:cs="Times New Roman"/>
          <w:b/>
          <w:color w:val="000000" w:themeColor="text1"/>
          <w:highlight w:val="none"/>
          <w:lang w:val="en-US" w:eastAsia="zh-CN"/>
          <w14:textFill>
            <w14:solidFill>
              <w14:schemeClr w14:val="tx1"/>
            </w14:solidFill>
          </w14:textFill>
        </w:rPr>
        <w:t>1</w:t>
      </w:r>
      <w:r>
        <w:rPr>
          <w:rFonts w:hint="default" w:ascii="Times New Roman" w:hAnsi="Times New Roman" w:eastAsia="宋体" w:cs="Times New Roman"/>
          <w:b/>
          <w:color w:val="000000" w:themeColor="text1"/>
          <w:highlight w:val="none"/>
          <w14:textFill>
            <w14:solidFill>
              <w14:schemeClr w14:val="tx1"/>
            </w14:solidFill>
          </w14:textFill>
        </w:rPr>
        <w:t>地理位置图</w:t>
      </w:r>
      <w:bookmarkEnd w:id="29"/>
      <w:bookmarkStart w:id="30" w:name="_Toc7224"/>
    </w:p>
    <w:p w14:paraId="5051C56E">
      <w:pPr>
        <w:rPr>
          <w:rFonts w:hint="default" w:ascii="Times New Roman" w:hAnsi="Times New Roman" w:eastAsia="宋体" w:cs="Times New Roman"/>
          <w:color w:val="000000" w:themeColor="text1"/>
          <w:highlight w:val="none"/>
          <w14:textFill>
            <w14:solidFill>
              <w14:schemeClr w14:val="tx1"/>
            </w14:solidFill>
          </w14:textFill>
        </w:rPr>
      </w:pPr>
    </w:p>
    <w:p w14:paraId="0473FD2E">
      <w:pPr>
        <w:pStyle w:val="32"/>
        <w:rPr>
          <w:rFonts w:hint="default"/>
        </w:rPr>
        <w:sectPr>
          <w:footerReference r:id="rId8" w:type="default"/>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r>
        <w:drawing>
          <wp:inline distT="0" distB="0" distL="114300" distR="114300">
            <wp:extent cx="8530590" cy="4320540"/>
            <wp:effectExtent l="0" t="0" r="3810" b="381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46"/>
                    <a:stretch>
                      <a:fillRect/>
                    </a:stretch>
                  </pic:blipFill>
                  <pic:spPr>
                    <a:xfrm>
                      <a:off x="0" y="0"/>
                      <a:ext cx="8530590" cy="4320540"/>
                    </a:xfrm>
                    <a:prstGeom prst="rect">
                      <a:avLst/>
                    </a:prstGeom>
                    <a:noFill/>
                    <a:ln>
                      <a:noFill/>
                    </a:ln>
                  </pic:spPr>
                </pic:pic>
              </a:graphicData>
            </a:graphic>
          </wp:inline>
        </w:drawing>
      </w:r>
    </w:p>
    <w:bookmarkEnd w:id="30"/>
    <w:p w14:paraId="1D42B9AE">
      <w:pPr>
        <w:spacing w:line="360" w:lineRule="auto"/>
        <w:jc w:val="left"/>
        <w:outlineLvl w:val="0"/>
        <w:rPr>
          <w:rFonts w:hint="default" w:ascii="Times New Roman" w:hAnsi="Times New Roman" w:eastAsia="宋体" w:cs="Times New Roman"/>
          <w:b/>
          <w:bCs/>
          <w:color w:val="000000" w:themeColor="text1"/>
          <w:highlight w:val="none"/>
          <w14:textFill>
            <w14:solidFill>
              <w14:schemeClr w14:val="tx1"/>
            </w14:solidFill>
          </w14:textFill>
        </w:rPr>
      </w:pPr>
      <w:bookmarkStart w:id="31" w:name="_Toc2079"/>
      <w:r>
        <w:rPr>
          <w:rFonts w:hint="default" w:ascii="Times New Roman" w:hAnsi="Times New Roman" w:eastAsia="宋体" w:cs="Times New Roman"/>
          <w:b/>
          <w:bCs/>
          <w:color w:val="000000" w:themeColor="text1"/>
          <w:highlight w:val="none"/>
          <w14:textFill>
            <w14:solidFill>
              <w14:schemeClr w14:val="tx1"/>
            </w14:solidFill>
          </w14:textFill>
        </w:rPr>
        <w:t>附图</w:t>
      </w: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highlight w:val="none"/>
          <w14:textFill>
            <w14:solidFill>
              <w14:schemeClr w14:val="tx1"/>
            </w14:solidFill>
          </w14:textFill>
        </w:rPr>
        <w:t>本项目平面布置图</w:t>
      </w:r>
      <w:bookmarkEnd w:id="31"/>
    </w:p>
    <w:p w14:paraId="69431990">
      <w:pPr>
        <w:pStyle w:val="2"/>
        <w:ind w:left="0" w:leftChars="0" w:firstLine="0" w:firstLineChars="0"/>
        <w:rPr>
          <w:rFonts w:hint="default"/>
        </w:rPr>
        <w:sectPr>
          <w:footerReference r:id="rId9"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r>
        <w:drawing>
          <wp:inline distT="0" distB="0" distL="114300" distR="114300">
            <wp:extent cx="5613400" cy="3795395"/>
            <wp:effectExtent l="0" t="0" r="6350" b="14605"/>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47"/>
                    <a:stretch>
                      <a:fillRect/>
                    </a:stretch>
                  </pic:blipFill>
                  <pic:spPr>
                    <a:xfrm>
                      <a:off x="0" y="0"/>
                      <a:ext cx="5613400" cy="3795395"/>
                    </a:xfrm>
                    <a:prstGeom prst="rect">
                      <a:avLst/>
                    </a:prstGeom>
                    <a:noFill/>
                    <a:ln>
                      <a:noFill/>
                    </a:ln>
                  </pic:spPr>
                </pic:pic>
              </a:graphicData>
            </a:graphic>
          </wp:inline>
        </w:drawing>
      </w:r>
    </w:p>
    <w:p w14:paraId="389658F3">
      <w:pPr>
        <w:pStyle w:val="24"/>
        <w:jc w:val="center"/>
        <w:rPr>
          <w:rFonts w:hint="default" w:ascii="Times New Roman" w:hAnsi="Times New Roman" w:eastAsia="宋体" w:cs="Times New Roman"/>
          <w:color w:val="000000" w:themeColor="text1"/>
          <w:highlight w:val="none"/>
          <w14:textFill>
            <w14:solidFill>
              <w14:schemeClr w14:val="tx1"/>
            </w14:solidFill>
          </w14:textFill>
        </w:rPr>
      </w:pPr>
    </w:p>
    <w:p w14:paraId="53BE45AF">
      <w:pPr>
        <w:jc w:val="both"/>
        <w:outlineLvl w:val="0"/>
        <w:rPr>
          <w:rFonts w:hint="default" w:ascii="Times New Roman" w:hAnsi="Times New Roman" w:eastAsia="宋体" w:cs="Times New Roman"/>
          <w:b/>
          <w:bCs/>
          <w:color w:val="000000" w:themeColor="text1"/>
          <w:highlight w:val="none"/>
          <w14:textFill>
            <w14:solidFill>
              <w14:schemeClr w14:val="tx1"/>
            </w14:solidFill>
          </w14:textFill>
        </w:rPr>
      </w:pPr>
      <w:bookmarkStart w:id="32" w:name="_Toc3179"/>
      <w:bookmarkStart w:id="33" w:name="_Toc5411"/>
      <w:r>
        <w:rPr>
          <w:rFonts w:hint="default" w:ascii="Times New Roman" w:hAnsi="Times New Roman" w:eastAsia="宋体" w:cs="Times New Roman"/>
          <w:b/>
          <w:bCs/>
          <w:color w:val="000000" w:themeColor="text1"/>
          <w:highlight w:val="none"/>
          <w14:textFill>
            <w14:solidFill>
              <w14:schemeClr w14:val="tx1"/>
            </w14:solidFill>
          </w14:textFill>
        </w:rPr>
        <w:t>附图</w:t>
      </w: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3</w:t>
      </w:r>
      <w:r>
        <w:rPr>
          <w:rFonts w:hint="default" w:ascii="Times New Roman" w:hAnsi="Times New Roman" w:eastAsia="宋体" w:cs="Times New Roman"/>
          <w:b/>
          <w:bCs/>
          <w:color w:val="000000" w:themeColor="text1"/>
          <w:highlight w:val="none"/>
          <w14:textFill>
            <w14:solidFill>
              <w14:schemeClr w14:val="tx1"/>
            </w14:solidFill>
          </w14:textFill>
        </w:rPr>
        <w:t>环境保护目标分布图</w:t>
      </w:r>
      <w:bookmarkEnd w:id="32"/>
      <w:bookmarkEnd w:id="33"/>
    </w:p>
    <w:p w14:paraId="23824A8C">
      <w:pPr>
        <w:jc w:val="center"/>
        <w:rPr>
          <w:rFonts w:hint="default" w:ascii="Times New Roman" w:hAnsi="Times New Roman" w:eastAsia="宋体" w:cs="Times New Roman"/>
          <w:color w:val="000000" w:themeColor="text1"/>
          <w:highlight w:val="none"/>
          <w14:textFill>
            <w14:solidFill>
              <w14:schemeClr w14:val="tx1"/>
            </w14:solidFill>
          </w14:textFill>
        </w:rPr>
      </w:pPr>
    </w:p>
    <w:p w14:paraId="28A49608">
      <w:pPr>
        <w:jc w:val="center"/>
        <w:rPr>
          <w:rFonts w:hint="default" w:ascii="Times New Roman" w:hAnsi="Times New Roman" w:eastAsia="宋体" w:cs="Times New Roman"/>
          <w:color w:val="000000" w:themeColor="text1"/>
          <w:highlight w:val="none"/>
          <w14:textFill>
            <w14:solidFill>
              <w14:schemeClr w14:val="tx1"/>
            </w14:solidFill>
          </w14:textFill>
        </w:rPr>
      </w:pPr>
      <w:r>
        <w:drawing>
          <wp:inline distT="0" distB="0" distL="114300" distR="114300">
            <wp:extent cx="8740140" cy="4426585"/>
            <wp:effectExtent l="0" t="0" r="3810" b="12065"/>
            <wp:docPr id="1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pic:cNvPicPr>
                      <a:picLocks noChangeAspect="1"/>
                    </pic:cNvPicPr>
                  </pic:nvPicPr>
                  <pic:blipFill>
                    <a:blip r:embed="rId48"/>
                    <a:stretch>
                      <a:fillRect/>
                    </a:stretch>
                  </pic:blipFill>
                  <pic:spPr>
                    <a:xfrm>
                      <a:off x="0" y="0"/>
                      <a:ext cx="8740140" cy="4426585"/>
                    </a:xfrm>
                    <a:prstGeom prst="rect">
                      <a:avLst/>
                    </a:prstGeom>
                    <a:noFill/>
                    <a:ln>
                      <a:noFill/>
                    </a:ln>
                  </pic:spPr>
                </pic:pic>
              </a:graphicData>
            </a:graphic>
          </wp:inline>
        </w:drawing>
      </w:r>
    </w:p>
    <w:p w14:paraId="4B1FAC84">
      <w:pPr>
        <w:pStyle w:val="32"/>
        <w:jc w:val="left"/>
        <w:outlineLvl w:val="0"/>
        <w:rPr>
          <w:rFonts w:hint="default" w:ascii="Times New Roman" w:hAnsi="Times New Roman" w:eastAsia="宋体" w:cs="Times New Roman"/>
          <w:b/>
          <w:color w:val="000000" w:themeColor="text1"/>
          <w:highlight w:val="none"/>
          <w14:textFill>
            <w14:solidFill>
              <w14:schemeClr w14:val="tx1"/>
            </w14:solidFill>
          </w14:textFill>
        </w:rPr>
        <w:sectPr>
          <w:pgSz w:w="16838" w:h="11906" w:orient="landscape"/>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bookmarkStart w:id="34" w:name="_Toc28538"/>
      <w:r>
        <w:rPr>
          <w:rFonts w:hint="default" w:ascii="Times New Roman" w:hAnsi="Times New Roman" w:cs="Times New Roman"/>
          <w:sz w:val="24"/>
        </w:rPr>
        <mc:AlternateContent>
          <mc:Choice Requires="wps">
            <w:drawing>
              <wp:anchor distT="0" distB="0" distL="114300" distR="114300" simplePos="0" relativeHeight="251666432" behindDoc="0" locked="0" layoutInCell="1" allowOverlap="1">
                <wp:simplePos x="0" y="0"/>
                <wp:positionH relativeFrom="column">
                  <wp:posOffset>7684135</wp:posOffset>
                </wp:positionH>
                <wp:positionV relativeFrom="paragraph">
                  <wp:posOffset>5345430</wp:posOffset>
                </wp:positionV>
                <wp:extent cx="1689100" cy="978535"/>
                <wp:effectExtent l="4445" t="4445" r="20955" b="7620"/>
                <wp:wrapNone/>
                <wp:docPr id="28" name="文本框 28"/>
                <wp:cNvGraphicFramePr/>
                <a:graphic xmlns:a="http://schemas.openxmlformats.org/drawingml/2006/main">
                  <a:graphicData uri="http://schemas.microsoft.com/office/word/2010/wordprocessingShape">
                    <wps:wsp>
                      <wps:cNvSpPr txBox="1"/>
                      <wps:spPr>
                        <a:xfrm>
                          <a:off x="7508240" y="5542280"/>
                          <a:ext cx="1689100" cy="978535"/>
                        </a:xfrm>
                        <a:prstGeom prst="rect">
                          <a:avLst/>
                        </a:prstGeom>
                        <a:solidFill>
                          <a:srgbClr val="FFFFFF"/>
                        </a:solidFill>
                        <a:ln w="6350">
                          <a:solidFill>
                            <a:prstClr val="black"/>
                          </a:solidFill>
                        </a:ln>
                        <a:effectLst/>
                      </wps:spPr>
                      <wps:txbx>
                        <w:txbxContent>
                          <w:p w14:paraId="52548500">
                            <w:pPr>
                              <w:jc w:val="center"/>
                              <w:rPr>
                                <w:rFonts w:hint="eastAsia"/>
                                <w:sz w:val="21"/>
                                <w:szCs w:val="21"/>
                                <w:lang w:val="en-US" w:eastAsia="zh-CN"/>
                              </w:rPr>
                            </w:pPr>
                            <w:r>
                              <w:rPr>
                                <w:rFonts w:hint="eastAsia"/>
                                <w:sz w:val="21"/>
                                <w:szCs w:val="21"/>
                                <w:lang w:val="en-US" w:eastAsia="zh-CN"/>
                              </w:rPr>
                              <w:t>图例</w:t>
                            </w:r>
                          </w:p>
                          <w:p w14:paraId="7D336364">
                            <w:pPr>
                              <w:jc w:val="both"/>
                              <w:rPr>
                                <w:rFonts w:hint="eastAsia"/>
                                <w:sz w:val="21"/>
                                <w:szCs w:val="21"/>
                                <w:lang w:val="en-US" w:eastAsia="zh-CN"/>
                              </w:rPr>
                            </w:pPr>
                            <w:r>
                              <w:rPr>
                                <w:rFonts w:hint="eastAsia"/>
                                <w:color w:val="FF0000"/>
                                <w:sz w:val="21"/>
                                <w:szCs w:val="21"/>
                                <w:lang w:val="en-US" w:eastAsia="zh-CN"/>
                              </w:rPr>
                              <w:t>□</w:t>
                            </w:r>
                            <w:r>
                              <w:rPr>
                                <w:rFonts w:hint="eastAsia"/>
                                <w:sz w:val="21"/>
                                <w:szCs w:val="21"/>
                                <w:lang w:val="en-US" w:eastAsia="zh-CN"/>
                              </w:rPr>
                              <w:t>本项目</w:t>
                            </w:r>
                          </w:p>
                          <w:p w14:paraId="50656E25">
                            <w:pPr>
                              <w:rPr>
                                <w:rFonts w:hint="default"/>
                                <w:sz w:val="21"/>
                                <w:szCs w:val="21"/>
                                <w:lang w:val="en-US" w:eastAsia="zh-CN"/>
                              </w:rPr>
                            </w:pPr>
                            <w:r>
                              <w:rPr>
                                <w:rFonts w:hint="eastAsia"/>
                                <w:color w:val="92D050"/>
                                <w:sz w:val="21"/>
                                <w:szCs w:val="21"/>
                                <w:lang w:val="en-US" w:eastAsia="zh-CN"/>
                              </w:rPr>
                              <w:t>□</w:t>
                            </w:r>
                            <w:r>
                              <w:rPr>
                                <w:rFonts w:hint="eastAsia"/>
                                <w:sz w:val="21"/>
                                <w:szCs w:val="21"/>
                                <w:lang w:val="en-US" w:eastAsia="zh-CN"/>
                              </w:rPr>
                              <w:t>声环境评价范围</w:t>
                            </w:r>
                          </w:p>
                          <w:p w14:paraId="14427D16">
                            <w:pPr>
                              <w:rPr>
                                <w:rFonts w:hint="eastAsia"/>
                                <w:sz w:val="21"/>
                                <w:szCs w:val="21"/>
                                <w:lang w:val="en-US" w:eastAsia="zh-CN"/>
                              </w:rPr>
                            </w:pPr>
                            <w:r>
                              <w:rPr>
                                <w:rFonts w:hint="eastAsia"/>
                                <w:color w:val="FFFF00"/>
                                <w:sz w:val="21"/>
                                <w:szCs w:val="21"/>
                                <w:lang w:val="en-US" w:eastAsia="zh-CN"/>
                              </w:rPr>
                              <w:t>□</w:t>
                            </w:r>
                            <w:r>
                              <w:rPr>
                                <w:rFonts w:hint="eastAsia"/>
                                <w:sz w:val="21"/>
                                <w:szCs w:val="21"/>
                                <w:lang w:val="en-US" w:eastAsia="zh-CN"/>
                              </w:rPr>
                              <w:t>大气环境评价范围</w:t>
                            </w:r>
                          </w:p>
                          <w:p w14:paraId="0A296352">
                            <w:pPr>
                              <w:rPr>
                                <w:rFonts w:hint="default"/>
                                <w:sz w:val="21"/>
                                <w:szCs w:val="21"/>
                                <w:lang w:val="en-US" w:eastAsia="zh-CN"/>
                              </w:rPr>
                            </w:pPr>
                            <w:r>
                              <w:rPr>
                                <w:rFonts w:hint="eastAsia"/>
                                <w:color w:val="FFFF00"/>
                                <w:sz w:val="21"/>
                                <w:szCs w:val="21"/>
                                <w:highlight w:val="yellow"/>
                                <w:lang w:val="en-US" w:eastAsia="zh-CN"/>
                              </w:rPr>
                              <w:t>□</w:t>
                            </w:r>
                            <w:r>
                              <w:rPr>
                                <w:rFonts w:hint="eastAsia"/>
                                <w:sz w:val="21"/>
                                <w:szCs w:val="21"/>
                                <w:lang w:val="en-US" w:eastAsia="zh-CN"/>
                              </w:rPr>
                              <w:t>敏感目标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05.05pt;margin-top:420.9pt;height:77.05pt;width:133pt;z-index:251666432;mso-width-relative:page;mso-height-relative:page;" fillcolor="#FFFFFF" filled="t" stroked="t" coordsize="21600,21600" o:gfxdata="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i1Bhy2QAAAA0BAAAPAAAAAAAAAAEAIAAAACIAAABkcnMvZG93bnJldi54&#10;bWxQSwECFAAUAAAACACHTuJA6DRVv2sCAADTBAAADgAAAAAAAAABACAAAAAoAQAAZHJzL2Uyb0Rv&#10;Yy54bWxQSwUGAAAAAAYABgBZAQAABQYAAAAA&#10;">
                <v:fill on="t" focussize="0,0"/>
                <v:stroke weight="0.5pt" color="#000000" joinstyle="round"/>
                <v:imagedata o:title=""/>
                <o:lock v:ext="edit" aspectratio="f"/>
                <v:textbox>
                  <w:txbxContent>
                    <w:p w14:paraId="52548500">
                      <w:pPr>
                        <w:jc w:val="center"/>
                        <w:rPr>
                          <w:rFonts w:hint="eastAsia"/>
                          <w:sz w:val="21"/>
                          <w:szCs w:val="21"/>
                          <w:lang w:val="en-US" w:eastAsia="zh-CN"/>
                        </w:rPr>
                      </w:pPr>
                      <w:r>
                        <w:rPr>
                          <w:rFonts w:hint="eastAsia"/>
                          <w:sz w:val="21"/>
                          <w:szCs w:val="21"/>
                          <w:lang w:val="en-US" w:eastAsia="zh-CN"/>
                        </w:rPr>
                        <w:t>图例</w:t>
                      </w:r>
                    </w:p>
                    <w:p w14:paraId="7D336364">
                      <w:pPr>
                        <w:jc w:val="both"/>
                        <w:rPr>
                          <w:rFonts w:hint="eastAsia"/>
                          <w:sz w:val="21"/>
                          <w:szCs w:val="21"/>
                          <w:lang w:val="en-US" w:eastAsia="zh-CN"/>
                        </w:rPr>
                      </w:pPr>
                      <w:r>
                        <w:rPr>
                          <w:rFonts w:hint="eastAsia"/>
                          <w:color w:val="FF0000"/>
                          <w:sz w:val="21"/>
                          <w:szCs w:val="21"/>
                          <w:lang w:val="en-US" w:eastAsia="zh-CN"/>
                        </w:rPr>
                        <w:t>□</w:t>
                      </w:r>
                      <w:r>
                        <w:rPr>
                          <w:rFonts w:hint="eastAsia"/>
                          <w:sz w:val="21"/>
                          <w:szCs w:val="21"/>
                          <w:lang w:val="en-US" w:eastAsia="zh-CN"/>
                        </w:rPr>
                        <w:t>本项目</w:t>
                      </w:r>
                    </w:p>
                    <w:p w14:paraId="50656E25">
                      <w:pPr>
                        <w:rPr>
                          <w:rFonts w:hint="default"/>
                          <w:sz w:val="21"/>
                          <w:szCs w:val="21"/>
                          <w:lang w:val="en-US" w:eastAsia="zh-CN"/>
                        </w:rPr>
                      </w:pPr>
                      <w:r>
                        <w:rPr>
                          <w:rFonts w:hint="eastAsia"/>
                          <w:color w:val="92D050"/>
                          <w:sz w:val="21"/>
                          <w:szCs w:val="21"/>
                          <w:lang w:val="en-US" w:eastAsia="zh-CN"/>
                        </w:rPr>
                        <w:t>□</w:t>
                      </w:r>
                      <w:r>
                        <w:rPr>
                          <w:rFonts w:hint="eastAsia"/>
                          <w:sz w:val="21"/>
                          <w:szCs w:val="21"/>
                          <w:lang w:val="en-US" w:eastAsia="zh-CN"/>
                        </w:rPr>
                        <w:t>声环境评价范围</w:t>
                      </w:r>
                    </w:p>
                    <w:p w14:paraId="14427D16">
                      <w:pPr>
                        <w:rPr>
                          <w:rFonts w:hint="eastAsia"/>
                          <w:sz w:val="21"/>
                          <w:szCs w:val="21"/>
                          <w:lang w:val="en-US" w:eastAsia="zh-CN"/>
                        </w:rPr>
                      </w:pPr>
                      <w:r>
                        <w:rPr>
                          <w:rFonts w:hint="eastAsia"/>
                          <w:color w:val="FFFF00"/>
                          <w:sz w:val="21"/>
                          <w:szCs w:val="21"/>
                          <w:lang w:val="en-US" w:eastAsia="zh-CN"/>
                        </w:rPr>
                        <w:t>□</w:t>
                      </w:r>
                      <w:r>
                        <w:rPr>
                          <w:rFonts w:hint="eastAsia"/>
                          <w:sz w:val="21"/>
                          <w:szCs w:val="21"/>
                          <w:lang w:val="en-US" w:eastAsia="zh-CN"/>
                        </w:rPr>
                        <w:t>大气环境评价范围</w:t>
                      </w:r>
                    </w:p>
                    <w:p w14:paraId="0A296352">
                      <w:pPr>
                        <w:rPr>
                          <w:rFonts w:hint="default"/>
                          <w:sz w:val="21"/>
                          <w:szCs w:val="21"/>
                          <w:lang w:val="en-US" w:eastAsia="zh-CN"/>
                        </w:rPr>
                      </w:pPr>
                      <w:r>
                        <w:rPr>
                          <w:rFonts w:hint="eastAsia"/>
                          <w:color w:val="FFFF00"/>
                          <w:sz w:val="21"/>
                          <w:szCs w:val="21"/>
                          <w:highlight w:val="yellow"/>
                          <w:lang w:val="en-US" w:eastAsia="zh-CN"/>
                        </w:rPr>
                        <w:t>□</w:t>
                      </w:r>
                      <w:r>
                        <w:rPr>
                          <w:rFonts w:hint="eastAsia"/>
                          <w:sz w:val="21"/>
                          <w:szCs w:val="21"/>
                          <w:lang w:val="en-US" w:eastAsia="zh-CN"/>
                        </w:rPr>
                        <w:t>敏感目标</w:t>
                      </w:r>
                    </w:p>
                  </w:txbxContent>
                </v:textbox>
              </v:shape>
            </w:pict>
          </mc:Fallback>
        </mc:AlternateContent>
      </w:r>
    </w:p>
    <w:p w14:paraId="58A2D53E">
      <w:pPr>
        <w:pStyle w:val="32"/>
        <w:jc w:val="left"/>
        <w:outlineLvl w:val="0"/>
        <w:rPr>
          <w:rFonts w:hint="default" w:ascii="Times New Roman" w:hAnsi="Times New Roman" w:eastAsia="宋体" w:cs="Times New Roman"/>
          <w:color w:val="000000" w:themeColor="text1"/>
          <w:highlight w:val="none"/>
          <w14:textFill>
            <w14:solidFill>
              <w14:schemeClr w14:val="tx1"/>
            </w14:solidFill>
          </w14:textFill>
        </w:rPr>
      </w:pPr>
      <w:bookmarkStart w:id="35" w:name="_Toc3644"/>
      <w:r>
        <w:rPr>
          <w:rFonts w:hint="default" w:ascii="Times New Roman" w:hAnsi="Times New Roman" w:eastAsia="宋体" w:cs="Times New Roman"/>
          <w:b/>
          <w:color w:val="000000" w:themeColor="text1"/>
          <w:highlight w:val="none"/>
          <w14:textFill>
            <w14:solidFill>
              <w14:schemeClr w14:val="tx1"/>
            </w14:solidFill>
          </w14:textFill>
        </w:rPr>
        <w:t>附图</w:t>
      </w:r>
      <w:r>
        <w:rPr>
          <w:rFonts w:hint="default" w:ascii="Times New Roman" w:hAnsi="Times New Roman" w:eastAsia="宋体" w:cs="Times New Roman"/>
          <w:b/>
          <w:color w:val="000000" w:themeColor="text1"/>
          <w:highlight w:val="none"/>
          <w:lang w:val="en-US" w:eastAsia="zh-CN"/>
          <w14:textFill>
            <w14:solidFill>
              <w14:schemeClr w14:val="tx1"/>
            </w14:solidFill>
          </w14:textFill>
        </w:rPr>
        <w:t>4</w:t>
      </w:r>
      <w:r>
        <w:rPr>
          <w:rFonts w:hint="default" w:ascii="Times New Roman" w:hAnsi="Times New Roman" w:eastAsia="宋体" w:cs="Times New Roman"/>
          <w:b/>
          <w:color w:val="000000" w:themeColor="text1"/>
          <w:highlight w:val="none"/>
          <w14:textFill>
            <w14:solidFill>
              <w14:schemeClr w14:val="tx1"/>
            </w14:solidFill>
          </w14:textFill>
        </w:rPr>
        <w:t>厂区</w:t>
      </w:r>
      <w:r>
        <w:rPr>
          <w:rFonts w:hint="default" w:ascii="Times New Roman" w:hAnsi="Times New Roman" w:eastAsia="宋体" w:cs="Times New Roman"/>
          <w:b/>
          <w:color w:val="000000" w:themeColor="text1"/>
          <w:highlight w:val="none"/>
          <w:lang w:val="en-US" w:eastAsia="zh-CN"/>
          <w14:textFill>
            <w14:solidFill>
              <w14:schemeClr w14:val="tx1"/>
            </w14:solidFill>
          </w14:textFill>
        </w:rPr>
        <w:t>四周</w:t>
      </w:r>
      <w:r>
        <w:rPr>
          <w:rFonts w:hint="default" w:ascii="Times New Roman" w:hAnsi="Times New Roman" w:eastAsia="宋体" w:cs="Times New Roman"/>
          <w:b/>
          <w:color w:val="000000" w:themeColor="text1"/>
          <w:highlight w:val="none"/>
          <w14:textFill>
            <w14:solidFill>
              <w14:schemeClr w14:val="tx1"/>
            </w14:solidFill>
          </w14:textFill>
        </w:rPr>
        <w:t>环境现状</w:t>
      </w:r>
      <w:bookmarkEnd w:id="34"/>
      <w:bookmarkEnd w:id="35"/>
    </w:p>
    <w:tbl>
      <w:tblPr>
        <w:tblStyle w:val="36"/>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2"/>
        <w:gridCol w:w="4467"/>
      </w:tblGrid>
      <w:tr w14:paraId="02059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4492" w:type="dxa"/>
          </w:tcPr>
          <w:p w14:paraId="019D7BD1">
            <w:pPr>
              <w:pStyle w:val="52"/>
              <w:keepNext w:val="0"/>
              <w:keepLines w:val="0"/>
              <w:suppressLineNumbers w:val="0"/>
              <w:spacing w:before="0" w:beforeAutospacing="0" w:after="0" w:afterAutospacing="0"/>
              <w:ind w:left="0" w:right="0" w:firstLine="0" w:firstLineChars="0"/>
              <w:jc w:val="left"/>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eastAsia="宋体" w:cs="Times New Roman"/>
                <w:color w:val="000000" w:themeColor="text1"/>
                <w:highlight w:val="none"/>
                <w:lang w:eastAsia="zh-CN"/>
                <w14:textFill>
                  <w14:solidFill>
                    <w14:schemeClr w14:val="tx1"/>
                  </w14:solidFill>
                </w14:textFill>
              </w:rPr>
              <w:drawing>
                <wp:inline distT="0" distB="0" distL="114300" distR="114300">
                  <wp:extent cx="2691765" cy="2019300"/>
                  <wp:effectExtent l="0" t="0" r="13335" b="0"/>
                  <wp:docPr id="6" name="图片 6" descr="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东"/>
                          <pic:cNvPicPr>
                            <a:picLocks noChangeAspect="1"/>
                          </pic:cNvPicPr>
                        </pic:nvPicPr>
                        <pic:blipFill>
                          <a:blip r:embed="rId49"/>
                          <a:stretch>
                            <a:fillRect/>
                          </a:stretch>
                        </pic:blipFill>
                        <pic:spPr>
                          <a:xfrm>
                            <a:off x="0" y="0"/>
                            <a:ext cx="2691765" cy="2019300"/>
                          </a:xfrm>
                          <a:prstGeom prst="rect">
                            <a:avLst/>
                          </a:prstGeom>
                        </pic:spPr>
                      </pic:pic>
                    </a:graphicData>
                  </a:graphic>
                </wp:inline>
              </w:drawing>
            </w:r>
          </w:p>
        </w:tc>
        <w:tc>
          <w:tcPr>
            <w:tcW w:w="4467" w:type="dxa"/>
          </w:tcPr>
          <w:p w14:paraId="16398D92">
            <w:pPr>
              <w:pStyle w:val="52"/>
              <w:keepNext w:val="0"/>
              <w:keepLines w:val="0"/>
              <w:suppressLineNumbers w:val="0"/>
              <w:spacing w:before="0" w:beforeAutospacing="0" w:after="0" w:afterAutospacing="0"/>
              <w:ind w:left="0" w:right="0" w:firstLine="0" w:firstLineChars="0"/>
              <w:jc w:val="left"/>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eastAsia="宋体" w:cs="Times New Roman"/>
                <w:color w:val="000000" w:themeColor="text1"/>
                <w:highlight w:val="none"/>
                <w:lang w:eastAsia="zh-CN"/>
                <w14:textFill>
                  <w14:solidFill>
                    <w14:schemeClr w14:val="tx1"/>
                  </w14:solidFill>
                </w14:textFill>
              </w:rPr>
              <w:drawing>
                <wp:inline distT="0" distB="0" distL="114300" distR="114300">
                  <wp:extent cx="2691765" cy="2019300"/>
                  <wp:effectExtent l="0" t="0" r="13335" b="0"/>
                  <wp:docPr id="70" name="图片 70" descr="91d9cbb77ba9859bed49c48eab4214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91d9cbb77ba9859bed49c48eab42146a"/>
                          <pic:cNvPicPr>
                            <a:picLocks noChangeAspect="1"/>
                          </pic:cNvPicPr>
                        </pic:nvPicPr>
                        <pic:blipFill>
                          <a:blip r:embed="rId50"/>
                          <a:stretch>
                            <a:fillRect/>
                          </a:stretch>
                        </pic:blipFill>
                        <pic:spPr>
                          <a:xfrm>
                            <a:off x="0" y="0"/>
                            <a:ext cx="2691765" cy="2019300"/>
                          </a:xfrm>
                          <a:prstGeom prst="rect">
                            <a:avLst/>
                          </a:prstGeom>
                        </pic:spPr>
                      </pic:pic>
                    </a:graphicData>
                  </a:graphic>
                </wp:inline>
              </w:drawing>
            </w:r>
          </w:p>
        </w:tc>
      </w:tr>
      <w:tr w14:paraId="27ABA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4492" w:type="dxa"/>
            <w:vAlign w:val="center"/>
          </w:tcPr>
          <w:p w14:paraId="1FEAD7AE">
            <w:pPr>
              <w:pStyle w:val="52"/>
              <w:keepNext w:val="0"/>
              <w:keepLines w:val="0"/>
              <w:suppressLineNumbers w:val="0"/>
              <w:spacing w:before="0" w:beforeAutospacing="0" w:after="0" w:afterAutospacing="0"/>
              <w:ind w:left="0" w:right="0" w:firstLine="0" w:firstLineChars="0"/>
              <w:jc w:val="center"/>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东侧</w:t>
            </w:r>
          </w:p>
        </w:tc>
        <w:tc>
          <w:tcPr>
            <w:tcW w:w="4467" w:type="dxa"/>
            <w:vAlign w:val="center"/>
          </w:tcPr>
          <w:p w14:paraId="1798C058">
            <w:pPr>
              <w:pStyle w:val="52"/>
              <w:keepNext w:val="0"/>
              <w:keepLines w:val="0"/>
              <w:suppressLineNumbers w:val="0"/>
              <w:spacing w:before="0" w:beforeAutospacing="0" w:after="0" w:afterAutospacing="0"/>
              <w:ind w:left="0" w:right="0" w:firstLine="0" w:firstLineChars="0"/>
              <w:jc w:val="center"/>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南侧</w:t>
            </w:r>
          </w:p>
        </w:tc>
      </w:tr>
      <w:tr w14:paraId="40757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8" w:hRule="atLeast"/>
          <w:jc w:val="center"/>
        </w:trPr>
        <w:tc>
          <w:tcPr>
            <w:tcW w:w="4492" w:type="dxa"/>
            <w:vAlign w:val="center"/>
          </w:tcPr>
          <w:p w14:paraId="460DC51E">
            <w:pPr>
              <w:pStyle w:val="52"/>
              <w:keepNext w:val="0"/>
              <w:keepLines w:val="0"/>
              <w:suppressLineNumbers w:val="0"/>
              <w:spacing w:before="0" w:beforeAutospacing="0" w:after="0" w:afterAutospacing="0"/>
              <w:ind w:left="0" w:right="0" w:firstLine="0" w:firstLineChars="0"/>
              <w:jc w:val="center"/>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eastAsia="宋体" w:cs="Times New Roman"/>
                <w:color w:val="000000" w:themeColor="text1"/>
                <w:highlight w:val="none"/>
                <w:lang w:eastAsia="zh-CN"/>
                <w14:textFill>
                  <w14:solidFill>
                    <w14:schemeClr w14:val="tx1"/>
                  </w14:solidFill>
                </w14:textFill>
              </w:rPr>
              <w:drawing>
                <wp:inline distT="0" distB="0" distL="114300" distR="114300">
                  <wp:extent cx="2691765" cy="2019300"/>
                  <wp:effectExtent l="0" t="0" r="13335" b="0"/>
                  <wp:docPr id="7" name="图片 7" descr="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西"/>
                          <pic:cNvPicPr>
                            <a:picLocks noChangeAspect="1"/>
                          </pic:cNvPicPr>
                        </pic:nvPicPr>
                        <pic:blipFill>
                          <a:blip r:embed="rId51"/>
                          <a:stretch>
                            <a:fillRect/>
                          </a:stretch>
                        </pic:blipFill>
                        <pic:spPr>
                          <a:xfrm>
                            <a:off x="0" y="0"/>
                            <a:ext cx="2691765" cy="2019300"/>
                          </a:xfrm>
                          <a:prstGeom prst="rect">
                            <a:avLst/>
                          </a:prstGeom>
                        </pic:spPr>
                      </pic:pic>
                    </a:graphicData>
                  </a:graphic>
                </wp:inline>
              </w:drawing>
            </w:r>
          </w:p>
        </w:tc>
        <w:tc>
          <w:tcPr>
            <w:tcW w:w="4467" w:type="dxa"/>
            <w:vAlign w:val="center"/>
          </w:tcPr>
          <w:p w14:paraId="6684DEC6">
            <w:pPr>
              <w:pStyle w:val="52"/>
              <w:keepNext w:val="0"/>
              <w:keepLines w:val="0"/>
              <w:suppressLineNumbers w:val="0"/>
              <w:spacing w:before="0" w:beforeAutospacing="0" w:after="0" w:afterAutospacing="0"/>
              <w:ind w:left="0" w:right="0" w:firstLine="0" w:firstLineChars="0"/>
              <w:jc w:val="center"/>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eastAsia="宋体" w:cs="Times New Roman"/>
                <w:color w:val="000000" w:themeColor="text1"/>
                <w:highlight w:val="none"/>
                <w:lang w:eastAsia="zh-CN"/>
                <w14:textFill>
                  <w14:solidFill>
                    <w14:schemeClr w14:val="tx1"/>
                  </w14:solidFill>
                </w14:textFill>
              </w:rPr>
              <w:drawing>
                <wp:inline distT="0" distB="0" distL="114300" distR="114300">
                  <wp:extent cx="2691765" cy="2018665"/>
                  <wp:effectExtent l="0" t="0" r="13335" b="635"/>
                  <wp:docPr id="8" name="图片 8" descr="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南"/>
                          <pic:cNvPicPr>
                            <a:picLocks noChangeAspect="1"/>
                          </pic:cNvPicPr>
                        </pic:nvPicPr>
                        <pic:blipFill>
                          <a:blip r:embed="rId52"/>
                          <a:stretch>
                            <a:fillRect/>
                          </a:stretch>
                        </pic:blipFill>
                        <pic:spPr>
                          <a:xfrm>
                            <a:off x="0" y="0"/>
                            <a:ext cx="2691765" cy="2018665"/>
                          </a:xfrm>
                          <a:prstGeom prst="rect">
                            <a:avLst/>
                          </a:prstGeom>
                        </pic:spPr>
                      </pic:pic>
                    </a:graphicData>
                  </a:graphic>
                </wp:inline>
              </w:drawing>
            </w:r>
          </w:p>
        </w:tc>
      </w:tr>
      <w:tr w14:paraId="4066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4492" w:type="dxa"/>
            <w:vAlign w:val="center"/>
          </w:tcPr>
          <w:p w14:paraId="79A1E889">
            <w:pPr>
              <w:pStyle w:val="52"/>
              <w:keepNext w:val="0"/>
              <w:keepLines w:val="0"/>
              <w:suppressLineNumbers w:val="0"/>
              <w:spacing w:before="0" w:beforeAutospacing="0" w:after="0" w:afterAutospacing="0"/>
              <w:ind w:left="0" w:right="0" w:firstLine="0" w:firstLineChars="0"/>
              <w:jc w:val="center"/>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西侧</w:t>
            </w:r>
          </w:p>
        </w:tc>
        <w:tc>
          <w:tcPr>
            <w:tcW w:w="4467" w:type="dxa"/>
            <w:vAlign w:val="center"/>
          </w:tcPr>
          <w:p w14:paraId="4C20C329">
            <w:pPr>
              <w:pStyle w:val="52"/>
              <w:keepNext w:val="0"/>
              <w:keepLines w:val="0"/>
              <w:suppressLineNumbers w:val="0"/>
              <w:spacing w:before="0" w:beforeAutospacing="0" w:after="0" w:afterAutospacing="0"/>
              <w:ind w:left="0" w:right="0" w:firstLine="0" w:firstLineChars="0"/>
              <w:jc w:val="center"/>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北侧</w:t>
            </w:r>
          </w:p>
        </w:tc>
      </w:tr>
    </w:tbl>
    <w:p w14:paraId="0A9714BE">
      <w:pPr>
        <w:jc w:val="both"/>
        <w:rPr>
          <w:rFonts w:hint="default" w:ascii="Times New Roman" w:hAnsi="Times New Roman" w:eastAsia="宋体" w:cs="Times New Roman"/>
          <w:color w:val="000000" w:themeColor="text1"/>
          <w:highlight w:val="none"/>
          <w:lang w:val="en-US" w:eastAsia="zh-CN"/>
          <w14:textFill>
            <w14:solidFill>
              <w14:schemeClr w14:val="tx1"/>
            </w14:solidFill>
          </w14:textFill>
        </w:rPr>
      </w:pPr>
    </w:p>
    <w:p w14:paraId="1C287CB5">
      <w:pPr>
        <w:keepNext w:val="0"/>
        <w:keepLines w:val="0"/>
        <w:pageBreakBefore/>
        <w:widowControl w:val="0"/>
        <w:kinsoku/>
        <w:wordWrap/>
        <w:overflowPunct/>
        <w:topLinePunct w:val="0"/>
        <w:autoSpaceDE/>
        <w:autoSpaceDN/>
        <w:bidi w:val="0"/>
        <w:adjustRightInd/>
        <w:snapToGrid/>
        <w:spacing w:line="360" w:lineRule="auto"/>
        <w:jc w:val="left"/>
        <w:textAlignment w:val="auto"/>
        <w:outlineLvl w:val="0"/>
        <w:rPr>
          <w:rFonts w:hint="default" w:ascii="Times New Roman" w:hAnsi="Times New Roman" w:eastAsia="宋体" w:cs="Times New Roman"/>
          <w:b/>
          <w:bCs/>
          <w:color w:val="000000" w:themeColor="text1"/>
          <w:kern w:val="0"/>
          <w:szCs w:val="21"/>
          <w:highlight w:val="none"/>
          <w14:textFill>
            <w14:solidFill>
              <w14:schemeClr w14:val="tx1"/>
            </w14:solidFill>
          </w14:textFill>
        </w:rPr>
        <w:sectPr>
          <w:pgSz w:w="11906" w:h="16838"/>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p>
    <w:p w14:paraId="31C6D6F0">
      <w:pPr>
        <w:keepNext w:val="0"/>
        <w:keepLines w:val="0"/>
        <w:pageBreakBefore/>
        <w:widowControl w:val="0"/>
        <w:kinsoku/>
        <w:wordWrap/>
        <w:overflowPunct/>
        <w:topLinePunct w:val="0"/>
        <w:autoSpaceDE/>
        <w:autoSpaceDN/>
        <w:bidi w:val="0"/>
        <w:adjustRightInd/>
        <w:snapToGrid/>
        <w:spacing w:line="360" w:lineRule="auto"/>
        <w:jc w:val="left"/>
        <w:textAlignment w:val="auto"/>
        <w:outlineLvl w:val="0"/>
        <w:rPr>
          <w:rFonts w:hint="default" w:ascii="Times New Roman" w:hAnsi="Times New Roman" w:eastAsia="宋体" w:cs="Times New Roman"/>
          <w:color w:val="000000" w:themeColor="text1"/>
          <w:highlight w:val="none"/>
          <w14:textFill>
            <w14:solidFill>
              <w14:schemeClr w14:val="tx1"/>
            </w14:solidFill>
          </w14:textFill>
        </w:rPr>
      </w:pPr>
      <w:bookmarkStart w:id="36" w:name="_Toc32051"/>
      <w:r>
        <w:rPr>
          <w:rFonts w:hint="default" w:ascii="Times New Roman" w:hAnsi="Times New Roman" w:eastAsia="宋体" w:cs="Times New Roman"/>
          <w:b/>
          <w:bCs/>
          <w:color w:val="000000" w:themeColor="text1"/>
          <w:kern w:val="0"/>
          <w:szCs w:val="21"/>
          <w:highlight w:val="none"/>
          <w14:textFill>
            <w14:solidFill>
              <w14:schemeClr w14:val="tx1"/>
            </w14:solidFill>
          </w14:textFill>
        </w:rPr>
        <w:t>附件1营业执照</w:t>
      </w:r>
      <w:bookmarkEnd w:id="28"/>
      <w:bookmarkEnd w:id="36"/>
    </w:p>
    <w:p w14:paraId="305A3A86">
      <w:pPr>
        <w:bidi w:val="0"/>
        <w:jc w:val="center"/>
        <w:rPr>
          <w:rFonts w:hint="default" w:ascii="Times New Roman" w:hAnsi="Times New Roman" w:eastAsia="宋体" w:cs="Times New Roman"/>
          <w:color w:val="000000" w:themeColor="text1"/>
          <w:highlight w:val="none"/>
          <w:lang w:eastAsia="zh-CN"/>
          <w14:textFill>
            <w14:solidFill>
              <w14:schemeClr w14:val="tx1"/>
            </w14:solidFill>
          </w14:textFill>
        </w:rPr>
      </w:pPr>
    </w:p>
    <w:p w14:paraId="45769AC9">
      <w:pPr>
        <w:pStyle w:val="33"/>
        <w:ind w:left="0" w:leftChars="0" w:firstLine="0" w:firstLineChars="0"/>
        <w:jc w:val="both"/>
        <w:rPr>
          <w:rFonts w:hint="default"/>
          <w:lang w:eastAsia="zh-CN"/>
        </w:rPr>
        <w:sectPr>
          <w:pgSz w:w="11906" w:h="16838"/>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r>
        <w:drawing>
          <wp:inline distT="0" distB="0" distL="114300" distR="114300">
            <wp:extent cx="5395595" cy="3732530"/>
            <wp:effectExtent l="0" t="0" r="14605" b="1270"/>
            <wp:docPr id="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pic:cNvPicPr>
                      <a:picLocks noChangeAspect="1"/>
                    </pic:cNvPicPr>
                  </pic:nvPicPr>
                  <pic:blipFill>
                    <a:blip r:embed="rId53"/>
                    <a:stretch>
                      <a:fillRect/>
                    </a:stretch>
                  </pic:blipFill>
                  <pic:spPr>
                    <a:xfrm>
                      <a:off x="0" y="0"/>
                      <a:ext cx="5395595" cy="3732530"/>
                    </a:xfrm>
                    <a:prstGeom prst="rect">
                      <a:avLst/>
                    </a:prstGeom>
                    <a:noFill/>
                    <a:ln>
                      <a:noFill/>
                    </a:ln>
                  </pic:spPr>
                </pic:pic>
              </a:graphicData>
            </a:graphic>
          </wp:inline>
        </w:drawing>
      </w:r>
    </w:p>
    <w:p w14:paraId="27C9C728">
      <w:pPr>
        <w:keepNext w:val="0"/>
        <w:keepLines w:val="0"/>
        <w:pageBreakBefore/>
        <w:widowControl w:val="0"/>
        <w:kinsoku/>
        <w:wordWrap/>
        <w:overflowPunct/>
        <w:topLinePunct w:val="0"/>
        <w:autoSpaceDE/>
        <w:autoSpaceDN/>
        <w:bidi w:val="0"/>
        <w:adjustRightInd/>
        <w:snapToGrid/>
        <w:spacing w:line="360" w:lineRule="auto"/>
        <w:jc w:val="left"/>
        <w:textAlignment w:val="auto"/>
        <w:outlineLvl w:val="0"/>
        <w:rPr>
          <w:rFonts w:hint="default" w:ascii="Times New Roman" w:hAnsi="Times New Roman" w:eastAsia="宋体" w:cs="Times New Roman"/>
          <w:b/>
          <w:bCs/>
          <w:color w:val="000000" w:themeColor="text1"/>
          <w:kern w:val="0"/>
          <w:szCs w:val="21"/>
          <w:highlight w:val="none"/>
          <w:lang w:val="en-US" w:eastAsia="zh-CN"/>
          <w14:textFill>
            <w14:solidFill>
              <w14:schemeClr w14:val="tx1"/>
            </w14:solidFill>
          </w14:textFill>
        </w:rPr>
      </w:pPr>
      <w:bookmarkStart w:id="37" w:name="_Toc10935"/>
      <w:bookmarkStart w:id="38" w:name="_Toc9595"/>
      <w:bookmarkStart w:id="39" w:name="_Toc7647"/>
      <w:r>
        <w:rPr>
          <w:rFonts w:hint="default" w:ascii="Times New Roman" w:hAnsi="Times New Roman" w:eastAsia="宋体" w:cs="Times New Roman"/>
          <w:b/>
          <w:bCs/>
          <w:color w:val="000000" w:themeColor="text1"/>
          <w:kern w:val="0"/>
          <w:szCs w:val="21"/>
          <w:highlight w:val="none"/>
          <w14:textFill>
            <w14:solidFill>
              <w14:schemeClr w14:val="tx1"/>
            </w14:solidFill>
          </w14:textFill>
        </w:rPr>
        <w:t>附件</w:t>
      </w:r>
      <w:r>
        <w:rPr>
          <w:rFonts w:hint="eastAsia" w:ascii="Times New Roman" w:hAnsi="Times New Roman" w:eastAsia="宋体" w:cs="Times New Roman"/>
          <w:b/>
          <w:bCs/>
          <w:color w:val="000000" w:themeColor="text1"/>
          <w:kern w:val="0"/>
          <w:szCs w:val="21"/>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kern w:val="0"/>
          <w:szCs w:val="21"/>
          <w:highlight w:val="none"/>
          <w:lang w:val="en-US" w:eastAsia="zh-CN"/>
          <w14:textFill>
            <w14:solidFill>
              <w14:schemeClr w14:val="tx1"/>
            </w14:solidFill>
          </w14:textFill>
        </w:rPr>
        <w:t>土地</w:t>
      </w:r>
      <w:bookmarkEnd w:id="37"/>
      <w:r>
        <w:rPr>
          <w:rFonts w:hint="eastAsia" w:ascii="Times New Roman" w:hAnsi="Times New Roman" w:eastAsia="宋体" w:cs="Times New Roman"/>
          <w:b/>
          <w:bCs/>
          <w:color w:val="000000" w:themeColor="text1"/>
          <w:kern w:val="0"/>
          <w:szCs w:val="21"/>
          <w:highlight w:val="none"/>
          <w:lang w:val="en-US" w:eastAsia="zh-CN"/>
          <w14:textFill>
            <w14:solidFill>
              <w14:schemeClr w14:val="tx1"/>
            </w14:solidFill>
          </w14:textFill>
        </w:rPr>
        <w:t>文件</w:t>
      </w:r>
      <w:bookmarkEnd w:id="38"/>
    </w:p>
    <w:p w14:paraId="0B530698">
      <w:pPr>
        <w:spacing w:line="360" w:lineRule="auto"/>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sectPr>
          <w:pgSz w:w="11906" w:h="16838"/>
          <w:pgMar w:top="1418" w:right="1418" w:bottom="1418" w:left="1418" w:header="851" w:footer="1208" w:gutter="0"/>
          <w:pgBorders>
            <w:top w:val="none" w:sz="0" w:space="0"/>
            <w:left w:val="none" w:sz="0" w:space="0"/>
            <w:bottom w:val="none" w:sz="0" w:space="0"/>
            <w:right w:val="none" w:sz="0" w:space="0"/>
          </w:pgBorders>
          <w:cols w:space="720" w:num="1"/>
          <w:docGrid w:type="lines" w:linePitch="312" w:charSpace="0"/>
        </w:sectPr>
      </w:pPr>
      <w:r>
        <w:drawing>
          <wp:inline distT="0" distB="0" distL="114300" distR="114300">
            <wp:extent cx="5715000" cy="8001000"/>
            <wp:effectExtent l="0" t="0" r="0" b="0"/>
            <wp:docPr id="1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3"/>
                    <pic:cNvPicPr>
                      <a:picLocks noChangeAspect="1"/>
                    </pic:cNvPicPr>
                  </pic:nvPicPr>
                  <pic:blipFill>
                    <a:blip r:embed="rId54"/>
                    <a:stretch>
                      <a:fillRect/>
                    </a:stretch>
                  </pic:blipFill>
                  <pic:spPr>
                    <a:xfrm>
                      <a:off x="0" y="0"/>
                      <a:ext cx="5715000" cy="8001000"/>
                    </a:xfrm>
                    <a:prstGeom prst="rect">
                      <a:avLst/>
                    </a:prstGeom>
                    <a:noFill/>
                    <a:ln>
                      <a:noFill/>
                    </a:ln>
                  </pic:spPr>
                </pic:pic>
              </a:graphicData>
            </a:graphic>
          </wp:inline>
        </w:drawing>
      </w:r>
      <w:r>
        <w:drawing>
          <wp:inline distT="0" distB="0" distL="114300" distR="114300">
            <wp:extent cx="5753735" cy="7594600"/>
            <wp:effectExtent l="0" t="0" r="18415" b="6350"/>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pic:cNvPicPr>
                  </pic:nvPicPr>
                  <pic:blipFill>
                    <a:blip r:embed="rId55"/>
                    <a:stretch>
                      <a:fillRect/>
                    </a:stretch>
                  </pic:blipFill>
                  <pic:spPr>
                    <a:xfrm>
                      <a:off x="0" y="0"/>
                      <a:ext cx="5753735" cy="7594600"/>
                    </a:xfrm>
                    <a:prstGeom prst="rect">
                      <a:avLst/>
                    </a:prstGeom>
                    <a:noFill/>
                    <a:ln>
                      <a:noFill/>
                    </a:ln>
                  </pic:spPr>
                </pic:pic>
              </a:graphicData>
            </a:graphic>
          </wp:inline>
        </w:drawing>
      </w:r>
      <w:r>
        <w:drawing>
          <wp:inline distT="0" distB="0" distL="114300" distR="114300">
            <wp:extent cx="5758180" cy="7661910"/>
            <wp:effectExtent l="0" t="0" r="13970" b="15240"/>
            <wp:docPr id="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pic:cNvPicPr>
                      <a:picLocks noChangeAspect="1"/>
                    </pic:cNvPicPr>
                  </pic:nvPicPr>
                  <pic:blipFill>
                    <a:blip r:embed="rId56"/>
                    <a:stretch>
                      <a:fillRect/>
                    </a:stretch>
                  </pic:blipFill>
                  <pic:spPr>
                    <a:xfrm>
                      <a:off x="0" y="0"/>
                      <a:ext cx="5758180" cy="7661910"/>
                    </a:xfrm>
                    <a:prstGeom prst="rect">
                      <a:avLst/>
                    </a:prstGeom>
                    <a:noFill/>
                    <a:ln>
                      <a:noFill/>
                    </a:ln>
                  </pic:spPr>
                </pic:pic>
              </a:graphicData>
            </a:graphic>
          </wp:inline>
        </w:drawing>
      </w:r>
      <w:r>
        <w:drawing>
          <wp:inline distT="0" distB="0" distL="114300" distR="114300">
            <wp:extent cx="5755005" cy="7757160"/>
            <wp:effectExtent l="0" t="0" r="17145" b="15240"/>
            <wp:docPr id="2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6"/>
                    <pic:cNvPicPr>
                      <a:picLocks noChangeAspect="1"/>
                    </pic:cNvPicPr>
                  </pic:nvPicPr>
                  <pic:blipFill>
                    <a:blip r:embed="rId57"/>
                    <a:stretch>
                      <a:fillRect/>
                    </a:stretch>
                  </pic:blipFill>
                  <pic:spPr>
                    <a:xfrm>
                      <a:off x="0" y="0"/>
                      <a:ext cx="5755005" cy="7757160"/>
                    </a:xfrm>
                    <a:prstGeom prst="rect">
                      <a:avLst/>
                    </a:prstGeom>
                    <a:noFill/>
                    <a:ln>
                      <a:noFill/>
                    </a:ln>
                  </pic:spPr>
                </pic:pic>
              </a:graphicData>
            </a:graphic>
          </wp:inline>
        </w:drawing>
      </w:r>
    </w:p>
    <w:bookmarkEnd w:id="39"/>
    <w:p w14:paraId="4E7E2490">
      <w:pPr>
        <w:pStyle w:val="3"/>
        <w:tabs>
          <w:tab w:val="left" w:pos="3600"/>
        </w:tabs>
        <w:spacing w:line="360" w:lineRule="auto"/>
        <w:outlineLvl w:val="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bookmarkStart w:id="40" w:name="_Toc20207"/>
      <w:bookmarkStart w:id="41" w:name="_Toc24657"/>
      <w:r>
        <w:rPr>
          <w:rFonts w:hint="default" w:ascii="Times New Roman" w:hAnsi="Times New Roman" w:eastAsia="宋体" w:cs="Times New Roman"/>
          <w:color w:val="000000" w:themeColor="text1"/>
          <w:sz w:val="21"/>
          <w:szCs w:val="21"/>
          <w:highlight w:val="none"/>
          <w14:textFill>
            <w14:solidFill>
              <w14:schemeClr w14:val="tx1"/>
            </w14:solidFill>
          </w14:textFill>
        </w:rPr>
        <w:t>附件</w:t>
      </w:r>
      <w:r>
        <w:rPr>
          <w:rFonts w:hint="eastAsia" w:eastAsia="宋体"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检测报告</w:t>
      </w:r>
      <w:bookmarkEnd w:id="40"/>
      <w:bookmarkEnd w:id="41"/>
    </w:p>
    <w:p w14:paraId="6DA2049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highlight w:val="none"/>
          <w14:textFill>
            <w14:solidFill>
              <w14:schemeClr w14:val="tx1"/>
            </w14:solidFill>
          </w14:textFill>
        </w:rPr>
      </w:pPr>
      <w:r>
        <w:drawing>
          <wp:inline distT="0" distB="0" distL="114300" distR="114300">
            <wp:extent cx="5817235" cy="8181340"/>
            <wp:effectExtent l="0" t="0" r="12065" b="10160"/>
            <wp:docPr id="2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7"/>
                    <pic:cNvPicPr>
                      <a:picLocks noChangeAspect="1"/>
                    </pic:cNvPicPr>
                  </pic:nvPicPr>
                  <pic:blipFill>
                    <a:blip r:embed="rId58"/>
                    <a:stretch>
                      <a:fillRect/>
                    </a:stretch>
                  </pic:blipFill>
                  <pic:spPr>
                    <a:xfrm>
                      <a:off x="0" y="0"/>
                      <a:ext cx="5817235" cy="8181340"/>
                    </a:xfrm>
                    <a:prstGeom prst="rect">
                      <a:avLst/>
                    </a:prstGeom>
                    <a:noFill/>
                    <a:ln>
                      <a:noFill/>
                    </a:ln>
                  </pic:spPr>
                </pic:pic>
              </a:graphicData>
            </a:graphic>
          </wp:inline>
        </w:drawing>
      </w:r>
      <w:r>
        <w:drawing>
          <wp:inline distT="0" distB="0" distL="114300" distR="114300">
            <wp:extent cx="5857875" cy="8241665"/>
            <wp:effectExtent l="0" t="0" r="9525" b="6985"/>
            <wp:docPr id="3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8"/>
                    <pic:cNvPicPr>
                      <a:picLocks noChangeAspect="1"/>
                    </pic:cNvPicPr>
                  </pic:nvPicPr>
                  <pic:blipFill>
                    <a:blip r:embed="rId59"/>
                    <a:stretch>
                      <a:fillRect/>
                    </a:stretch>
                  </pic:blipFill>
                  <pic:spPr>
                    <a:xfrm>
                      <a:off x="0" y="0"/>
                      <a:ext cx="5857875" cy="8241665"/>
                    </a:xfrm>
                    <a:prstGeom prst="rect">
                      <a:avLst/>
                    </a:prstGeom>
                    <a:noFill/>
                    <a:ln>
                      <a:noFill/>
                    </a:ln>
                  </pic:spPr>
                </pic:pic>
              </a:graphicData>
            </a:graphic>
          </wp:inline>
        </w:drawing>
      </w:r>
      <w:r>
        <w:drawing>
          <wp:inline distT="0" distB="0" distL="114300" distR="114300">
            <wp:extent cx="5893435" cy="8354060"/>
            <wp:effectExtent l="0" t="0" r="12065" b="8890"/>
            <wp:docPr id="4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9"/>
                    <pic:cNvPicPr>
                      <a:picLocks noChangeAspect="1"/>
                    </pic:cNvPicPr>
                  </pic:nvPicPr>
                  <pic:blipFill>
                    <a:blip r:embed="rId60"/>
                    <a:stretch>
                      <a:fillRect/>
                    </a:stretch>
                  </pic:blipFill>
                  <pic:spPr>
                    <a:xfrm>
                      <a:off x="0" y="0"/>
                      <a:ext cx="5893435" cy="8354060"/>
                    </a:xfrm>
                    <a:prstGeom prst="rect">
                      <a:avLst/>
                    </a:prstGeom>
                    <a:noFill/>
                    <a:ln>
                      <a:noFill/>
                    </a:ln>
                  </pic:spPr>
                </pic:pic>
              </a:graphicData>
            </a:graphic>
          </wp:inline>
        </w:drawing>
      </w:r>
      <w:r>
        <w:drawing>
          <wp:inline distT="0" distB="0" distL="114300" distR="114300">
            <wp:extent cx="6039485" cy="8480425"/>
            <wp:effectExtent l="0" t="0" r="18415" b="15875"/>
            <wp:docPr id="4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0"/>
                    <pic:cNvPicPr>
                      <a:picLocks noChangeAspect="1"/>
                    </pic:cNvPicPr>
                  </pic:nvPicPr>
                  <pic:blipFill>
                    <a:blip r:embed="rId61"/>
                    <a:stretch>
                      <a:fillRect/>
                    </a:stretch>
                  </pic:blipFill>
                  <pic:spPr>
                    <a:xfrm>
                      <a:off x="0" y="0"/>
                      <a:ext cx="6039485" cy="8480425"/>
                    </a:xfrm>
                    <a:prstGeom prst="rect">
                      <a:avLst/>
                    </a:prstGeom>
                    <a:noFill/>
                    <a:ln>
                      <a:noFill/>
                    </a:ln>
                  </pic:spPr>
                </pic:pic>
              </a:graphicData>
            </a:graphic>
          </wp:inline>
        </w:drawing>
      </w:r>
    </w:p>
    <w:p w14:paraId="0BC1D7C4">
      <w:pPr>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br w:type="page"/>
      </w:r>
    </w:p>
    <w:p w14:paraId="4DD7C35D">
      <w:pPr>
        <w:pStyle w:val="54"/>
        <w:ind w:firstLine="0" w:firstLineChars="0"/>
        <w:jc w:val="left"/>
        <w:outlineLvl w:val="0"/>
        <w:rPr>
          <w:rFonts w:hint="default" w:ascii="Times New Roman" w:hAnsi="Times New Roman" w:eastAsia="宋体" w:cs="Times New Roman"/>
          <w:b/>
          <w:color w:val="000000" w:themeColor="text1"/>
          <w:sz w:val="21"/>
          <w:szCs w:val="21"/>
          <w:highlight w:val="none"/>
          <w14:textFill>
            <w14:solidFill>
              <w14:schemeClr w14:val="tx1"/>
            </w14:solidFill>
          </w14:textFill>
        </w:rPr>
      </w:pPr>
      <w:bookmarkStart w:id="42" w:name="_Toc21317"/>
      <w:bookmarkStart w:id="43" w:name="_Toc6960"/>
      <w:r>
        <w:rPr>
          <w:rFonts w:hint="default" w:ascii="Times New Roman" w:hAnsi="Times New Roman" w:eastAsia="宋体" w:cs="Times New Roman"/>
          <w:b/>
          <w:color w:val="000000" w:themeColor="text1"/>
          <w:sz w:val="21"/>
          <w:szCs w:val="21"/>
          <w:highlight w:val="none"/>
          <w14:textFill>
            <w14:solidFill>
              <w14:schemeClr w14:val="tx1"/>
            </w14:solidFill>
          </w14:textFill>
        </w:rPr>
        <w:t>附件</w:t>
      </w:r>
      <w:r>
        <w:rPr>
          <w:rFonts w:hint="eastAsia" w:ascii="Times New Roman" w:hAnsi="Times New Roman" w:cs="Times New Roman"/>
          <w:b/>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b/>
          <w:color w:val="000000" w:themeColor="text1"/>
          <w:sz w:val="21"/>
          <w:szCs w:val="21"/>
          <w:highlight w:val="none"/>
          <w14:textFill>
            <w14:solidFill>
              <w14:schemeClr w14:val="tx1"/>
            </w14:solidFill>
          </w14:textFill>
        </w:rPr>
        <w:t>燃料检测报告</w:t>
      </w:r>
      <w:bookmarkEnd w:id="42"/>
      <w:bookmarkEnd w:id="43"/>
    </w:p>
    <w:p w14:paraId="6F0A4638">
      <w:pPr>
        <w:pStyle w:val="54"/>
        <w:keepNext w:val="0"/>
        <w:keepLines w:val="0"/>
        <w:pageBreakBefore w:val="0"/>
        <w:widowControl w:val="0"/>
        <w:kinsoku/>
        <w:wordWrap/>
        <w:overflowPunct/>
        <w:topLinePunct w:val="0"/>
        <w:autoSpaceDE/>
        <w:autoSpaceDN/>
        <w:bidi w:val="0"/>
        <w:adjustRightInd/>
        <w:snapToGrid/>
        <w:ind w:firstLine="0" w:firstLineChars="0"/>
        <w:jc w:val="left"/>
        <w:textAlignment w:val="auto"/>
        <w:outlineLvl w:val="9"/>
        <w:rPr>
          <w:rFonts w:hint="default" w:ascii="Times New Roman" w:hAnsi="Times New Roman" w:eastAsia="宋体" w:cs="Times New Roman"/>
          <w:color w:val="000000" w:themeColor="text1"/>
          <w:highlight w:val="none"/>
          <w14:textFill>
            <w14:solidFill>
              <w14:schemeClr w14:val="tx1"/>
            </w14:solidFill>
          </w14:textFill>
        </w:rPr>
        <w:sectPr>
          <w:pgSz w:w="11906" w:h="16838"/>
          <w:pgMar w:top="1418" w:right="1418" w:bottom="1418" w:left="1418" w:header="851" w:footer="1208" w:gutter="0"/>
          <w:pgBorders>
            <w:top w:val="none" w:sz="0" w:space="0"/>
            <w:left w:val="none" w:sz="0" w:space="0"/>
            <w:bottom w:val="none" w:sz="0" w:space="0"/>
            <w:right w:val="none" w:sz="0" w:space="0"/>
          </w:pgBorders>
          <w:cols w:space="720" w:num="1"/>
          <w:docGrid w:type="lines" w:linePitch="312" w:charSpace="0"/>
        </w:sectPr>
      </w:pPr>
      <w:r>
        <w:rPr>
          <w:color w:val="000000" w:themeColor="text1"/>
          <w:highlight w:val="none"/>
          <w14:textFill>
            <w14:solidFill>
              <w14:schemeClr w14:val="tx1"/>
            </w14:solidFill>
          </w14:textFill>
        </w:rPr>
        <w:drawing>
          <wp:inline distT="0" distB="0" distL="114300" distR="114300">
            <wp:extent cx="5976620" cy="8451215"/>
            <wp:effectExtent l="0" t="0" r="5080" b="6985"/>
            <wp:docPr id="1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5"/>
                    <pic:cNvPicPr>
                      <a:picLocks noChangeAspect="1"/>
                    </pic:cNvPicPr>
                  </pic:nvPicPr>
                  <pic:blipFill>
                    <a:blip r:embed="rId62"/>
                    <a:stretch>
                      <a:fillRect/>
                    </a:stretch>
                  </pic:blipFill>
                  <pic:spPr>
                    <a:xfrm>
                      <a:off x="0" y="0"/>
                      <a:ext cx="5976620" cy="8451215"/>
                    </a:xfrm>
                    <a:prstGeom prst="rect">
                      <a:avLst/>
                    </a:prstGeom>
                    <a:noFill/>
                    <a:ln w="9525">
                      <a:noFill/>
                    </a:ln>
                  </pic:spPr>
                </pic:pic>
              </a:graphicData>
            </a:graphic>
          </wp:inline>
        </w:drawing>
      </w:r>
      <w:r>
        <w:rPr>
          <w:rFonts w:hint="default" w:ascii="Times New Roman" w:hAnsi="Times New Roman" w:eastAsia="宋体" w:cs="Times New Roman"/>
          <w:b/>
          <w:color w:val="000000" w:themeColor="text1"/>
          <w:sz w:val="44"/>
          <w:szCs w:val="44"/>
          <w:highlight w:val="none"/>
          <w14:textFill>
            <w14:solidFill>
              <w14:schemeClr w14:val="tx1"/>
            </w14:solidFill>
          </w14:textFill>
        </w:rPr>
        <w:br w:type="page"/>
      </w:r>
    </w:p>
    <w:p w14:paraId="7E946628">
      <w:pPr>
        <w:jc w:val="both"/>
        <w:outlineLvl w:val="0"/>
        <w:rPr>
          <w:rFonts w:hint="eastAsia" w:cs="Times New Roman"/>
          <w:b/>
          <w:color w:val="000000" w:themeColor="text1"/>
          <w:kern w:val="2"/>
          <w:sz w:val="21"/>
          <w:szCs w:val="21"/>
          <w:highlight w:val="none"/>
          <w:lang w:val="en-US" w:eastAsia="zh-CN" w:bidi="ar-SA"/>
          <w14:textFill>
            <w14:solidFill>
              <w14:schemeClr w14:val="tx1"/>
            </w14:solidFill>
          </w14:textFill>
        </w:rPr>
      </w:pPr>
      <w:bookmarkStart w:id="44" w:name="_Toc21785"/>
      <w: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附件</w:t>
      </w:r>
      <w:r>
        <w:rPr>
          <w:rFonts w:hint="eastAsia" w:cs="Times New Roman"/>
          <w:b/>
          <w:color w:val="000000" w:themeColor="text1"/>
          <w:kern w:val="2"/>
          <w:sz w:val="21"/>
          <w:szCs w:val="21"/>
          <w:highlight w:val="none"/>
          <w:lang w:val="en-US" w:eastAsia="zh-CN" w:bidi="ar-SA"/>
          <w14:textFill>
            <w14:solidFill>
              <w14:schemeClr w14:val="tx1"/>
            </w14:solidFill>
          </w14:textFill>
        </w:rPr>
        <w:t>5企业现有工程环保手续</w:t>
      </w:r>
    </w:p>
    <w:p w14:paraId="73EBF4B6">
      <w:pPr>
        <w:pStyle w:val="4"/>
        <w:rPr>
          <w:rFonts w:hint="default"/>
          <w:highlight w:val="none"/>
          <w:lang w:val="en-US" w:eastAsia="zh-CN"/>
        </w:rPr>
      </w:pPr>
      <w:r>
        <w:rPr>
          <w:rFonts w:hint="eastAsia" w:cs="Times New Roman"/>
          <w:b/>
          <w:color w:val="000000" w:themeColor="text1"/>
          <w:kern w:val="2"/>
          <w:sz w:val="21"/>
          <w:szCs w:val="21"/>
          <w:highlight w:val="none"/>
          <w:lang w:val="en-US" w:eastAsia="zh-CN" w:bidi="ar-SA"/>
          <w14:textFill>
            <w14:solidFill>
              <w14:schemeClr w14:val="tx1"/>
            </w14:solidFill>
          </w14:textFill>
        </w:rPr>
        <w:t>1、环评及同意意见</w:t>
      </w:r>
    </w:p>
    <w:p w14:paraId="346776B9">
      <w:pPr>
        <w:jc w:val="left"/>
        <w:outlineLvl w:val="0"/>
        <w:sectPr>
          <w:pgSz w:w="11906" w:h="16838"/>
          <w:pgMar w:top="1418" w:right="1418" w:bottom="1418" w:left="1418" w:header="851" w:footer="1208" w:gutter="0"/>
          <w:pgBorders>
            <w:top w:val="none" w:sz="0" w:space="0"/>
            <w:left w:val="none" w:sz="0" w:space="0"/>
            <w:bottom w:val="none" w:sz="0" w:space="0"/>
            <w:right w:val="none" w:sz="0" w:space="0"/>
          </w:pgBorders>
          <w:cols w:space="720" w:num="1"/>
          <w:docGrid w:type="lines" w:linePitch="312" w:charSpace="0"/>
        </w:sectPr>
      </w:pPr>
      <w:r>
        <w:drawing>
          <wp:inline distT="0" distB="0" distL="114300" distR="114300">
            <wp:extent cx="5487670" cy="7828915"/>
            <wp:effectExtent l="0" t="0" r="17780" b="635"/>
            <wp:docPr id="4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1"/>
                    <pic:cNvPicPr>
                      <a:picLocks noChangeAspect="1"/>
                    </pic:cNvPicPr>
                  </pic:nvPicPr>
                  <pic:blipFill>
                    <a:blip r:embed="rId63"/>
                    <a:stretch>
                      <a:fillRect/>
                    </a:stretch>
                  </pic:blipFill>
                  <pic:spPr>
                    <a:xfrm>
                      <a:off x="0" y="0"/>
                      <a:ext cx="5487670" cy="7828915"/>
                    </a:xfrm>
                    <a:prstGeom prst="rect">
                      <a:avLst/>
                    </a:prstGeom>
                    <a:noFill/>
                    <a:ln>
                      <a:noFill/>
                    </a:ln>
                  </pic:spPr>
                </pic:pic>
              </a:graphicData>
            </a:graphic>
          </wp:inline>
        </w:drawing>
      </w:r>
      <w:r>
        <w:drawing>
          <wp:inline distT="0" distB="0" distL="114300" distR="114300">
            <wp:extent cx="5486400" cy="8451850"/>
            <wp:effectExtent l="0" t="0" r="0" b="6350"/>
            <wp:docPr id="4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2"/>
                    <pic:cNvPicPr>
                      <a:picLocks noChangeAspect="1"/>
                    </pic:cNvPicPr>
                  </pic:nvPicPr>
                  <pic:blipFill>
                    <a:blip r:embed="rId64"/>
                    <a:stretch>
                      <a:fillRect/>
                    </a:stretch>
                  </pic:blipFill>
                  <pic:spPr>
                    <a:xfrm>
                      <a:off x="0" y="0"/>
                      <a:ext cx="5486400" cy="8451850"/>
                    </a:xfrm>
                    <a:prstGeom prst="rect">
                      <a:avLst/>
                    </a:prstGeom>
                    <a:noFill/>
                    <a:ln>
                      <a:noFill/>
                    </a:ln>
                  </pic:spPr>
                </pic:pic>
              </a:graphicData>
            </a:graphic>
          </wp:inline>
        </w:drawing>
      </w:r>
      <w:r>
        <w:drawing>
          <wp:inline distT="0" distB="0" distL="114300" distR="114300">
            <wp:extent cx="5643245" cy="7518400"/>
            <wp:effectExtent l="0" t="0" r="14605" b="6350"/>
            <wp:docPr id="4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3"/>
                    <pic:cNvPicPr>
                      <a:picLocks noChangeAspect="1"/>
                    </pic:cNvPicPr>
                  </pic:nvPicPr>
                  <pic:blipFill>
                    <a:blip r:embed="rId65"/>
                    <a:stretch>
                      <a:fillRect/>
                    </a:stretch>
                  </pic:blipFill>
                  <pic:spPr>
                    <a:xfrm>
                      <a:off x="0" y="0"/>
                      <a:ext cx="5643245" cy="7518400"/>
                    </a:xfrm>
                    <a:prstGeom prst="rect">
                      <a:avLst/>
                    </a:prstGeom>
                    <a:noFill/>
                    <a:ln>
                      <a:noFill/>
                    </a:ln>
                  </pic:spPr>
                </pic:pic>
              </a:graphicData>
            </a:graphic>
          </wp:inline>
        </w:drawing>
      </w:r>
      <w:r>
        <w:drawing>
          <wp:inline distT="0" distB="0" distL="114300" distR="114300">
            <wp:extent cx="5808345" cy="7825740"/>
            <wp:effectExtent l="0" t="0" r="1905" b="3810"/>
            <wp:docPr id="4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4"/>
                    <pic:cNvPicPr>
                      <a:picLocks noChangeAspect="1"/>
                    </pic:cNvPicPr>
                  </pic:nvPicPr>
                  <pic:blipFill>
                    <a:blip r:embed="rId66"/>
                    <a:stretch>
                      <a:fillRect/>
                    </a:stretch>
                  </pic:blipFill>
                  <pic:spPr>
                    <a:xfrm>
                      <a:off x="0" y="0"/>
                      <a:ext cx="5808345" cy="7825740"/>
                    </a:xfrm>
                    <a:prstGeom prst="rect">
                      <a:avLst/>
                    </a:prstGeom>
                    <a:noFill/>
                    <a:ln>
                      <a:noFill/>
                    </a:ln>
                  </pic:spPr>
                </pic:pic>
              </a:graphicData>
            </a:graphic>
          </wp:inline>
        </w:drawing>
      </w:r>
      <w:r>
        <w:drawing>
          <wp:inline distT="0" distB="0" distL="114300" distR="114300">
            <wp:extent cx="5609590" cy="7449185"/>
            <wp:effectExtent l="0" t="0" r="10160" b="18415"/>
            <wp:docPr id="4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5"/>
                    <pic:cNvPicPr>
                      <a:picLocks noChangeAspect="1"/>
                    </pic:cNvPicPr>
                  </pic:nvPicPr>
                  <pic:blipFill>
                    <a:blip r:embed="rId67"/>
                    <a:stretch>
                      <a:fillRect/>
                    </a:stretch>
                  </pic:blipFill>
                  <pic:spPr>
                    <a:xfrm>
                      <a:off x="0" y="0"/>
                      <a:ext cx="5609590" cy="7449185"/>
                    </a:xfrm>
                    <a:prstGeom prst="rect">
                      <a:avLst/>
                    </a:prstGeom>
                    <a:noFill/>
                    <a:ln>
                      <a:noFill/>
                    </a:ln>
                  </pic:spPr>
                </pic:pic>
              </a:graphicData>
            </a:graphic>
          </wp:inline>
        </w:drawing>
      </w:r>
      <w:r>
        <w:drawing>
          <wp:inline distT="0" distB="0" distL="114300" distR="114300">
            <wp:extent cx="5742940" cy="8722360"/>
            <wp:effectExtent l="0" t="0" r="10160" b="2540"/>
            <wp:docPr id="4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6"/>
                    <pic:cNvPicPr>
                      <a:picLocks noChangeAspect="1"/>
                    </pic:cNvPicPr>
                  </pic:nvPicPr>
                  <pic:blipFill>
                    <a:blip r:embed="rId68"/>
                    <a:stretch>
                      <a:fillRect/>
                    </a:stretch>
                  </pic:blipFill>
                  <pic:spPr>
                    <a:xfrm>
                      <a:off x="0" y="0"/>
                      <a:ext cx="5742940" cy="8722360"/>
                    </a:xfrm>
                    <a:prstGeom prst="rect">
                      <a:avLst/>
                    </a:prstGeom>
                    <a:noFill/>
                    <a:ln>
                      <a:noFill/>
                    </a:ln>
                  </pic:spPr>
                </pic:pic>
              </a:graphicData>
            </a:graphic>
          </wp:inline>
        </w:drawing>
      </w:r>
      <w:r>
        <w:drawing>
          <wp:inline distT="0" distB="0" distL="114300" distR="114300">
            <wp:extent cx="5784215" cy="8515350"/>
            <wp:effectExtent l="0" t="0" r="6985" b="0"/>
            <wp:docPr id="4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7"/>
                    <pic:cNvPicPr>
                      <a:picLocks noChangeAspect="1"/>
                    </pic:cNvPicPr>
                  </pic:nvPicPr>
                  <pic:blipFill>
                    <a:blip r:embed="rId69"/>
                    <a:stretch>
                      <a:fillRect/>
                    </a:stretch>
                  </pic:blipFill>
                  <pic:spPr>
                    <a:xfrm>
                      <a:off x="0" y="0"/>
                      <a:ext cx="5784215" cy="8515350"/>
                    </a:xfrm>
                    <a:prstGeom prst="rect">
                      <a:avLst/>
                    </a:prstGeom>
                    <a:noFill/>
                    <a:ln>
                      <a:noFill/>
                    </a:ln>
                  </pic:spPr>
                </pic:pic>
              </a:graphicData>
            </a:graphic>
          </wp:inline>
        </w:drawing>
      </w:r>
      <w:r>
        <w:drawing>
          <wp:inline distT="0" distB="0" distL="114300" distR="114300">
            <wp:extent cx="5680075" cy="8088630"/>
            <wp:effectExtent l="0" t="0" r="15875" b="7620"/>
            <wp:docPr id="5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8"/>
                    <pic:cNvPicPr>
                      <a:picLocks noChangeAspect="1"/>
                    </pic:cNvPicPr>
                  </pic:nvPicPr>
                  <pic:blipFill>
                    <a:blip r:embed="rId70"/>
                    <a:stretch>
                      <a:fillRect/>
                    </a:stretch>
                  </pic:blipFill>
                  <pic:spPr>
                    <a:xfrm>
                      <a:off x="0" y="0"/>
                      <a:ext cx="5680075" cy="8088630"/>
                    </a:xfrm>
                    <a:prstGeom prst="rect">
                      <a:avLst/>
                    </a:prstGeom>
                    <a:noFill/>
                    <a:ln>
                      <a:noFill/>
                    </a:ln>
                  </pic:spPr>
                </pic:pic>
              </a:graphicData>
            </a:graphic>
          </wp:inline>
        </w:drawing>
      </w:r>
      <w:r>
        <w:drawing>
          <wp:inline distT="0" distB="0" distL="114300" distR="114300">
            <wp:extent cx="5735955" cy="8239125"/>
            <wp:effectExtent l="0" t="0" r="17145" b="9525"/>
            <wp:docPr id="5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9"/>
                    <pic:cNvPicPr>
                      <a:picLocks noChangeAspect="1"/>
                    </pic:cNvPicPr>
                  </pic:nvPicPr>
                  <pic:blipFill>
                    <a:blip r:embed="rId71"/>
                    <a:stretch>
                      <a:fillRect/>
                    </a:stretch>
                  </pic:blipFill>
                  <pic:spPr>
                    <a:xfrm>
                      <a:off x="0" y="0"/>
                      <a:ext cx="5735955" cy="8239125"/>
                    </a:xfrm>
                    <a:prstGeom prst="rect">
                      <a:avLst/>
                    </a:prstGeom>
                    <a:noFill/>
                    <a:ln>
                      <a:noFill/>
                    </a:ln>
                  </pic:spPr>
                </pic:pic>
              </a:graphicData>
            </a:graphic>
          </wp:inline>
        </w:drawing>
      </w:r>
      <w:r>
        <w:drawing>
          <wp:inline distT="0" distB="0" distL="114300" distR="114300">
            <wp:extent cx="5793740" cy="8061960"/>
            <wp:effectExtent l="0" t="0" r="16510" b="15240"/>
            <wp:docPr id="5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0"/>
                    <pic:cNvPicPr>
                      <a:picLocks noChangeAspect="1"/>
                    </pic:cNvPicPr>
                  </pic:nvPicPr>
                  <pic:blipFill>
                    <a:blip r:embed="rId72"/>
                    <a:stretch>
                      <a:fillRect/>
                    </a:stretch>
                  </pic:blipFill>
                  <pic:spPr>
                    <a:xfrm>
                      <a:off x="0" y="0"/>
                      <a:ext cx="5793740" cy="8061960"/>
                    </a:xfrm>
                    <a:prstGeom prst="rect">
                      <a:avLst/>
                    </a:prstGeom>
                    <a:noFill/>
                    <a:ln>
                      <a:noFill/>
                    </a:ln>
                  </pic:spPr>
                </pic:pic>
              </a:graphicData>
            </a:graphic>
          </wp:inline>
        </w:drawing>
      </w:r>
      <w:r>
        <w:drawing>
          <wp:inline distT="0" distB="0" distL="114300" distR="114300">
            <wp:extent cx="5422900" cy="8598535"/>
            <wp:effectExtent l="0" t="0" r="6350" b="12065"/>
            <wp:docPr id="5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1"/>
                    <pic:cNvPicPr>
                      <a:picLocks noChangeAspect="1"/>
                    </pic:cNvPicPr>
                  </pic:nvPicPr>
                  <pic:blipFill>
                    <a:blip r:embed="rId73"/>
                    <a:stretch>
                      <a:fillRect/>
                    </a:stretch>
                  </pic:blipFill>
                  <pic:spPr>
                    <a:xfrm>
                      <a:off x="0" y="0"/>
                      <a:ext cx="5422900" cy="8598535"/>
                    </a:xfrm>
                    <a:prstGeom prst="rect">
                      <a:avLst/>
                    </a:prstGeom>
                    <a:noFill/>
                    <a:ln>
                      <a:noFill/>
                    </a:ln>
                  </pic:spPr>
                </pic:pic>
              </a:graphicData>
            </a:graphic>
          </wp:inline>
        </w:drawing>
      </w:r>
      <w:r>
        <w:drawing>
          <wp:inline distT="0" distB="0" distL="114300" distR="114300">
            <wp:extent cx="5638165" cy="8240395"/>
            <wp:effectExtent l="0" t="0" r="635" b="8255"/>
            <wp:docPr id="5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2"/>
                    <pic:cNvPicPr>
                      <a:picLocks noChangeAspect="1"/>
                    </pic:cNvPicPr>
                  </pic:nvPicPr>
                  <pic:blipFill>
                    <a:blip r:embed="rId74"/>
                    <a:stretch>
                      <a:fillRect/>
                    </a:stretch>
                  </pic:blipFill>
                  <pic:spPr>
                    <a:xfrm>
                      <a:off x="0" y="0"/>
                      <a:ext cx="5638165" cy="8240395"/>
                    </a:xfrm>
                    <a:prstGeom prst="rect">
                      <a:avLst/>
                    </a:prstGeom>
                    <a:noFill/>
                    <a:ln>
                      <a:noFill/>
                    </a:ln>
                  </pic:spPr>
                </pic:pic>
              </a:graphicData>
            </a:graphic>
          </wp:inline>
        </w:drawing>
      </w:r>
    </w:p>
    <w:p w14:paraId="55861041">
      <w:pPr>
        <w:pStyle w:val="4"/>
        <w:numPr>
          <w:ilvl w:val="0"/>
          <w:numId w:val="0"/>
        </w:numPr>
        <w:rPr>
          <w:rFonts w:hint="eastAsia" w:cs="Times New Roman"/>
          <w:b/>
          <w:color w:val="000000" w:themeColor="text1"/>
          <w:kern w:val="2"/>
          <w:sz w:val="21"/>
          <w:szCs w:val="21"/>
          <w:highlight w:val="none"/>
          <w:lang w:val="en-US" w:eastAsia="zh-CN" w:bidi="ar-SA"/>
          <w14:textFill>
            <w14:solidFill>
              <w14:schemeClr w14:val="tx1"/>
            </w14:solidFill>
          </w14:textFill>
        </w:rPr>
      </w:pPr>
      <w:r>
        <w:rPr>
          <w:rFonts w:hint="eastAsia" w:cs="Times New Roman"/>
          <w:b/>
          <w:color w:val="000000" w:themeColor="text1"/>
          <w:kern w:val="2"/>
          <w:sz w:val="21"/>
          <w:szCs w:val="21"/>
          <w:highlight w:val="none"/>
          <w:lang w:val="en-US" w:eastAsia="zh-CN" w:bidi="ar-SA"/>
          <w14:textFill>
            <w14:solidFill>
              <w14:schemeClr w14:val="tx1"/>
            </w14:solidFill>
          </w14:textFill>
        </w:rPr>
        <w:t>2、现有项目竣工环境保护验收</w:t>
      </w:r>
    </w:p>
    <w:p w14:paraId="2B582061">
      <w:pPr>
        <w:numPr>
          <w:ilvl w:val="0"/>
          <w:numId w:val="0"/>
        </w:numPr>
        <w:rPr>
          <w:rFonts w:hint="eastAsia" w:eastAsiaTheme="minorEastAsia"/>
          <w:lang w:eastAsia="zh-CN"/>
        </w:rPr>
      </w:pPr>
      <w:r>
        <w:rPr>
          <w:rFonts w:hint="eastAsia" w:eastAsiaTheme="minorEastAsia"/>
          <w:lang w:eastAsia="zh-CN"/>
        </w:rPr>
        <w:drawing>
          <wp:inline distT="0" distB="0" distL="114300" distR="114300">
            <wp:extent cx="5655945" cy="7543165"/>
            <wp:effectExtent l="0" t="0" r="1905" b="635"/>
            <wp:docPr id="80" name="图片 80" descr="40fda437fa7bcc56de1042145e70f6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40fda437fa7bcc56de1042145e70f6b4"/>
                    <pic:cNvPicPr>
                      <a:picLocks noChangeAspect="1"/>
                    </pic:cNvPicPr>
                  </pic:nvPicPr>
                  <pic:blipFill>
                    <a:blip r:embed="rId75"/>
                    <a:stretch>
                      <a:fillRect/>
                    </a:stretch>
                  </pic:blipFill>
                  <pic:spPr>
                    <a:xfrm>
                      <a:off x="0" y="0"/>
                      <a:ext cx="5655945" cy="7543165"/>
                    </a:xfrm>
                    <a:prstGeom prst="rect">
                      <a:avLst/>
                    </a:prstGeom>
                  </pic:spPr>
                </pic:pic>
              </a:graphicData>
            </a:graphic>
          </wp:inline>
        </w:drawing>
      </w:r>
    </w:p>
    <w:p w14:paraId="574AE8F0">
      <w:pPr>
        <w:numPr>
          <w:ilvl w:val="0"/>
          <w:numId w:val="0"/>
        </w:numPr>
        <w:rPr>
          <w:rFonts w:hint="eastAsia" w:cs="Times New Roman"/>
          <w:b/>
          <w:color w:val="000000" w:themeColor="text1"/>
          <w:kern w:val="2"/>
          <w:sz w:val="21"/>
          <w:szCs w:val="21"/>
          <w:highlight w:val="none"/>
          <w:lang w:val="en-US" w:eastAsia="zh-CN" w:bidi="ar-SA"/>
          <w14:textFill>
            <w14:solidFill>
              <w14:schemeClr w14:val="tx1"/>
            </w14:solidFill>
          </w14:textFill>
        </w:rPr>
      </w:pPr>
      <w:r>
        <w:rPr>
          <w:rFonts w:hint="eastAsia" w:eastAsiaTheme="minorEastAsia"/>
          <w:lang w:eastAsia="zh-CN"/>
        </w:rPr>
        <w:drawing>
          <wp:inline distT="0" distB="0" distL="114300" distR="114300">
            <wp:extent cx="5848350" cy="7799705"/>
            <wp:effectExtent l="0" t="0" r="0" b="10795"/>
            <wp:docPr id="57" name="图片 57" descr="39965c6fe797fa45aa856c73d950f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39965c6fe797fa45aa856c73d950f137"/>
                    <pic:cNvPicPr>
                      <a:picLocks noChangeAspect="1"/>
                    </pic:cNvPicPr>
                  </pic:nvPicPr>
                  <pic:blipFill>
                    <a:blip r:embed="rId76"/>
                    <a:stretch>
                      <a:fillRect/>
                    </a:stretch>
                  </pic:blipFill>
                  <pic:spPr>
                    <a:xfrm>
                      <a:off x="0" y="0"/>
                      <a:ext cx="5848350" cy="7799705"/>
                    </a:xfrm>
                    <a:prstGeom prst="rect">
                      <a:avLst/>
                    </a:prstGeom>
                  </pic:spPr>
                </pic:pic>
              </a:graphicData>
            </a:graphic>
          </wp:inline>
        </w:drawing>
      </w:r>
      <w:r>
        <w:rPr>
          <w:rFonts w:hint="eastAsia" w:eastAsiaTheme="minorEastAsia"/>
          <w:lang w:eastAsia="zh-CN"/>
        </w:rPr>
        <w:drawing>
          <wp:inline distT="0" distB="0" distL="114300" distR="114300">
            <wp:extent cx="5739130" cy="7654925"/>
            <wp:effectExtent l="0" t="0" r="13970" b="3175"/>
            <wp:docPr id="81" name="图片 81" descr="0a6a32c5f59c9abda7753b15cddbe6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0a6a32c5f59c9abda7753b15cddbe6cb"/>
                    <pic:cNvPicPr>
                      <a:picLocks noChangeAspect="1"/>
                    </pic:cNvPicPr>
                  </pic:nvPicPr>
                  <pic:blipFill>
                    <a:blip r:embed="rId77"/>
                    <a:stretch>
                      <a:fillRect/>
                    </a:stretch>
                  </pic:blipFill>
                  <pic:spPr>
                    <a:xfrm>
                      <a:off x="0" y="0"/>
                      <a:ext cx="5739130" cy="7654925"/>
                    </a:xfrm>
                    <a:prstGeom prst="rect">
                      <a:avLst/>
                    </a:prstGeom>
                  </pic:spPr>
                </pic:pic>
              </a:graphicData>
            </a:graphic>
          </wp:inline>
        </w:drawing>
      </w:r>
      <w:bookmarkEnd w:id="44"/>
    </w:p>
    <w:p w14:paraId="4B5FFAC8">
      <w:pPr>
        <w:jc w:val="center"/>
        <w:outlineLvl w:val="0"/>
        <w:sectPr>
          <w:pgSz w:w="11906" w:h="16838"/>
          <w:pgMar w:top="1418" w:right="1418" w:bottom="1418" w:left="1418" w:header="851" w:footer="1208" w:gutter="0"/>
          <w:pgBorders>
            <w:top w:val="none" w:sz="0" w:space="0"/>
            <w:left w:val="none" w:sz="0" w:space="0"/>
            <w:bottom w:val="none" w:sz="0" w:space="0"/>
            <w:right w:val="none" w:sz="0" w:space="0"/>
          </w:pgBorders>
          <w:cols w:space="720" w:num="1"/>
          <w:docGrid w:type="lines" w:linePitch="312" w:charSpace="0"/>
        </w:sectPr>
      </w:pPr>
    </w:p>
    <w:p w14:paraId="6837811B">
      <w:pPr>
        <w:numPr>
          <w:ilvl w:val="0"/>
          <w:numId w:val="0"/>
        </w:numPr>
        <w:jc w:val="both"/>
        <w:outlineLvl w:val="1"/>
        <w:rPr>
          <w:rFonts w:hint="eastAsia"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3、现有工程监测报告</w:t>
      </w:r>
    </w:p>
    <w:p w14:paraId="31CFF47E">
      <w:pPr>
        <w:rPr>
          <w:rFonts w:hint="eastAsia"/>
          <w:lang w:val="en-US" w:eastAsia="zh-CN"/>
        </w:rPr>
        <w:sectPr>
          <w:pgSz w:w="11906" w:h="16838"/>
          <w:pgMar w:top="1418" w:right="1418" w:bottom="1418" w:left="1418" w:header="851" w:footer="1208" w:gutter="0"/>
          <w:pgBorders>
            <w:top w:val="none" w:sz="0" w:space="0"/>
            <w:left w:val="none" w:sz="0" w:space="0"/>
            <w:bottom w:val="none" w:sz="0" w:space="0"/>
            <w:right w:val="none" w:sz="0" w:space="0"/>
          </w:pgBorders>
          <w:cols w:space="720" w:num="1"/>
          <w:docGrid w:type="lines" w:linePitch="312" w:charSpace="0"/>
        </w:sectPr>
      </w:pPr>
      <w:r>
        <w:rPr>
          <w:rFonts w:hint="eastAsia"/>
          <w:lang w:val="en-US" w:eastAsia="zh-CN"/>
        </w:rPr>
        <w:drawing>
          <wp:inline distT="0" distB="0" distL="114300" distR="114300">
            <wp:extent cx="5726430" cy="7635240"/>
            <wp:effectExtent l="0" t="0" r="7620" b="3810"/>
            <wp:docPr id="82" name="图片 82" descr="074e72a1a9a5f9f5d594a592b67c03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074e72a1a9a5f9f5d594a592b67c03f1"/>
                    <pic:cNvPicPr>
                      <a:picLocks noChangeAspect="1"/>
                    </pic:cNvPicPr>
                  </pic:nvPicPr>
                  <pic:blipFill>
                    <a:blip r:embed="rId78"/>
                    <a:stretch>
                      <a:fillRect/>
                    </a:stretch>
                  </pic:blipFill>
                  <pic:spPr>
                    <a:xfrm>
                      <a:off x="0" y="0"/>
                      <a:ext cx="5726430" cy="7635240"/>
                    </a:xfrm>
                    <a:prstGeom prst="rect">
                      <a:avLst/>
                    </a:prstGeom>
                  </pic:spPr>
                </pic:pic>
              </a:graphicData>
            </a:graphic>
          </wp:inline>
        </w:drawing>
      </w:r>
      <w:r>
        <w:rPr>
          <w:rFonts w:hint="eastAsia"/>
          <w:lang w:val="en-US" w:eastAsia="zh-CN"/>
        </w:rPr>
        <w:drawing>
          <wp:inline distT="0" distB="0" distL="114300" distR="114300">
            <wp:extent cx="5726430" cy="7635240"/>
            <wp:effectExtent l="0" t="0" r="7620" b="3810"/>
            <wp:docPr id="83" name="图片 83" descr="c7b3b565fe43d557ec8cb8f323a855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c7b3b565fe43d557ec8cb8f323a8557d"/>
                    <pic:cNvPicPr>
                      <a:picLocks noChangeAspect="1"/>
                    </pic:cNvPicPr>
                  </pic:nvPicPr>
                  <pic:blipFill>
                    <a:blip r:embed="rId79"/>
                    <a:stretch>
                      <a:fillRect/>
                    </a:stretch>
                  </pic:blipFill>
                  <pic:spPr>
                    <a:xfrm>
                      <a:off x="0" y="0"/>
                      <a:ext cx="5726430" cy="7635240"/>
                    </a:xfrm>
                    <a:prstGeom prst="rect">
                      <a:avLst/>
                    </a:prstGeom>
                  </pic:spPr>
                </pic:pic>
              </a:graphicData>
            </a:graphic>
          </wp:inline>
        </w:drawing>
      </w:r>
      <w:r>
        <w:rPr>
          <w:rFonts w:hint="eastAsia"/>
          <w:lang w:val="en-US" w:eastAsia="zh-CN"/>
        </w:rPr>
        <w:drawing>
          <wp:inline distT="0" distB="0" distL="114300" distR="114300">
            <wp:extent cx="5726430" cy="7635240"/>
            <wp:effectExtent l="0" t="0" r="0" b="0"/>
            <wp:docPr id="84" name="图片 84" descr="19ceeb23f7f4a4a52e8cb5e993a33c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19ceeb23f7f4a4a52e8cb5e993a33c8c"/>
                    <pic:cNvPicPr>
                      <a:picLocks noChangeAspect="1"/>
                    </pic:cNvPicPr>
                  </pic:nvPicPr>
                  <pic:blipFill>
                    <a:blip r:embed="rId80"/>
                    <a:stretch>
                      <a:fillRect/>
                    </a:stretch>
                  </pic:blipFill>
                  <pic:spPr>
                    <a:xfrm>
                      <a:off x="0" y="0"/>
                      <a:ext cx="5726430" cy="7635240"/>
                    </a:xfrm>
                    <a:prstGeom prst="rect">
                      <a:avLst/>
                    </a:prstGeom>
                  </pic:spPr>
                </pic:pic>
              </a:graphicData>
            </a:graphic>
          </wp:inline>
        </w:drawing>
      </w:r>
      <w:r>
        <w:rPr>
          <w:rFonts w:hint="eastAsia"/>
          <w:lang w:val="en-US" w:eastAsia="zh-CN"/>
        </w:rPr>
        <w:drawing>
          <wp:inline distT="0" distB="0" distL="114300" distR="114300">
            <wp:extent cx="5726430" cy="7635240"/>
            <wp:effectExtent l="0" t="0" r="7620" b="3810"/>
            <wp:docPr id="85" name="图片 85" descr="819d2340b5da9650409bb3e1c0528d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819d2340b5da9650409bb3e1c0528d3f"/>
                    <pic:cNvPicPr>
                      <a:picLocks noChangeAspect="1"/>
                    </pic:cNvPicPr>
                  </pic:nvPicPr>
                  <pic:blipFill>
                    <a:blip r:embed="rId81"/>
                    <a:stretch>
                      <a:fillRect/>
                    </a:stretch>
                  </pic:blipFill>
                  <pic:spPr>
                    <a:xfrm>
                      <a:off x="0" y="0"/>
                      <a:ext cx="5726430" cy="7635240"/>
                    </a:xfrm>
                    <a:prstGeom prst="rect">
                      <a:avLst/>
                    </a:prstGeom>
                  </pic:spPr>
                </pic:pic>
              </a:graphicData>
            </a:graphic>
          </wp:inline>
        </w:drawing>
      </w:r>
      <w:r>
        <w:rPr>
          <w:rFonts w:hint="eastAsia"/>
          <w:lang w:val="en-US" w:eastAsia="zh-CN"/>
        </w:rPr>
        <w:drawing>
          <wp:inline distT="0" distB="0" distL="114300" distR="114300">
            <wp:extent cx="5726430" cy="7635240"/>
            <wp:effectExtent l="0" t="0" r="7620" b="3810"/>
            <wp:docPr id="86" name="图片 86" descr="288e2ef695f5122d31929af0349a5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288e2ef695f5122d31929af0349a5723"/>
                    <pic:cNvPicPr>
                      <a:picLocks noChangeAspect="1"/>
                    </pic:cNvPicPr>
                  </pic:nvPicPr>
                  <pic:blipFill>
                    <a:blip r:embed="rId82"/>
                    <a:stretch>
                      <a:fillRect/>
                    </a:stretch>
                  </pic:blipFill>
                  <pic:spPr>
                    <a:xfrm>
                      <a:off x="0" y="0"/>
                      <a:ext cx="5726430" cy="7635240"/>
                    </a:xfrm>
                    <a:prstGeom prst="rect">
                      <a:avLst/>
                    </a:prstGeom>
                  </pic:spPr>
                </pic:pic>
              </a:graphicData>
            </a:graphic>
          </wp:inline>
        </w:drawing>
      </w:r>
      <w:r>
        <w:rPr>
          <w:rFonts w:hint="eastAsia"/>
          <w:lang w:val="en-US" w:eastAsia="zh-CN"/>
        </w:rPr>
        <w:drawing>
          <wp:inline distT="0" distB="0" distL="114300" distR="114300">
            <wp:extent cx="5726430" cy="7635240"/>
            <wp:effectExtent l="0" t="0" r="7620" b="3810"/>
            <wp:docPr id="87" name="图片 87" descr="d21c1999eacaaa73a202527defe254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d21c1999eacaaa73a202527defe2548b"/>
                    <pic:cNvPicPr>
                      <a:picLocks noChangeAspect="1"/>
                    </pic:cNvPicPr>
                  </pic:nvPicPr>
                  <pic:blipFill>
                    <a:blip r:embed="rId83"/>
                    <a:stretch>
                      <a:fillRect/>
                    </a:stretch>
                  </pic:blipFill>
                  <pic:spPr>
                    <a:xfrm>
                      <a:off x="0" y="0"/>
                      <a:ext cx="5726430" cy="7635240"/>
                    </a:xfrm>
                    <a:prstGeom prst="rect">
                      <a:avLst/>
                    </a:prstGeom>
                  </pic:spPr>
                </pic:pic>
              </a:graphicData>
            </a:graphic>
          </wp:inline>
        </w:drawing>
      </w:r>
    </w:p>
    <w:p w14:paraId="44EFB77D">
      <w:pPr>
        <w:numPr>
          <w:ilvl w:val="0"/>
          <w:numId w:val="0"/>
        </w:numPr>
        <w:jc w:val="both"/>
        <w:outlineLvl w:val="1"/>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4、现有应急预案</w:t>
      </w:r>
    </w:p>
    <w:p w14:paraId="346CAFFD">
      <w:pPr>
        <w:jc w:val="center"/>
        <w:outlineLvl w:val="0"/>
        <w:rPr>
          <w:rFonts w:hint="default"/>
          <w:lang w:val="en-US" w:eastAsia="zh-CN"/>
        </w:rPr>
        <w:sectPr>
          <w:pgSz w:w="11906" w:h="16838"/>
          <w:pgMar w:top="1418" w:right="1418" w:bottom="1418" w:left="1418" w:header="851" w:footer="1208" w:gutter="0"/>
          <w:pgBorders>
            <w:top w:val="none" w:sz="0" w:space="0"/>
            <w:left w:val="none" w:sz="0" w:space="0"/>
            <w:bottom w:val="none" w:sz="0" w:space="0"/>
            <w:right w:val="none" w:sz="0" w:space="0"/>
          </w:pgBorders>
          <w:cols w:space="720" w:num="1"/>
          <w:docGrid w:type="lines" w:linePitch="312" w:charSpace="0"/>
        </w:sectPr>
      </w:pPr>
      <w:r>
        <w:drawing>
          <wp:inline distT="0" distB="0" distL="114300" distR="114300">
            <wp:extent cx="5782945" cy="8384540"/>
            <wp:effectExtent l="0" t="0" r="8255" b="16510"/>
            <wp:docPr id="2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0"/>
                    <pic:cNvPicPr>
                      <a:picLocks noChangeAspect="1"/>
                    </pic:cNvPicPr>
                  </pic:nvPicPr>
                  <pic:blipFill>
                    <a:blip r:embed="rId84"/>
                    <a:stretch>
                      <a:fillRect/>
                    </a:stretch>
                  </pic:blipFill>
                  <pic:spPr>
                    <a:xfrm>
                      <a:off x="0" y="0"/>
                      <a:ext cx="5782945" cy="8384540"/>
                    </a:xfrm>
                    <a:prstGeom prst="rect">
                      <a:avLst/>
                    </a:prstGeom>
                    <a:noFill/>
                    <a:ln>
                      <a:noFill/>
                    </a:ln>
                  </pic:spPr>
                </pic:pic>
              </a:graphicData>
            </a:graphic>
          </wp:inline>
        </w:drawing>
      </w:r>
    </w:p>
    <w:p w14:paraId="5425B3B1">
      <w:pPr>
        <w:jc w:val="left"/>
        <w:outlineLvl w:val="0"/>
        <w:rPr>
          <w:rFonts w:hint="default" w:cs="Times New Roman"/>
          <w:b/>
          <w:color w:val="000000" w:themeColor="text1"/>
          <w:kern w:val="2"/>
          <w:sz w:val="21"/>
          <w:szCs w:val="21"/>
          <w:highlight w:val="none"/>
          <w:lang w:val="en-US" w:eastAsia="zh-CN" w:bidi="ar-SA"/>
          <w14:textFill>
            <w14:solidFill>
              <w14:schemeClr w14:val="tx1"/>
            </w14:solidFill>
          </w14:textFill>
        </w:rPr>
      </w:pPr>
      <w:bookmarkStart w:id="45" w:name="_Toc12461"/>
      <w:bookmarkStart w:id="46" w:name="_Toc8638"/>
      <w: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附件</w:t>
      </w:r>
      <w:r>
        <w:rPr>
          <w:rFonts w:hint="eastAsia" w:cs="Times New Roman"/>
          <w:b/>
          <w:color w:val="000000" w:themeColor="text1"/>
          <w:kern w:val="2"/>
          <w:sz w:val="21"/>
          <w:szCs w:val="21"/>
          <w:highlight w:val="none"/>
          <w:lang w:val="en-US" w:eastAsia="zh-CN" w:bidi="ar-SA"/>
          <w14:textFill>
            <w14:solidFill>
              <w14:schemeClr w14:val="tx1"/>
            </w14:solidFill>
          </w14:textFill>
        </w:rPr>
        <w:t>6</w:t>
      </w:r>
      <w: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生态环境分区管控分</w:t>
      </w:r>
      <w:bookmarkEnd w:id="45"/>
      <w:r>
        <w:rPr>
          <w:rFonts w:hint="eastAsia" w:cs="Times New Roman"/>
          <w:b/>
          <w:color w:val="000000" w:themeColor="text1"/>
          <w:kern w:val="2"/>
          <w:sz w:val="21"/>
          <w:szCs w:val="21"/>
          <w:highlight w:val="none"/>
          <w:lang w:val="en-US" w:eastAsia="zh-CN" w:bidi="ar-SA"/>
          <w14:textFill>
            <w14:solidFill>
              <w14:schemeClr w14:val="tx1"/>
            </w14:solidFill>
          </w14:textFill>
        </w:rPr>
        <w:t>析报告</w:t>
      </w:r>
      <w:bookmarkEnd w:id="46"/>
    </w:p>
    <w:p w14:paraId="4897AA8A">
      <w:pPr>
        <w:pStyle w:val="33"/>
        <w:ind w:left="0" w:leftChars="0" w:firstLine="0" w:firstLineChars="0"/>
      </w:pPr>
      <w:r>
        <w:drawing>
          <wp:inline distT="0" distB="0" distL="114300" distR="114300">
            <wp:extent cx="5755640" cy="4065905"/>
            <wp:effectExtent l="0" t="0" r="16510" b="10795"/>
            <wp:docPr id="6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4"/>
                    <pic:cNvPicPr>
                      <a:picLocks noChangeAspect="1"/>
                    </pic:cNvPicPr>
                  </pic:nvPicPr>
                  <pic:blipFill>
                    <a:blip r:embed="rId85"/>
                    <a:stretch>
                      <a:fillRect/>
                    </a:stretch>
                  </pic:blipFill>
                  <pic:spPr>
                    <a:xfrm>
                      <a:off x="0" y="0"/>
                      <a:ext cx="5755640" cy="4065905"/>
                    </a:xfrm>
                    <a:prstGeom prst="rect">
                      <a:avLst/>
                    </a:prstGeom>
                    <a:noFill/>
                    <a:ln>
                      <a:noFill/>
                    </a:ln>
                  </pic:spPr>
                </pic:pic>
              </a:graphicData>
            </a:graphic>
          </wp:inline>
        </w:drawing>
      </w:r>
      <w:r>
        <w:drawing>
          <wp:inline distT="0" distB="0" distL="114300" distR="114300">
            <wp:extent cx="5754370" cy="3983990"/>
            <wp:effectExtent l="0" t="0" r="17780" b="16510"/>
            <wp:docPr id="6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5"/>
                    <pic:cNvPicPr>
                      <a:picLocks noChangeAspect="1"/>
                    </pic:cNvPicPr>
                  </pic:nvPicPr>
                  <pic:blipFill>
                    <a:blip r:embed="rId86"/>
                    <a:stretch>
                      <a:fillRect/>
                    </a:stretch>
                  </pic:blipFill>
                  <pic:spPr>
                    <a:xfrm>
                      <a:off x="0" y="0"/>
                      <a:ext cx="5754370" cy="3983990"/>
                    </a:xfrm>
                    <a:prstGeom prst="rect">
                      <a:avLst/>
                    </a:prstGeom>
                    <a:noFill/>
                    <a:ln>
                      <a:noFill/>
                    </a:ln>
                  </pic:spPr>
                </pic:pic>
              </a:graphicData>
            </a:graphic>
          </wp:inline>
        </w:drawing>
      </w:r>
      <w:r>
        <w:drawing>
          <wp:inline distT="0" distB="0" distL="114300" distR="114300">
            <wp:extent cx="5752465" cy="3810635"/>
            <wp:effectExtent l="0" t="0" r="635" b="18415"/>
            <wp:docPr id="6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6"/>
                    <pic:cNvPicPr>
                      <a:picLocks noChangeAspect="1"/>
                    </pic:cNvPicPr>
                  </pic:nvPicPr>
                  <pic:blipFill>
                    <a:blip r:embed="rId87"/>
                    <a:stretch>
                      <a:fillRect/>
                    </a:stretch>
                  </pic:blipFill>
                  <pic:spPr>
                    <a:xfrm>
                      <a:off x="0" y="0"/>
                      <a:ext cx="5752465" cy="3810635"/>
                    </a:xfrm>
                    <a:prstGeom prst="rect">
                      <a:avLst/>
                    </a:prstGeom>
                    <a:noFill/>
                    <a:ln>
                      <a:noFill/>
                    </a:ln>
                  </pic:spPr>
                </pic:pic>
              </a:graphicData>
            </a:graphic>
          </wp:inline>
        </w:drawing>
      </w:r>
      <w:r>
        <w:drawing>
          <wp:inline distT="0" distB="0" distL="114300" distR="114300">
            <wp:extent cx="5755640" cy="3841750"/>
            <wp:effectExtent l="0" t="0" r="16510" b="6350"/>
            <wp:docPr id="6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7"/>
                    <pic:cNvPicPr>
                      <a:picLocks noChangeAspect="1"/>
                    </pic:cNvPicPr>
                  </pic:nvPicPr>
                  <pic:blipFill>
                    <a:blip r:embed="rId88"/>
                    <a:stretch>
                      <a:fillRect/>
                    </a:stretch>
                  </pic:blipFill>
                  <pic:spPr>
                    <a:xfrm>
                      <a:off x="0" y="0"/>
                      <a:ext cx="5755640" cy="3841750"/>
                    </a:xfrm>
                    <a:prstGeom prst="rect">
                      <a:avLst/>
                    </a:prstGeom>
                    <a:noFill/>
                    <a:ln>
                      <a:noFill/>
                    </a:ln>
                  </pic:spPr>
                </pic:pic>
              </a:graphicData>
            </a:graphic>
          </wp:inline>
        </w:drawing>
      </w:r>
      <w:r>
        <w:drawing>
          <wp:inline distT="0" distB="0" distL="114300" distR="114300">
            <wp:extent cx="5754370" cy="3860800"/>
            <wp:effectExtent l="0" t="0" r="17780" b="6350"/>
            <wp:docPr id="6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8"/>
                    <pic:cNvPicPr>
                      <a:picLocks noChangeAspect="1"/>
                    </pic:cNvPicPr>
                  </pic:nvPicPr>
                  <pic:blipFill>
                    <a:blip r:embed="rId89"/>
                    <a:stretch>
                      <a:fillRect/>
                    </a:stretch>
                  </pic:blipFill>
                  <pic:spPr>
                    <a:xfrm>
                      <a:off x="0" y="0"/>
                      <a:ext cx="5754370" cy="3860800"/>
                    </a:xfrm>
                    <a:prstGeom prst="rect">
                      <a:avLst/>
                    </a:prstGeom>
                    <a:noFill/>
                    <a:ln>
                      <a:noFill/>
                    </a:ln>
                  </pic:spPr>
                </pic:pic>
              </a:graphicData>
            </a:graphic>
          </wp:inline>
        </w:drawing>
      </w:r>
      <w:r>
        <w:drawing>
          <wp:inline distT="0" distB="0" distL="114300" distR="114300">
            <wp:extent cx="5756275" cy="3763645"/>
            <wp:effectExtent l="0" t="0" r="15875" b="8255"/>
            <wp:docPr id="6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9"/>
                    <pic:cNvPicPr>
                      <a:picLocks noChangeAspect="1"/>
                    </pic:cNvPicPr>
                  </pic:nvPicPr>
                  <pic:blipFill>
                    <a:blip r:embed="rId90"/>
                    <a:stretch>
                      <a:fillRect/>
                    </a:stretch>
                  </pic:blipFill>
                  <pic:spPr>
                    <a:xfrm>
                      <a:off x="0" y="0"/>
                      <a:ext cx="5756275" cy="3763645"/>
                    </a:xfrm>
                    <a:prstGeom prst="rect">
                      <a:avLst/>
                    </a:prstGeom>
                    <a:noFill/>
                    <a:ln>
                      <a:noFill/>
                    </a:ln>
                  </pic:spPr>
                </pic:pic>
              </a:graphicData>
            </a:graphic>
          </wp:inline>
        </w:drawing>
      </w:r>
      <w:r>
        <w:drawing>
          <wp:inline distT="0" distB="0" distL="114300" distR="114300">
            <wp:extent cx="5757545" cy="3912870"/>
            <wp:effectExtent l="0" t="0" r="14605" b="11430"/>
            <wp:docPr id="6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40"/>
                    <pic:cNvPicPr>
                      <a:picLocks noChangeAspect="1"/>
                    </pic:cNvPicPr>
                  </pic:nvPicPr>
                  <pic:blipFill>
                    <a:blip r:embed="rId91"/>
                    <a:stretch>
                      <a:fillRect/>
                    </a:stretch>
                  </pic:blipFill>
                  <pic:spPr>
                    <a:xfrm>
                      <a:off x="0" y="0"/>
                      <a:ext cx="5757545" cy="3912870"/>
                    </a:xfrm>
                    <a:prstGeom prst="rect">
                      <a:avLst/>
                    </a:prstGeom>
                    <a:noFill/>
                    <a:ln>
                      <a:noFill/>
                    </a:ln>
                  </pic:spPr>
                </pic:pic>
              </a:graphicData>
            </a:graphic>
          </wp:inline>
        </w:drawing>
      </w:r>
    </w:p>
    <w:p w14:paraId="53687ED6">
      <w:pPr>
        <w:pStyle w:val="24"/>
      </w:pPr>
    </w:p>
    <w:p w14:paraId="5D37378C">
      <w:pPr>
        <w:pStyle w:val="33"/>
        <w:ind w:left="0" w:leftChars="0" w:firstLine="0" w:firstLineChars="0"/>
        <w:rPr>
          <w:rFonts w:hint="default"/>
          <w:lang w:val="en-US" w:eastAsia="zh-CN"/>
        </w:rPr>
        <w:sectPr>
          <w:pgSz w:w="11906" w:h="16838"/>
          <w:pgMar w:top="1418" w:right="1418" w:bottom="1418" w:left="1418" w:header="851" w:footer="1208" w:gutter="0"/>
          <w:pgBorders>
            <w:top w:val="none" w:sz="0" w:space="0"/>
            <w:left w:val="none" w:sz="0" w:space="0"/>
            <w:bottom w:val="none" w:sz="0" w:space="0"/>
            <w:right w:val="none" w:sz="0" w:space="0"/>
          </w:pgBorders>
          <w:cols w:space="720" w:num="1"/>
          <w:docGrid w:type="lines" w:linePitch="312" w:charSpace="0"/>
        </w:sectPr>
      </w:pPr>
      <w:r>
        <w:drawing>
          <wp:inline distT="0" distB="0" distL="114300" distR="114300">
            <wp:extent cx="5755640" cy="3959225"/>
            <wp:effectExtent l="0" t="0" r="16510" b="3175"/>
            <wp:docPr id="6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41"/>
                    <pic:cNvPicPr>
                      <a:picLocks noChangeAspect="1"/>
                    </pic:cNvPicPr>
                  </pic:nvPicPr>
                  <pic:blipFill>
                    <a:blip r:embed="rId92"/>
                    <a:stretch>
                      <a:fillRect/>
                    </a:stretch>
                  </pic:blipFill>
                  <pic:spPr>
                    <a:xfrm>
                      <a:off x="0" y="0"/>
                      <a:ext cx="5755640" cy="3959225"/>
                    </a:xfrm>
                    <a:prstGeom prst="rect">
                      <a:avLst/>
                    </a:prstGeom>
                    <a:noFill/>
                    <a:ln>
                      <a:noFill/>
                    </a:ln>
                  </pic:spPr>
                </pic:pic>
              </a:graphicData>
            </a:graphic>
          </wp:inline>
        </w:drawing>
      </w:r>
      <w:r>
        <w:drawing>
          <wp:inline distT="0" distB="0" distL="114300" distR="114300">
            <wp:extent cx="5755640" cy="3966210"/>
            <wp:effectExtent l="0" t="0" r="16510" b="15240"/>
            <wp:docPr id="6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42"/>
                    <pic:cNvPicPr>
                      <a:picLocks noChangeAspect="1"/>
                    </pic:cNvPicPr>
                  </pic:nvPicPr>
                  <pic:blipFill>
                    <a:blip r:embed="rId93"/>
                    <a:stretch>
                      <a:fillRect/>
                    </a:stretch>
                  </pic:blipFill>
                  <pic:spPr>
                    <a:xfrm>
                      <a:off x="0" y="0"/>
                      <a:ext cx="5755640" cy="3966210"/>
                    </a:xfrm>
                    <a:prstGeom prst="rect">
                      <a:avLst/>
                    </a:prstGeom>
                    <a:noFill/>
                    <a:ln>
                      <a:noFill/>
                    </a:ln>
                  </pic:spPr>
                </pic:pic>
              </a:graphicData>
            </a:graphic>
          </wp:inline>
        </w:drawing>
      </w:r>
      <w:r>
        <w:drawing>
          <wp:inline distT="0" distB="0" distL="114300" distR="114300">
            <wp:extent cx="5754370" cy="3727450"/>
            <wp:effectExtent l="0" t="0" r="17780" b="6350"/>
            <wp:docPr id="6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43"/>
                    <pic:cNvPicPr>
                      <a:picLocks noChangeAspect="1"/>
                    </pic:cNvPicPr>
                  </pic:nvPicPr>
                  <pic:blipFill>
                    <a:blip r:embed="rId94"/>
                    <a:stretch>
                      <a:fillRect/>
                    </a:stretch>
                  </pic:blipFill>
                  <pic:spPr>
                    <a:xfrm>
                      <a:off x="0" y="0"/>
                      <a:ext cx="5754370" cy="3727450"/>
                    </a:xfrm>
                    <a:prstGeom prst="rect">
                      <a:avLst/>
                    </a:prstGeom>
                    <a:noFill/>
                    <a:ln>
                      <a:noFill/>
                    </a:ln>
                  </pic:spPr>
                </pic:pic>
              </a:graphicData>
            </a:graphic>
          </wp:inline>
        </w:drawing>
      </w:r>
    </w:p>
    <w:p w14:paraId="3BB285F8">
      <w:pPr>
        <w:jc w:val="left"/>
        <w:outlineLvl w:val="0"/>
        <w:rPr>
          <w:rFonts w:hint="eastAsia"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pPr>
      <w:bookmarkStart w:id="47" w:name="_Toc20106"/>
      <w:bookmarkStart w:id="48" w:name="_Toc10352"/>
      <w:bookmarkStart w:id="49" w:name="_Toc13969"/>
      <w:bookmarkStart w:id="50" w:name="_Toc4828"/>
      <w:bookmarkStart w:id="51" w:name="_Toc3891"/>
      <w:bookmarkStart w:id="52" w:name="_Toc24290"/>
      <w:bookmarkStart w:id="54" w:name="_GoBack"/>
      <w:bookmarkEnd w:id="54"/>
      <w:r>
        <w:rPr>
          <w:rFonts w:hint="default"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附件</w:t>
      </w:r>
      <w:r>
        <w:rPr>
          <w:rFonts w:hint="eastAsia" w:cs="Times New Roman"/>
          <w:b/>
          <w:color w:val="000000" w:themeColor="text1"/>
          <w:kern w:val="2"/>
          <w:sz w:val="21"/>
          <w:szCs w:val="21"/>
          <w:highlight w:val="none"/>
          <w:lang w:val="en-US" w:eastAsia="zh-CN" w:bidi="ar-SA"/>
          <w14:textFill>
            <w14:solidFill>
              <w14:schemeClr w14:val="tx1"/>
            </w14:solidFill>
          </w14:textFill>
        </w:rPr>
        <w:t>7</w:t>
      </w:r>
      <w:r>
        <w:rPr>
          <w:rFonts w:hint="eastAsia" w:ascii="Times New Roman" w:hAnsi="Times New Roman" w:eastAsia="宋体" w:cs="Times New Roman"/>
          <w:b/>
          <w:color w:val="000000" w:themeColor="text1"/>
          <w:kern w:val="2"/>
          <w:sz w:val="21"/>
          <w:szCs w:val="21"/>
          <w:highlight w:val="none"/>
          <w:lang w:val="en-US" w:eastAsia="zh-CN" w:bidi="ar-SA"/>
          <w14:textFill>
            <w14:solidFill>
              <w14:schemeClr w14:val="tx1"/>
            </w14:solidFill>
          </w14:textFill>
        </w:rPr>
        <w:t>公示截图</w:t>
      </w:r>
      <w:bookmarkEnd w:id="47"/>
      <w:bookmarkEnd w:id="48"/>
      <w:bookmarkEnd w:id="49"/>
      <w:bookmarkEnd w:id="50"/>
      <w:bookmarkEnd w:id="51"/>
      <w:bookmarkEnd w:id="52"/>
    </w:p>
    <w:p w14:paraId="0B4B09B1">
      <w:pPr>
        <w:jc w:val="left"/>
        <w:outlineLvl w:val="0"/>
        <w:rPr>
          <w:rFonts w:hint="default"/>
          <w:lang w:val="en-US" w:eastAsia="zh-CN"/>
        </w:rPr>
      </w:pPr>
      <w:bookmarkStart w:id="53" w:name="_Toc18347"/>
      <w:r>
        <w:drawing>
          <wp:inline distT="0" distB="0" distL="114300" distR="114300">
            <wp:extent cx="5608955" cy="5421630"/>
            <wp:effectExtent l="0" t="0" r="10795" b="7620"/>
            <wp:docPr id="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pic:cNvPicPr>
                      <a:picLocks noChangeAspect="1"/>
                    </pic:cNvPicPr>
                  </pic:nvPicPr>
                  <pic:blipFill>
                    <a:blip r:embed="rId95"/>
                    <a:stretch>
                      <a:fillRect/>
                    </a:stretch>
                  </pic:blipFill>
                  <pic:spPr>
                    <a:xfrm>
                      <a:off x="0" y="0"/>
                      <a:ext cx="5608955" cy="5421630"/>
                    </a:xfrm>
                    <a:prstGeom prst="rect">
                      <a:avLst/>
                    </a:prstGeom>
                    <a:noFill/>
                    <a:ln>
                      <a:noFill/>
                    </a:ln>
                  </pic:spPr>
                </pic:pic>
              </a:graphicData>
            </a:graphic>
          </wp:inline>
        </w:drawing>
      </w:r>
      <w:bookmarkEnd w:id="53"/>
    </w:p>
    <w:sectPr>
      <w:footerReference r:id="rId10"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decorative"/>
    <w:pitch w:val="default"/>
    <w:sig w:usb0="00000000" w:usb1="00000000" w:usb2="00000000" w:usb3="00000000" w:csb0="8000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BED30">
    <w:pPr>
      <w:pStyle w:val="22"/>
      <w:ind w:right="360" w:firstLine="360"/>
    </w:pPr>
  </w:p>
  <w:p w14:paraId="5922E7C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3E2B2">
    <w:pPr>
      <w:pStyle w:val="22"/>
      <w:framePr w:wrap="around" w:vAnchor="text" w:hAnchor="margin" w:xAlign="center" w:y="1"/>
      <w:rPr>
        <w:rStyle w:val="39"/>
      </w:rPr>
    </w:pPr>
    <w:r>
      <w:fldChar w:fldCharType="begin"/>
    </w:r>
    <w:r>
      <w:rPr>
        <w:rStyle w:val="39"/>
      </w:rPr>
      <w:instrText xml:space="preserve">PAGE  </w:instrText>
    </w:r>
    <w:r>
      <w:fldChar w:fldCharType="end"/>
    </w:r>
  </w:p>
  <w:p w14:paraId="111FB00B">
    <w:pPr>
      <w:pStyle w:val="2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10BAE">
    <w:pPr>
      <w:pStyle w:val="22"/>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1CA95">
    <w:pPr>
      <w:pStyle w:val="22"/>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E5ACC">
    <w:pPr>
      <w:pStyle w:val="22"/>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50F111">
                          <w:pPr>
                            <w:pStyle w:val="22"/>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Style w:val="39"/>
                              <w:rFonts w:ascii="宋体" w:hAnsi="宋体"/>
                              <w:sz w:val="26"/>
                              <w:szCs w:val="26"/>
                            </w:rPr>
                            <w:fldChar w:fldCharType="begin"/>
                          </w:r>
                          <w:r>
                            <w:rPr>
                              <w:rStyle w:val="39"/>
                              <w:rFonts w:ascii="宋体" w:hAnsi="宋体"/>
                              <w:sz w:val="26"/>
                              <w:szCs w:val="26"/>
                            </w:rPr>
                            <w:instrText xml:space="preserve">PAGE  </w:instrText>
                          </w:r>
                          <w:r>
                            <w:rPr>
                              <w:rStyle w:val="39"/>
                              <w:rFonts w:ascii="宋体" w:hAnsi="宋体"/>
                              <w:sz w:val="26"/>
                              <w:szCs w:val="26"/>
                            </w:rPr>
                            <w:fldChar w:fldCharType="separate"/>
                          </w:r>
                          <w:r>
                            <w:rPr>
                              <w:rStyle w:val="39"/>
                              <w:rFonts w:ascii="宋体" w:hAnsi="宋体"/>
                              <w:sz w:val="26"/>
                              <w:szCs w:val="26"/>
                            </w:rPr>
                            <w:t>9</w:t>
                          </w:r>
                          <w:r>
                            <w:rPr>
                              <w:rStyle w:val="39"/>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6D50F111">
                    <w:pPr>
                      <w:pStyle w:val="22"/>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Style w:val="39"/>
                        <w:rFonts w:ascii="宋体" w:hAnsi="宋体"/>
                        <w:sz w:val="26"/>
                        <w:szCs w:val="26"/>
                      </w:rPr>
                      <w:fldChar w:fldCharType="begin"/>
                    </w:r>
                    <w:r>
                      <w:rPr>
                        <w:rStyle w:val="39"/>
                        <w:rFonts w:ascii="宋体" w:hAnsi="宋体"/>
                        <w:sz w:val="26"/>
                        <w:szCs w:val="26"/>
                      </w:rPr>
                      <w:instrText xml:space="preserve">PAGE  </w:instrText>
                    </w:r>
                    <w:r>
                      <w:rPr>
                        <w:rStyle w:val="39"/>
                        <w:rFonts w:ascii="宋体" w:hAnsi="宋体"/>
                        <w:sz w:val="26"/>
                        <w:szCs w:val="26"/>
                      </w:rPr>
                      <w:fldChar w:fldCharType="separate"/>
                    </w:r>
                    <w:r>
                      <w:rPr>
                        <w:rStyle w:val="39"/>
                        <w:rFonts w:ascii="宋体" w:hAnsi="宋体"/>
                        <w:sz w:val="26"/>
                        <w:szCs w:val="26"/>
                      </w:rPr>
                      <w:t>9</w:t>
                    </w:r>
                    <w:r>
                      <w:rPr>
                        <w:rStyle w:val="39"/>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CCBF7">
    <w:pPr>
      <w:pStyle w:val="22"/>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6BF4F1">
                          <w:pPr>
                            <w:pStyle w:val="22"/>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Style w:val="39"/>
                              <w:rFonts w:ascii="宋体" w:hAnsi="宋体"/>
                              <w:sz w:val="26"/>
                              <w:szCs w:val="26"/>
                            </w:rPr>
                            <w:fldChar w:fldCharType="begin"/>
                          </w:r>
                          <w:r>
                            <w:rPr>
                              <w:rStyle w:val="39"/>
                              <w:rFonts w:ascii="宋体" w:hAnsi="宋体"/>
                              <w:sz w:val="26"/>
                              <w:szCs w:val="26"/>
                            </w:rPr>
                            <w:instrText xml:space="preserve">PAGE  </w:instrText>
                          </w:r>
                          <w:r>
                            <w:rPr>
                              <w:rStyle w:val="39"/>
                              <w:rFonts w:ascii="宋体" w:hAnsi="宋体"/>
                              <w:sz w:val="26"/>
                              <w:szCs w:val="26"/>
                            </w:rPr>
                            <w:fldChar w:fldCharType="separate"/>
                          </w:r>
                          <w:r>
                            <w:rPr>
                              <w:rStyle w:val="39"/>
                              <w:rFonts w:ascii="宋体" w:hAnsi="宋体"/>
                              <w:sz w:val="26"/>
                              <w:szCs w:val="26"/>
                            </w:rPr>
                            <w:t>10</w:t>
                          </w:r>
                          <w:r>
                            <w:rPr>
                              <w:rStyle w:val="39"/>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176BF4F1">
                    <w:pPr>
                      <w:pStyle w:val="22"/>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Style w:val="39"/>
                        <w:rFonts w:ascii="宋体" w:hAnsi="宋体"/>
                        <w:sz w:val="26"/>
                        <w:szCs w:val="26"/>
                      </w:rPr>
                      <w:fldChar w:fldCharType="begin"/>
                    </w:r>
                    <w:r>
                      <w:rPr>
                        <w:rStyle w:val="39"/>
                        <w:rFonts w:ascii="宋体" w:hAnsi="宋体"/>
                        <w:sz w:val="26"/>
                        <w:szCs w:val="26"/>
                      </w:rPr>
                      <w:instrText xml:space="preserve">PAGE  </w:instrText>
                    </w:r>
                    <w:r>
                      <w:rPr>
                        <w:rStyle w:val="39"/>
                        <w:rFonts w:ascii="宋体" w:hAnsi="宋体"/>
                        <w:sz w:val="26"/>
                        <w:szCs w:val="26"/>
                      </w:rPr>
                      <w:fldChar w:fldCharType="separate"/>
                    </w:r>
                    <w:r>
                      <w:rPr>
                        <w:rStyle w:val="39"/>
                        <w:rFonts w:ascii="宋体" w:hAnsi="宋体"/>
                        <w:sz w:val="26"/>
                        <w:szCs w:val="26"/>
                      </w:rPr>
                      <w:t>10</w:t>
                    </w:r>
                    <w:r>
                      <w:rPr>
                        <w:rStyle w:val="39"/>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32A76">
    <w:pPr>
      <w:pStyle w:val="22"/>
      <w:ind w:right="360" w:firstLine="360"/>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B4FDAE">
                          <w:pPr>
                            <w:pStyle w:val="22"/>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Style w:val="39"/>
                              <w:rFonts w:ascii="宋体" w:hAnsi="宋体"/>
                              <w:sz w:val="26"/>
                              <w:szCs w:val="26"/>
                            </w:rPr>
                            <w:fldChar w:fldCharType="begin"/>
                          </w:r>
                          <w:r>
                            <w:rPr>
                              <w:rStyle w:val="39"/>
                              <w:rFonts w:ascii="宋体" w:hAnsi="宋体"/>
                              <w:sz w:val="26"/>
                              <w:szCs w:val="26"/>
                            </w:rPr>
                            <w:instrText xml:space="preserve">PAGE  </w:instrText>
                          </w:r>
                          <w:r>
                            <w:rPr>
                              <w:rStyle w:val="39"/>
                              <w:rFonts w:ascii="宋体" w:hAnsi="宋体"/>
                              <w:sz w:val="26"/>
                              <w:szCs w:val="26"/>
                            </w:rPr>
                            <w:fldChar w:fldCharType="separate"/>
                          </w:r>
                          <w:r>
                            <w:rPr>
                              <w:rStyle w:val="39"/>
                              <w:rFonts w:ascii="宋体" w:hAnsi="宋体"/>
                              <w:sz w:val="26"/>
                              <w:szCs w:val="26"/>
                            </w:rPr>
                            <w:t>11</w:t>
                          </w:r>
                          <w:r>
                            <w:rPr>
                              <w:rStyle w:val="39"/>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40B4FDAE">
                    <w:pPr>
                      <w:pStyle w:val="22"/>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Style w:val="39"/>
                        <w:rFonts w:ascii="宋体" w:hAnsi="宋体"/>
                        <w:sz w:val="26"/>
                        <w:szCs w:val="26"/>
                      </w:rPr>
                      <w:fldChar w:fldCharType="begin"/>
                    </w:r>
                    <w:r>
                      <w:rPr>
                        <w:rStyle w:val="39"/>
                        <w:rFonts w:ascii="宋体" w:hAnsi="宋体"/>
                        <w:sz w:val="26"/>
                        <w:szCs w:val="26"/>
                      </w:rPr>
                      <w:instrText xml:space="preserve">PAGE  </w:instrText>
                    </w:r>
                    <w:r>
                      <w:rPr>
                        <w:rStyle w:val="39"/>
                        <w:rFonts w:ascii="宋体" w:hAnsi="宋体"/>
                        <w:sz w:val="26"/>
                        <w:szCs w:val="26"/>
                      </w:rPr>
                      <w:fldChar w:fldCharType="separate"/>
                    </w:r>
                    <w:r>
                      <w:rPr>
                        <w:rStyle w:val="39"/>
                        <w:rFonts w:ascii="宋体" w:hAnsi="宋体"/>
                        <w:sz w:val="26"/>
                        <w:szCs w:val="26"/>
                      </w:rPr>
                      <w:t>11</w:t>
                    </w:r>
                    <w:r>
                      <w:rPr>
                        <w:rStyle w:val="39"/>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55639">
    <w:pPr>
      <w:pStyle w:val="22"/>
      <w:ind w:right="360" w:firstLine="36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9DE884">
                          <w:pPr>
                            <w:pStyle w:val="22"/>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Style w:val="39"/>
                              <w:rFonts w:ascii="宋体" w:hAnsi="宋体"/>
                              <w:sz w:val="26"/>
                              <w:szCs w:val="26"/>
                            </w:rPr>
                            <w:fldChar w:fldCharType="begin"/>
                          </w:r>
                          <w:r>
                            <w:rPr>
                              <w:rStyle w:val="39"/>
                              <w:rFonts w:ascii="宋体" w:hAnsi="宋体"/>
                              <w:sz w:val="26"/>
                              <w:szCs w:val="26"/>
                            </w:rPr>
                            <w:instrText xml:space="preserve">PAGE  </w:instrText>
                          </w:r>
                          <w:r>
                            <w:rPr>
                              <w:rStyle w:val="39"/>
                              <w:rFonts w:ascii="宋体" w:hAnsi="宋体"/>
                              <w:sz w:val="26"/>
                              <w:szCs w:val="26"/>
                            </w:rPr>
                            <w:fldChar w:fldCharType="separate"/>
                          </w:r>
                          <w:r>
                            <w:rPr>
                              <w:rStyle w:val="39"/>
                              <w:rFonts w:ascii="宋体" w:hAnsi="宋体"/>
                              <w:sz w:val="26"/>
                              <w:szCs w:val="26"/>
                            </w:rPr>
                            <w:t>11</w:t>
                          </w:r>
                          <w:r>
                            <w:rPr>
                              <w:rStyle w:val="39"/>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C9DE884">
                    <w:pPr>
                      <w:pStyle w:val="22"/>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Style w:val="39"/>
                        <w:rFonts w:ascii="宋体" w:hAnsi="宋体"/>
                        <w:sz w:val="26"/>
                        <w:szCs w:val="26"/>
                      </w:rPr>
                      <w:fldChar w:fldCharType="begin"/>
                    </w:r>
                    <w:r>
                      <w:rPr>
                        <w:rStyle w:val="39"/>
                        <w:rFonts w:ascii="宋体" w:hAnsi="宋体"/>
                        <w:sz w:val="26"/>
                        <w:szCs w:val="26"/>
                      </w:rPr>
                      <w:instrText xml:space="preserve">PAGE  </w:instrText>
                    </w:r>
                    <w:r>
                      <w:rPr>
                        <w:rStyle w:val="39"/>
                        <w:rFonts w:ascii="宋体" w:hAnsi="宋体"/>
                        <w:sz w:val="26"/>
                        <w:szCs w:val="26"/>
                      </w:rPr>
                      <w:fldChar w:fldCharType="separate"/>
                    </w:r>
                    <w:r>
                      <w:rPr>
                        <w:rStyle w:val="39"/>
                        <w:rFonts w:ascii="宋体" w:hAnsi="宋体"/>
                        <w:sz w:val="26"/>
                        <w:szCs w:val="26"/>
                      </w:rPr>
                      <w:t>11</w:t>
                    </w:r>
                    <w:r>
                      <w:rPr>
                        <w:rStyle w:val="39"/>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597B66"/>
    <w:multiLevelType w:val="singleLevel"/>
    <w:tmpl w:val="95597B66"/>
    <w:lvl w:ilvl="0" w:tentative="0">
      <w:start w:val="1"/>
      <w:numFmt w:val="decimal"/>
      <w:suff w:val="nothing"/>
      <w:lvlText w:val="（%1）"/>
      <w:lvlJc w:val="left"/>
    </w:lvl>
  </w:abstractNum>
  <w:abstractNum w:abstractNumId="1">
    <w:nsid w:val="B97F3FD9"/>
    <w:multiLevelType w:val="singleLevel"/>
    <w:tmpl w:val="B97F3FD9"/>
    <w:lvl w:ilvl="0" w:tentative="0">
      <w:start w:val="1"/>
      <w:numFmt w:val="bullet"/>
      <w:pStyle w:val="20"/>
      <w:lvlText w:val=""/>
      <w:lvlJc w:val="left"/>
      <w:pPr>
        <w:tabs>
          <w:tab w:val="left" w:pos="2040"/>
        </w:tabs>
        <w:ind w:left="2040" w:hanging="360"/>
      </w:pPr>
      <w:rPr>
        <w:rFonts w:hint="default" w:ascii="Wingdings" w:hAnsi="Wingdings"/>
      </w:rPr>
    </w:lvl>
  </w:abstractNum>
  <w:abstractNum w:abstractNumId="2">
    <w:nsid w:val="C35A60AB"/>
    <w:multiLevelType w:val="singleLevel"/>
    <w:tmpl w:val="C35A60AB"/>
    <w:lvl w:ilvl="0" w:tentative="0">
      <w:start w:val="1"/>
      <w:numFmt w:val="bullet"/>
      <w:pStyle w:val="14"/>
      <w:lvlText w:val=""/>
      <w:lvlJc w:val="left"/>
      <w:pPr>
        <w:tabs>
          <w:tab w:val="left" w:pos="780"/>
        </w:tabs>
        <w:ind w:left="780" w:hanging="360"/>
      </w:pPr>
      <w:rPr>
        <w:rFonts w:hint="default" w:ascii="Wingdings" w:hAnsi="Wingdings"/>
      </w:rPr>
    </w:lvl>
  </w:abstractNum>
  <w:abstractNum w:abstractNumId="3">
    <w:nsid w:val="0D663E45"/>
    <w:multiLevelType w:val="multilevel"/>
    <w:tmpl w:val="0D663E45"/>
    <w:lvl w:ilvl="0" w:tentative="0">
      <w:start w:val="1"/>
      <w:numFmt w:val="decimal"/>
      <w:suff w:val="space"/>
      <w:lvlText w:val="%1"/>
      <w:lvlJc w:val="left"/>
      <w:pPr>
        <w:ind w:left="425" w:hanging="425"/>
      </w:pPr>
      <w:rPr>
        <w:rFonts w:hint="eastAsia"/>
      </w:rPr>
    </w:lvl>
    <w:lvl w:ilvl="1" w:tentative="0">
      <w:start w:val="1"/>
      <w:numFmt w:val="decimal"/>
      <w:suff w:val="space"/>
      <w:lvlText w:val="%1.%2"/>
      <w:lvlJc w:val="left"/>
      <w:pPr>
        <w:ind w:left="567" w:hanging="567"/>
      </w:pPr>
      <w:rPr>
        <w:rFonts w:hint="eastAsia"/>
      </w:rPr>
    </w:lvl>
    <w:lvl w:ilvl="2" w:tentative="0">
      <w:start w:val="1"/>
      <w:numFmt w:val="decimal"/>
      <w:suff w:val="space"/>
      <w:lvlText w:val="%1.%2.%3"/>
      <w:lvlJc w:val="left"/>
      <w:pPr>
        <w:ind w:left="709" w:hanging="709"/>
      </w:pPr>
      <w:rPr>
        <w:rFonts w:hint="eastAsia"/>
      </w:rPr>
    </w:lvl>
    <w:lvl w:ilvl="3" w:tentative="0">
      <w:start w:val="1"/>
      <w:numFmt w:val="decimal"/>
      <w:pStyle w:val="6"/>
      <w:lvlText w:val="%1.%2.%3.%4"/>
      <w:lvlJc w:val="left"/>
      <w:pPr>
        <w:tabs>
          <w:tab w:val="left" w:pos="0"/>
        </w:tabs>
        <w:ind w:left="630" w:firstLine="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16341CCF"/>
    <w:multiLevelType w:val="singleLevel"/>
    <w:tmpl w:val="16341CCF"/>
    <w:lvl w:ilvl="0" w:tentative="0">
      <w:start w:val="4"/>
      <w:numFmt w:val="chineseCounting"/>
      <w:suff w:val="nothing"/>
      <w:lvlText w:val="%1、"/>
      <w:lvlJc w:val="left"/>
      <w:rPr>
        <w:rFonts w:hint="eastAsia"/>
      </w:rPr>
    </w:lvl>
  </w:abstractNum>
  <w:abstractNum w:abstractNumId="5">
    <w:nsid w:val="1CD8B84A"/>
    <w:multiLevelType w:val="singleLevel"/>
    <w:tmpl w:val="1CD8B84A"/>
    <w:lvl w:ilvl="0" w:tentative="0">
      <w:start w:val="1"/>
      <w:numFmt w:val="decimal"/>
      <w:suff w:val="nothing"/>
      <w:lvlText w:val="%1、"/>
      <w:lvlJc w:val="left"/>
    </w:lvl>
  </w:abstractNum>
  <w:abstractNum w:abstractNumId="6">
    <w:nsid w:val="2AC5DB92"/>
    <w:multiLevelType w:val="singleLevel"/>
    <w:tmpl w:val="2AC5DB92"/>
    <w:lvl w:ilvl="0" w:tentative="0">
      <w:start w:val="1"/>
      <w:numFmt w:val="decimal"/>
      <w:suff w:val="nothing"/>
      <w:lvlText w:val="%1、"/>
      <w:lvlJc w:val="left"/>
    </w:lvl>
  </w:abstractNum>
  <w:abstractNum w:abstractNumId="7">
    <w:nsid w:val="3C05F8C1"/>
    <w:multiLevelType w:val="singleLevel"/>
    <w:tmpl w:val="3C05F8C1"/>
    <w:lvl w:ilvl="0" w:tentative="0">
      <w:start w:val="6"/>
      <w:numFmt w:val="decimal"/>
      <w:suff w:val="nothing"/>
      <w:lvlText w:val="%1、"/>
      <w:lvlJc w:val="left"/>
    </w:lvl>
  </w:abstractNum>
  <w:num w:numId="1">
    <w:abstractNumId w:val="3"/>
  </w:num>
  <w:num w:numId="2">
    <w:abstractNumId w:val="2"/>
  </w:num>
  <w:num w:numId="3">
    <w:abstractNumId w:val="1"/>
  </w:num>
  <w:num w:numId="4">
    <w:abstractNumId w:val="0"/>
  </w:num>
  <w:num w:numId="5">
    <w:abstractNumId w:val="7"/>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wM2MzMzE5YjRmZTU0ZTMwMzRiYTE3NzI3NjA4YzUifQ=="/>
  </w:docVars>
  <w:rsids>
    <w:rsidRoot w:val="00172A27"/>
    <w:rsid w:val="000011FF"/>
    <w:rsid w:val="00060C6A"/>
    <w:rsid w:val="000725CD"/>
    <w:rsid w:val="000E49E2"/>
    <w:rsid w:val="002120EB"/>
    <w:rsid w:val="00250EED"/>
    <w:rsid w:val="002651BF"/>
    <w:rsid w:val="00305CE7"/>
    <w:rsid w:val="003D21B2"/>
    <w:rsid w:val="003F29E4"/>
    <w:rsid w:val="00430633"/>
    <w:rsid w:val="00440241"/>
    <w:rsid w:val="005141A4"/>
    <w:rsid w:val="00584BC9"/>
    <w:rsid w:val="00694D38"/>
    <w:rsid w:val="006B0807"/>
    <w:rsid w:val="006F02F1"/>
    <w:rsid w:val="00702588"/>
    <w:rsid w:val="007622FE"/>
    <w:rsid w:val="00831C23"/>
    <w:rsid w:val="00976FD3"/>
    <w:rsid w:val="00AB58C2"/>
    <w:rsid w:val="00B25DFB"/>
    <w:rsid w:val="00C213E6"/>
    <w:rsid w:val="00D760AE"/>
    <w:rsid w:val="00DD39BE"/>
    <w:rsid w:val="00EC0290"/>
    <w:rsid w:val="00F8365B"/>
    <w:rsid w:val="00F8685F"/>
    <w:rsid w:val="00FD223C"/>
    <w:rsid w:val="01154EDD"/>
    <w:rsid w:val="0116678C"/>
    <w:rsid w:val="011904B1"/>
    <w:rsid w:val="013D67D6"/>
    <w:rsid w:val="016731DD"/>
    <w:rsid w:val="016A5229"/>
    <w:rsid w:val="018F0BBA"/>
    <w:rsid w:val="01B57C13"/>
    <w:rsid w:val="01D17003"/>
    <w:rsid w:val="01DC1BB9"/>
    <w:rsid w:val="01E871EF"/>
    <w:rsid w:val="01FF1661"/>
    <w:rsid w:val="020F79CD"/>
    <w:rsid w:val="02393A77"/>
    <w:rsid w:val="023A0830"/>
    <w:rsid w:val="025C1E8E"/>
    <w:rsid w:val="02965762"/>
    <w:rsid w:val="0298460C"/>
    <w:rsid w:val="02A86BB2"/>
    <w:rsid w:val="02B27E77"/>
    <w:rsid w:val="02B32C00"/>
    <w:rsid w:val="02B726F0"/>
    <w:rsid w:val="02E132C9"/>
    <w:rsid w:val="02F200B2"/>
    <w:rsid w:val="03065425"/>
    <w:rsid w:val="030D3B7D"/>
    <w:rsid w:val="0314369E"/>
    <w:rsid w:val="031C69F7"/>
    <w:rsid w:val="03264B28"/>
    <w:rsid w:val="032A4E78"/>
    <w:rsid w:val="032D72C5"/>
    <w:rsid w:val="0334178C"/>
    <w:rsid w:val="033654A5"/>
    <w:rsid w:val="034675D0"/>
    <w:rsid w:val="034D32D6"/>
    <w:rsid w:val="03525F75"/>
    <w:rsid w:val="03565CCB"/>
    <w:rsid w:val="0361091F"/>
    <w:rsid w:val="0368103A"/>
    <w:rsid w:val="036B4CD9"/>
    <w:rsid w:val="0375601B"/>
    <w:rsid w:val="03830824"/>
    <w:rsid w:val="03892C19"/>
    <w:rsid w:val="03A622A7"/>
    <w:rsid w:val="03B55892"/>
    <w:rsid w:val="03BA492B"/>
    <w:rsid w:val="03C2759E"/>
    <w:rsid w:val="03C72872"/>
    <w:rsid w:val="03E65362"/>
    <w:rsid w:val="03E94B2B"/>
    <w:rsid w:val="03EC2FA8"/>
    <w:rsid w:val="03ED3BD7"/>
    <w:rsid w:val="03FB5A5B"/>
    <w:rsid w:val="03FF51A8"/>
    <w:rsid w:val="041D5D64"/>
    <w:rsid w:val="041E0DF8"/>
    <w:rsid w:val="04206073"/>
    <w:rsid w:val="042166B7"/>
    <w:rsid w:val="04262466"/>
    <w:rsid w:val="042E0790"/>
    <w:rsid w:val="042F0EFB"/>
    <w:rsid w:val="043B7FCA"/>
    <w:rsid w:val="0460074E"/>
    <w:rsid w:val="04630A40"/>
    <w:rsid w:val="04683F9E"/>
    <w:rsid w:val="047D6348"/>
    <w:rsid w:val="048216AC"/>
    <w:rsid w:val="048D3646"/>
    <w:rsid w:val="04915F07"/>
    <w:rsid w:val="049C7A2E"/>
    <w:rsid w:val="04AB3A0E"/>
    <w:rsid w:val="04AE18D1"/>
    <w:rsid w:val="04AE505A"/>
    <w:rsid w:val="04C8482E"/>
    <w:rsid w:val="04C9752F"/>
    <w:rsid w:val="04D53301"/>
    <w:rsid w:val="04F70879"/>
    <w:rsid w:val="04F76DD4"/>
    <w:rsid w:val="05432019"/>
    <w:rsid w:val="054933A7"/>
    <w:rsid w:val="054D10EA"/>
    <w:rsid w:val="05504B38"/>
    <w:rsid w:val="055923B7"/>
    <w:rsid w:val="056401E1"/>
    <w:rsid w:val="05651755"/>
    <w:rsid w:val="05681A7F"/>
    <w:rsid w:val="056C49FA"/>
    <w:rsid w:val="05803398"/>
    <w:rsid w:val="05A42F4A"/>
    <w:rsid w:val="05AB7BBE"/>
    <w:rsid w:val="05B04089"/>
    <w:rsid w:val="05B127AC"/>
    <w:rsid w:val="05B60A3D"/>
    <w:rsid w:val="05BE447A"/>
    <w:rsid w:val="05BE78F1"/>
    <w:rsid w:val="05C72213"/>
    <w:rsid w:val="05D06823"/>
    <w:rsid w:val="05D07A7F"/>
    <w:rsid w:val="05D11D1B"/>
    <w:rsid w:val="05D7534F"/>
    <w:rsid w:val="060B24DC"/>
    <w:rsid w:val="060D2627"/>
    <w:rsid w:val="061C7A97"/>
    <w:rsid w:val="063522A9"/>
    <w:rsid w:val="063D4CBA"/>
    <w:rsid w:val="065A1D10"/>
    <w:rsid w:val="06627C49"/>
    <w:rsid w:val="06655E1E"/>
    <w:rsid w:val="06734B80"/>
    <w:rsid w:val="06754648"/>
    <w:rsid w:val="067568DE"/>
    <w:rsid w:val="067E02C3"/>
    <w:rsid w:val="069A34CB"/>
    <w:rsid w:val="069E4688"/>
    <w:rsid w:val="06B2148E"/>
    <w:rsid w:val="06BA02B4"/>
    <w:rsid w:val="06BA27AF"/>
    <w:rsid w:val="06BB3E7B"/>
    <w:rsid w:val="06D25D4A"/>
    <w:rsid w:val="07232D4E"/>
    <w:rsid w:val="073267E9"/>
    <w:rsid w:val="073836D3"/>
    <w:rsid w:val="074D53D1"/>
    <w:rsid w:val="07575CA8"/>
    <w:rsid w:val="076218F6"/>
    <w:rsid w:val="07741536"/>
    <w:rsid w:val="07755C25"/>
    <w:rsid w:val="0776560E"/>
    <w:rsid w:val="077C680D"/>
    <w:rsid w:val="07910674"/>
    <w:rsid w:val="07917FDC"/>
    <w:rsid w:val="07A91EDF"/>
    <w:rsid w:val="07B002E1"/>
    <w:rsid w:val="07B509B3"/>
    <w:rsid w:val="07C50E28"/>
    <w:rsid w:val="07C86708"/>
    <w:rsid w:val="07CA0B06"/>
    <w:rsid w:val="07CD02C0"/>
    <w:rsid w:val="07CF04AF"/>
    <w:rsid w:val="07CF4E9D"/>
    <w:rsid w:val="07DF01B8"/>
    <w:rsid w:val="07E8792A"/>
    <w:rsid w:val="07EA2C20"/>
    <w:rsid w:val="08147C9D"/>
    <w:rsid w:val="0817778D"/>
    <w:rsid w:val="081952B3"/>
    <w:rsid w:val="082B571B"/>
    <w:rsid w:val="08356CC6"/>
    <w:rsid w:val="083A342A"/>
    <w:rsid w:val="08400A92"/>
    <w:rsid w:val="084A7AD8"/>
    <w:rsid w:val="084C7436"/>
    <w:rsid w:val="08500BB1"/>
    <w:rsid w:val="085202FC"/>
    <w:rsid w:val="085C7F21"/>
    <w:rsid w:val="085D33D8"/>
    <w:rsid w:val="08602958"/>
    <w:rsid w:val="089018A1"/>
    <w:rsid w:val="08966904"/>
    <w:rsid w:val="08AA1D90"/>
    <w:rsid w:val="08AA23AF"/>
    <w:rsid w:val="08B576D2"/>
    <w:rsid w:val="08C568EA"/>
    <w:rsid w:val="08E70994"/>
    <w:rsid w:val="08ED372A"/>
    <w:rsid w:val="09000221"/>
    <w:rsid w:val="09061CDB"/>
    <w:rsid w:val="090E61F2"/>
    <w:rsid w:val="09187370"/>
    <w:rsid w:val="09324868"/>
    <w:rsid w:val="093C424A"/>
    <w:rsid w:val="095A7498"/>
    <w:rsid w:val="09695826"/>
    <w:rsid w:val="0972053F"/>
    <w:rsid w:val="09727371"/>
    <w:rsid w:val="097310FF"/>
    <w:rsid w:val="097711BC"/>
    <w:rsid w:val="09875F67"/>
    <w:rsid w:val="099E259B"/>
    <w:rsid w:val="09A573B2"/>
    <w:rsid w:val="09A8602C"/>
    <w:rsid w:val="09AD5B9C"/>
    <w:rsid w:val="09B41737"/>
    <w:rsid w:val="09BF138A"/>
    <w:rsid w:val="09C6146A"/>
    <w:rsid w:val="09E0697D"/>
    <w:rsid w:val="09F61177"/>
    <w:rsid w:val="0A006153"/>
    <w:rsid w:val="0A0E3619"/>
    <w:rsid w:val="0A0E62F2"/>
    <w:rsid w:val="0A145B94"/>
    <w:rsid w:val="0A1C72DC"/>
    <w:rsid w:val="0A244E20"/>
    <w:rsid w:val="0A25783A"/>
    <w:rsid w:val="0A283AAC"/>
    <w:rsid w:val="0A5401AE"/>
    <w:rsid w:val="0A67318D"/>
    <w:rsid w:val="0A786C09"/>
    <w:rsid w:val="0A7A0C07"/>
    <w:rsid w:val="0A876E4C"/>
    <w:rsid w:val="0A8E475F"/>
    <w:rsid w:val="0A9652E1"/>
    <w:rsid w:val="0A9A7B48"/>
    <w:rsid w:val="0AA551DA"/>
    <w:rsid w:val="0AB90E98"/>
    <w:rsid w:val="0AC41E4E"/>
    <w:rsid w:val="0AEC3153"/>
    <w:rsid w:val="0AEF054D"/>
    <w:rsid w:val="0AF7539B"/>
    <w:rsid w:val="0AFF5E49"/>
    <w:rsid w:val="0B097861"/>
    <w:rsid w:val="0B262F2A"/>
    <w:rsid w:val="0B315722"/>
    <w:rsid w:val="0B381EF4"/>
    <w:rsid w:val="0B3D750A"/>
    <w:rsid w:val="0B444D3D"/>
    <w:rsid w:val="0B505490"/>
    <w:rsid w:val="0B5111E3"/>
    <w:rsid w:val="0B5A6EFC"/>
    <w:rsid w:val="0B7F62AE"/>
    <w:rsid w:val="0B871679"/>
    <w:rsid w:val="0B885568"/>
    <w:rsid w:val="0B905875"/>
    <w:rsid w:val="0B9470A7"/>
    <w:rsid w:val="0B986811"/>
    <w:rsid w:val="0BCB4B16"/>
    <w:rsid w:val="0BCB76EF"/>
    <w:rsid w:val="0BD414C0"/>
    <w:rsid w:val="0BF43CC0"/>
    <w:rsid w:val="0BFF569C"/>
    <w:rsid w:val="0C0A0CE8"/>
    <w:rsid w:val="0C110E52"/>
    <w:rsid w:val="0C232BA4"/>
    <w:rsid w:val="0C2B05B0"/>
    <w:rsid w:val="0C2F6111"/>
    <w:rsid w:val="0C45012D"/>
    <w:rsid w:val="0C484448"/>
    <w:rsid w:val="0C4B197C"/>
    <w:rsid w:val="0C52404E"/>
    <w:rsid w:val="0C571C78"/>
    <w:rsid w:val="0C5A4160"/>
    <w:rsid w:val="0C5C1C12"/>
    <w:rsid w:val="0C640AE5"/>
    <w:rsid w:val="0C7D1DD1"/>
    <w:rsid w:val="0C7E04F6"/>
    <w:rsid w:val="0C8B02FF"/>
    <w:rsid w:val="0CA66724"/>
    <w:rsid w:val="0CB13F67"/>
    <w:rsid w:val="0CB212DC"/>
    <w:rsid w:val="0CBB04AB"/>
    <w:rsid w:val="0CBE467B"/>
    <w:rsid w:val="0CD218F6"/>
    <w:rsid w:val="0CD961FF"/>
    <w:rsid w:val="0CDE7BC7"/>
    <w:rsid w:val="0CDF3393"/>
    <w:rsid w:val="0CE42333"/>
    <w:rsid w:val="0CE4467C"/>
    <w:rsid w:val="0CFD1647"/>
    <w:rsid w:val="0D0B3D64"/>
    <w:rsid w:val="0D1117BF"/>
    <w:rsid w:val="0D1C448B"/>
    <w:rsid w:val="0D2A3ABE"/>
    <w:rsid w:val="0D42705A"/>
    <w:rsid w:val="0D5C19EC"/>
    <w:rsid w:val="0D5D3E94"/>
    <w:rsid w:val="0D7817AE"/>
    <w:rsid w:val="0D9033E3"/>
    <w:rsid w:val="0D933D59"/>
    <w:rsid w:val="0D971EF9"/>
    <w:rsid w:val="0DC161D1"/>
    <w:rsid w:val="0DDF60A2"/>
    <w:rsid w:val="0DDF6F9F"/>
    <w:rsid w:val="0DFA16E3"/>
    <w:rsid w:val="0E413AC5"/>
    <w:rsid w:val="0E4F7176"/>
    <w:rsid w:val="0E707BF7"/>
    <w:rsid w:val="0E863DEA"/>
    <w:rsid w:val="0E926D4C"/>
    <w:rsid w:val="0E9F31C9"/>
    <w:rsid w:val="0EC817E1"/>
    <w:rsid w:val="0ECB340D"/>
    <w:rsid w:val="0EDC7981"/>
    <w:rsid w:val="0EDD34DE"/>
    <w:rsid w:val="0F176FE4"/>
    <w:rsid w:val="0F1B7AF0"/>
    <w:rsid w:val="0F2A5EBD"/>
    <w:rsid w:val="0F504CE9"/>
    <w:rsid w:val="0F5D2661"/>
    <w:rsid w:val="0F601A19"/>
    <w:rsid w:val="0F6129AE"/>
    <w:rsid w:val="0F6E2388"/>
    <w:rsid w:val="0F7166FB"/>
    <w:rsid w:val="0F762090"/>
    <w:rsid w:val="0F85236A"/>
    <w:rsid w:val="0F875D14"/>
    <w:rsid w:val="0F881E00"/>
    <w:rsid w:val="0F942E19"/>
    <w:rsid w:val="0FAB155C"/>
    <w:rsid w:val="0FB83603"/>
    <w:rsid w:val="0FD25AEF"/>
    <w:rsid w:val="0FDA5278"/>
    <w:rsid w:val="0FDB555F"/>
    <w:rsid w:val="0FDC5544"/>
    <w:rsid w:val="0FEE34C9"/>
    <w:rsid w:val="0FF94348"/>
    <w:rsid w:val="101051ED"/>
    <w:rsid w:val="101734A1"/>
    <w:rsid w:val="101B6EFC"/>
    <w:rsid w:val="102173FB"/>
    <w:rsid w:val="103A1F10"/>
    <w:rsid w:val="104C49AD"/>
    <w:rsid w:val="1064174C"/>
    <w:rsid w:val="10790FE5"/>
    <w:rsid w:val="107C6D27"/>
    <w:rsid w:val="109E5E6D"/>
    <w:rsid w:val="10B25ED0"/>
    <w:rsid w:val="10BE2E9B"/>
    <w:rsid w:val="10BE4C49"/>
    <w:rsid w:val="10C9531F"/>
    <w:rsid w:val="10E84F81"/>
    <w:rsid w:val="10EC5C5A"/>
    <w:rsid w:val="10EC7A09"/>
    <w:rsid w:val="11166865"/>
    <w:rsid w:val="11357601"/>
    <w:rsid w:val="11624C81"/>
    <w:rsid w:val="116D086E"/>
    <w:rsid w:val="118842BB"/>
    <w:rsid w:val="1194488D"/>
    <w:rsid w:val="119B176A"/>
    <w:rsid w:val="11AB0F1C"/>
    <w:rsid w:val="11B103D0"/>
    <w:rsid w:val="11BB0E58"/>
    <w:rsid w:val="11C56AAF"/>
    <w:rsid w:val="11CD3EE3"/>
    <w:rsid w:val="11D5049D"/>
    <w:rsid w:val="11DA7587"/>
    <w:rsid w:val="11E20E0C"/>
    <w:rsid w:val="11E608FC"/>
    <w:rsid w:val="11EB7CC0"/>
    <w:rsid w:val="11F22FD3"/>
    <w:rsid w:val="12377C77"/>
    <w:rsid w:val="123A23F6"/>
    <w:rsid w:val="123D1830"/>
    <w:rsid w:val="12647A72"/>
    <w:rsid w:val="126F08F1"/>
    <w:rsid w:val="12737421"/>
    <w:rsid w:val="12887AF9"/>
    <w:rsid w:val="12AB56A1"/>
    <w:rsid w:val="12B22DFF"/>
    <w:rsid w:val="12B57855"/>
    <w:rsid w:val="12C10042"/>
    <w:rsid w:val="12EC7849"/>
    <w:rsid w:val="12FD2AB7"/>
    <w:rsid w:val="130B1D43"/>
    <w:rsid w:val="131F5307"/>
    <w:rsid w:val="13220E71"/>
    <w:rsid w:val="132C66F5"/>
    <w:rsid w:val="136A2E67"/>
    <w:rsid w:val="136B4BB8"/>
    <w:rsid w:val="13830454"/>
    <w:rsid w:val="13A91BE1"/>
    <w:rsid w:val="13BF7656"/>
    <w:rsid w:val="13C00E46"/>
    <w:rsid w:val="13D5217F"/>
    <w:rsid w:val="13E05731"/>
    <w:rsid w:val="13F60424"/>
    <w:rsid w:val="14004E57"/>
    <w:rsid w:val="140C03C2"/>
    <w:rsid w:val="140D0E07"/>
    <w:rsid w:val="14162226"/>
    <w:rsid w:val="142E1B4C"/>
    <w:rsid w:val="14303DA6"/>
    <w:rsid w:val="14483D22"/>
    <w:rsid w:val="144A39ED"/>
    <w:rsid w:val="14542E95"/>
    <w:rsid w:val="14565CA3"/>
    <w:rsid w:val="14700951"/>
    <w:rsid w:val="1479388A"/>
    <w:rsid w:val="14824672"/>
    <w:rsid w:val="14A95C11"/>
    <w:rsid w:val="14B161C4"/>
    <w:rsid w:val="14B21D93"/>
    <w:rsid w:val="14B5553D"/>
    <w:rsid w:val="14B720DC"/>
    <w:rsid w:val="14C42D08"/>
    <w:rsid w:val="14E34CFE"/>
    <w:rsid w:val="14E51352"/>
    <w:rsid w:val="14F90661"/>
    <w:rsid w:val="150037A8"/>
    <w:rsid w:val="150712B5"/>
    <w:rsid w:val="15082937"/>
    <w:rsid w:val="1509746F"/>
    <w:rsid w:val="15103A81"/>
    <w:rsid w:val="151E73B2"/>
    <w:rsid w:val="152446DB"/>
    <w:rsid w:val="15326E2E"/>
    <w:rsid w:val="153812C2"/>
    <w:rsid w:val="15555F4F"/>
    <w:rsid w:val="1562473D"/>
    <w:rsid w:val="156C736A"/>
    <w:rsid w:val="1585042C"/>
    <w:rsid w:val="15915A0E"/>
    <w:rsid w:val="159B19FD"/>
    <w:rsid w:val="159F546F"/>
    <w:rsid w:val="15A47B04"/>
    <w:rsid w:val="15AD0B11"/>
    <w:rsid w:val="15AF76A1"/>
    <w:rsid w:val="15CA22E2"/>
    <w:rsid w:val="15EA64E1"/>
    <w:rsid w:val="15F52A63"/>
    <w:rsid w:val="1604702E"/>
    <w:rsid w:val="161F262E"/>
    <w:rsid w:val="16241E2A"/>
    <w:rsid w:val="16471E92"/>
    <w:rsid w:val="16761F5C"/>
    <w:rsid w:val="16946B78"/>
    <w:rsid w:val="169828CD"/>
    <w:rsid w:val="16AB475D"/>
    <w:rsid w:val="16B94831"/>
    <w:rsid w:val="16BF1FDC"/>
    <w:rsid w:val="16DB4987"/>
    <w:rsid w:val="16E32AC7"/>
    <w:rsid w:val="16E66C6E"/>
    <w:rsid w:val="16FF205F"/>
    <w:rsid w:val="17005E29"/>
    <w:rsid w:val="170653B0"/>
    <w:rsid w:val="17167E37"/>
    <w:rsid w:val="171958DD"/>
    <w:rsid w:val="17201509"/>
    <w:rsid w:val="17217BBD"/>
    <w:rsid w:val="172F064F"/>
    <w:rsid w:val="17377504"/>
    <w:rsid w:val="17397D36"/>
    <w:rsid w:val="174877D6"/>
    <w:rsid w:val="174F484D"/>
    <w:rsid w:val="17503CF1"/>
    <w:rsid w:val="175E5149"/>
    <w:rsid w:val="178E7A6B"/>
    <w:rsid w:val="1793338A"/>
    <w:rsid w:val="17977E4F"/>
    <w:rsid w:val="179B5CE4"/>
    <w:rsid w:val="179C1FE7"/>
    <w:rsid w:val="17B80499"/>
    <w:rsid w:val="17BC040C"/>
    <w:rsid w:val="17BC189D"/>
    <w:rsid w:val="17E064BA"/>
    <w:rsid w:val="17F84EE5"/>
    <w:rsid w:val="17F92A0B"/>
    <w:rsid w:val="182867A9"/>
    <w:rsid w:val="1835515B"/>
    <w:rsid w:val="18474E99"/>
    <w:rsid w:val="184D2BCE"/>
    <w:rsid w:val="186528AD"/>
    <w:rsid w:val="188243DB"/>
    <w:rsid w:val="18863BC7"/>
    <w:rsid w:val="188D022E"/>
    <w:rsid w:val="18A042EC"/>
    <w:rsid w:val="18A132D7"/>
    <w:rsid w:val="18A21388"/>
    <w:rsid w:val="18A4506D"/>
    <w:rsid w:val="18A45F03"/>
    <w:rsid w:val="18DA428E"/>
    <w:rsid w:val="18E51EF0"/>
    <w:rsid w:val="190A41D3"/>
    <w:rsid w:val="190A4292"/>
    <w:rsid w:val="192B3098"/>
    <w:rsid w:val="192D32CA"/>
    <w:rsid w:val="19320572"/>
    <w:rsid w:val="19404D95"/>
    <w:rsid w:val="19451F34"/>
    <w:rsid w:val="19675B8F"/>
    <w:rsid w:val="196B3644"/>
    <w:rsid w:val="199B2808"/>
    <w:rsid w:val="19A10856"/>
    <w:rsid w:val="19B149FA"/>
    <w:rsid w:val="19B7492C"/>
    <w:rsid w:val="19E020D4"/>
    <w:rsid w:val="19F649D6"/>
    <w:rsid w:val="19FD4A34"/>
    <w:rsid w:val="19FE1985"/>
    <w:rsid w:val="1A355C89"/>
    <w:rsid w:val="1A4C36CB"/>
    <w:rsid w:val="1A550118"/>
    <w:rsid w:val="1A630E17"/>
    <w:rsid w:val="1A6360F1"/>
    <w:rsid w:val="1A6870C8"/>
    <w:rsid w:val="1A8B7526"/>
    <w:rsid w:val="1AA475A6"/>
    <w:rsid w:val="1AB01AA7"/>
    <w:rsid w:val="1AB4704E"/>
    <w:rsid w:val="1ACE1D74"/>
    <w:rsid w:val="1AD00BF4"/>
    <w:rsid w:val="1AF61D19"/>
    <w:rsid w:val="1B193602"/>
    <w:rsid w:val="1B293607"/>
    <w:rsid w:val="1B2B737F"/>
    <w:rsid w:val="1B5569AC"/>
    <w:rsid w:val="1B923FB5"/>
    <w:rsid w:val="1B9969DF"/>
    <w:rsid w:val="1B9B5D47"/>
    <w:rsid w:val="1B9B600E"/>
    <w:rsid w:val="1BAA234B"/>
    <w:rsid w:val="1BB87E40"/>
    <w:rsid w:val="1BEC4B29"/>
    <w:rsid w:val="1C062BD8"/>
    <w:rsid w:val="1C2D7FB3"/>
    <w:rsid w:val="1C4F0E85"/>
    <w:rsid w:val="1C6074FD"/>
    <w:rsid w:val="1C6078B6"/>
    <w:rsid w:val="1C6C68B8"/>
    <w:rsid w:val="1C731E9C"/>
    <w:rsid w:val="1C73723E"/>
    <w:rsid w:val="1C752FA8"/>
    <w:rsid w:val="1C760ACE"/>
    <w:rsid w:val="1C800036"/>
    <w:rsid w:val="1C9A0B26"/>
    <w:rsid w:val="1CA43C68"/>
    <w:rsid w:val="1CA55D81"/>
    <w:rsid w:val="1CC57360"/>
    <w:rsid w:val="1CDE31C3"/>
    <w:rsid w:val="1CDF6B52"/>
    <w:rsid w:val="1CE1063D"/>
    <w:rsid w:val="1CEE22A2"/>
    <w:rsid w:val="1CF32970"/>
    <w:rsid w:val="1D05389B"/>
    <w:rsid w:val="1D0654BA"/>
    <w:rsid w:val="1D0962DE"/>
    <w:rsid w:val="1D186C81"/>
    <w:rsid w:val="1D25050C"/>
    <w:rsid w:val="1D290CEF"/>
    <w:rsid w:val="1D323153"/>
    <w:rsid w:val="1D436C02"/>
    <w:rsid w:val="1D491F5C"/>
    <w:rsid w:val="1D4D182F"/>
    <w:rsid w:val="1D7E40DE"/>
    <w:rsid w:val="1D9A259A"/>
    <w:rsid w:val="1DA87DC9"/>
    <w:rsid w:val="1DB573D4"/>
    <w:rsid w:val="1DC00253"/>
    <w:rsid w:val="1DC6338F"/>
    <w:rsid w:val="1DCB4E4A"/>
    <w:rsid w:val="1DD9245C"/>
    <w:rsid w:val="1DDA783D"/>
    <w:rsid w:val="1DF95513"/>
    <w:rsid w:val="1E0F45E2"/>
    <w:rsid w:val="1E135CC5"/>
    <w:rsid w:val="1E1B7B7F"/>
    <w:rsid w:val="1E3D5039"/>
    <w:rsid w:val="1E5B77BA"/>
    <w:rsid w:val="1E6061BD"/>
    <w:rsid w:val="1E6373F8"/>
    <w:rsid w:val="1E7D4396"/>
    <w:rsid w:val="1E997892"/>
    <w:rsid w:val="1EB65D77"/>
    <w:rsid w:val="1EBF050A"/>
    <w:rsid w:val="1EE45D47"/>
    <w:rsid w:val="1EE66CA9"/>
    <w:rsid w:val="1EE709B0"/>
    <w:rsid w:val="1EF51396"/>
    <w:rsid w:val="1EF53F2C"/>
    <w:rsid w:val="1F073C5F"/>
    <w:rsid w:val="1F27502F"/>
    <w:rsid w:val="1F277F3D"/>
    <w:rsid w:val="1F38206B"/>
    <w:rsid w:val="1F38650F"/>
    <w:rsid w:val="1F612539"/>
    <w:rsid w:val="1F7A08D5"/>
    <w:rsid w:val="1F7A3CB3"/>
    <w:rsid w:val="1F7B5A44"/>
    <w:rsid w:val="1F843502"/>
    <w:rsid w:val="1F925C1F"/>
    <w:rsid w:val="1F9E45C4"/>
    <w:rsid w:val="1FAA3FE4"/>
    <w:rsid w:val="1FB9412A"/>
    <w:rsid w:val="1FCA638A"/>
    <w:rsid w:val="1FCE6554"/>
    <w:rsid w:val="1FD41A8A"/>
    <w:rsid w:val="1FEA7809"/>
    <w:rsid w:val="1FEE3EF7"/>
    <w:rsid w:val="200C18AC"/>
    <w:rsid w:val="201B6A96"/>
    <w:rsid w:val="20210D51"/>
    <w:rsid w:val="20356F3C"/>
    <w:rsid w:val="20755DD0"/>
    <w:rsid w:val="208438D2"/>
    <w:rsid w:val="208A7CD2"/>
    <w:rsid w:val="208D5C91"/>
    <w:rsid w:val="208F7A8A"/>
    <w:rsid w:val="20933547"/>
    <w:rsid w:val="209C5930"/>
    <w:rsid w:val="20B63B8F"/>
    <w:rsid w:val="20C056D4"/>
    <w:rsid w:val="20D64231"/>
    <w:rsid w:val="20D83371"/>
    <w:rsid w:val="20F40301"/>
    <w:rsid w:val="20F701FA"/>
    <w:rsid w:val="210040D4"/>
    <w:rsid w:val="21075DA5"/>
    <w:rsid w:val="21084D17"/>
    <w:rsid w:val="21224D81"/>
    <w:rsid w:val="21355B5D"/>
    <w:rsid w:val="213D4EB6"/>
    <w:rsid w:val="215E7734"/>
    <w:rsid w:val="217742D8"/>
    <w:rsid w:val="218562F2"/>
    <w:rsid w:val="21914F4E"/>
    <w:rsid w:val="219C4B33"/>
    <w:rsid w:val="21A67B45"/>
    <w:rsid w:val="21AA4BCD"/>
    <w:rsid w:val="21B07155"/>
    <w:rsid w:val="21B34857"/>
    <w:rsid w:val="21B55A5D"/>
    <w:rsid w:val="21BF3B5D"/>
    <w:rsid w:val="21C975B9"/>
    <w:rsid w:val="21D342CD"/>
    <w:rsid w:val="21D4251F"/>
    <w:rsid w:val="21EE4DAA"/>
    <w:rsid w:val="21FA5D52"/>
    <w:rsid w:val="21FD4681"/>
    <w:rsid w:val="220509B7"/>
    <w:rsid w:val="2225279A"/>
    <w:rsid w:val="222673C0"/>
    <w:rsid w:val="224376A4"/>
    <w:rsid w:val="22513B6F"/>
    <w:rsid w:val="22611DE0"/>
    <w:rsid w:val="22623FCE"/>
    <w:rsid w:val="227819DE"/>
    <w:rsid w:val="228A52D3"/>
    <w:rsid w:val="228D0920"/>
    <w:rsid w:val="22953AEA"/>
    <w:rsid w:val="22A5210D"/>
    <w:rsid w:val="22BD1294"/>
    <w:rsid w:val="22D0536B"/>
    <w:rsid w:val="22D24584"/>
    <w:rsid w:val="22E80541"/>
    <w:rsid w:val="22F031F2"/>
    <w:rsid w:val="22F4341E"/>
    <w:rsid w:val="22F51FAC"/>
    <w:rsid w:val="231D7560"/>
    <w:rsid w:val="231F4397"/>
    <w:rsid w:val="23284CA7"/>
    <w:rsid w:val="232D0468"/>
    <w:rsid w:val="234A2D6A"/>
    <w:rsid w:val="23595906"/>
    <w:rsid w:val="23647381"/>
    <w:rsid w:val="23743A7A"/>
    <w:rsid w:val="23771B73"/>
    <w:rsid w:val="23A6613D"/>
    <w:rsid w:val="23B3128C"/>
    <w:rsid w:val="23B56380"/>
    <w:rsid w:val="23BC326A"/>
    <w:rsid w:val="23EE24B9"/>
    <w:rsid w:val="242F5EE0"/>
    <w:rsid w:val="24351B60"/>
    <w:rsid w:val="24594A1C"/>
    <w:rsid w:val="2459739C"/>
    <w:rsid w:val="245C1981"/>
    <w:rsid w:val="246F54CD"/>
    <w:rsid w:val="247C0C4C"/>
    <w:rsid w:val="2485290C"/>
    <w:rsid w:val="249917FE"/>
    <w:rsid w:val="24A974EB"/>
    <w:rsid w:val="24B41C1B"/>
    <w:rsid w:val="24C5739B"/>
    <w:rsid w:val="24CA650D"/>
    <w:rsid w:val="24CB3805"/>
    <w:rsid w:val="24D25416"/>
    <w:rsid w:val="24D87C4A"/>
    <w:rsid w:val="24DF4CA5"/>
    <w:rsid w:val="24FD3B3B"/>
    <w:rsid w:val="252B7B5C"/>
    <w:rsid w:val="253D3E45"/>
    <w:rsid w:val="253F4153"/>
    <w:rsid w:val="254406E3"/>
    <w:rsid w:val="25495689"/>
    <w:rsid w:val="254968C3"/>
    <w:rsid w:val="2589549B"/>
    <w:rsid w:val="258B24DE"/>
    <w:rsid w:val="258C2B25"/>
    <w:rsid w:val="2593624D"/>
    <w:rsid w:val="25A4045A"/>
    <w:rsid w:val="25A533D7"/>
    <w:rsid w:val="25A8314A"/>
    <w:rsid w:val="25B95B60"/>
    <w:rsid w:val="25CA1F2F"/>
    <w:rsid w:val="25F153F9"/>
    <w:rsid w:val="25F7724B"/>
    <w:rsid w:val="25F93D57"/>
    <w:rsid w:val="26020F16"/>
    <w:rsid w:val="261904D2"/>
    <w:rsid w:val="26215F4F"/>
    <w:rsid w:val="26217CFD"/>
    <w:rsid w:val="262472E7"/>
    <w:rsid w:val="262B1F12"/>
    <w:rsid w:val="26545306"/>
    <w:rsid w:val="265C3D07"/>
    <w:rsid w:val="265D4D42"/>
    <w:rsid w:val="26766C32"/>
    <w:rsid w:val="2677791D"/>
    <w:rsid w:val="267859A5"/>
    <w:rsid w:val="268527A3"/>
    <w:rsid w:val="268A3AF4"/>
    <w:rsid w:val="269229A8"/>
    <w:rsid w:val="26A5092E"/>
    <w:rsid w:val="26D23852"/>
    <w:rsid w:val="26DD1E76"/>
    <w:rsid w:val="26DE5BEE"/>
    <w:rsid w:val="26DF1937"/>
    <w:rsid w:val="26E56163"/>
    <w:rsid w:val="270513CC"/>
    <w:rsid w:val="271A7F1C"/>
    <w:rsid w:val="27225A29"/>
    <w:rsid w:val="272A2BE1"/>
    <w:rsid w:val="272B0C7B"/>
    <w:rsid w:val="274A3283"/>
    <w:rsid w:val="274C2B57"/>
    <w:rsid w:val="274E68CF"/>
    <w:rsid w:val="27B04EA2"/>
    <w:rsid w:val="27B150B0"/>
    <w:rsid w:val="27B16EF7"/>
    <w:rsid w:val="27C6422B"/>
    <w:rsid w:val="27D1465E"/>
    <w:rsid w:val="27D176F1"/>
    <w:rsid w:val="27D30EC2"/>
    <w:rsid w:val="27DF5779"/>
    <w:rsid w:val="27DF7C2B"/>
    <w:rsid w:val="27E94D69"/>
    <w:rsid w:val="27F60D15"/>
    <w:rsid w:val="280C0339"/>
    <w:rsid w:val="2810627B"/>
    <w:rsid w:val="28127485"/>
    <w:rsid w:val="2818648E"/>
    <w:rsid w:val="281E30DC"/>
    <w:rsid w:val="28234431"/>
    <w:rsid w:val="28304227"/>
    <w:rsid w:val="28464A49"/>
    <w:rsid w:val="284A56C6"/>
    <w:rsid w:val="285000BD"/>
    <w:rsid w:val="285A38FC"/>
    <w:rsid w:val="286914E7"/>
    <w:rsid w:val="2870290D"/>
    <w:rsid w:val="288602EB"/>
    <w:rsid w:val="289444BD"/>
    <w:rsid w:val="28982582"/>
    <w:rsid w:val="289C28CA"/>
    <w:rsid w:val="28AA249C"/>
    <w:rsid w:val="28B33BAD"/>
    <w:rsid w:val="28B5297E"/>
    <w:rsid w:val="28BC42CC"/>
    <w:rsid w:val="28C31E6D"/>
    <w:rsid w:val="29061A17"/>
    <w:rsid w:val="29101E93"/>
    <w:rsid w:val="291853E7"/>
    <w:rsid w:val="293672E8"/>
    <w:rsid w:val="293D746B"/>
    <w:rsid w:val="29461546"/>
    <w:rsid w:val="29572373"/>
    <w:rsid w:val="29584B90"/>
    <w:rsid w:val="295C5A5F"/>
    <w:rsid w:val="296A5517"/>
    <w:rsid w:val="296B2169"/>
    <w:rsid w:val="296F6AE0"/>
    <w:rsid w:val="29727017"/>
    <w:rsid w:val="297B5976"/>
    <w:rsid w:val="2984482A"/>
    <w:rsid w:val="298810CB"/>
    <w:rsid w:val="29AB77DD"/>
    <w:rsid w:val="29BB5D72"/>
    <w:rsid w:val="29BD7D3C"/>
    <w:rsid w:val="29C7407A"/>
    <w:rsid w:val="29CC7F7F"/>
    <w:rsid w:val="29D22436"/>
    <w:rsid w:val="29DB01C2"/>
    <w:rsid w:val="29F64ED0"/>
    <w:rsid w:val="2A0177EC"/>
    <w:rsid w:val="2A0F1BF2"/>
    <w:rsid w:val="2A11626C"/>
    <w:rsid w:val="2A1410FD"/>
    <w:rsid w:val="2A172D9D"/>
    <w:rsid w:val="2A1D31F1"/>
    <w:rsid w:val="2A224043"/>
    <w:rsid w:val="2A273408"/>
    <w:rsid w:val="2A300A37"/>
    <w:rsid w:val="2A5E2DD5"/>
    <w:rsid w:val="2A5F4540"/>
    <w:rsid w:val="2A625EEB"/>
    <w:rsid w:val="2A7A4F03"/>
    <w:rsid w:val="2A93599D"/>
    <w:rsid w:val="2A997342"/>
    <w:rsid w:val="2AA50EFC"/>
    <w:rsid w:val="2AC11AAE"/>
    <w:rsid w:val="2ACF3CEB"/>
    <w:rsid w:val="2AD0584D"/>
    <w:rsid w:val="2AD340AA"/>
    <w:rsid w:val="2AD616F8"/>
    <w:rsid w:val="2AD82639"/>
    <w:rsid w:val="2AF325AB"/>
    <w:rsid w:val="2AFB0A91"/>
    <w:rsid w:val="2AFB4B18"/>
    <w:rsid w:val="2AFF2EF6"/>
    <w:rsid w:val="2AFF60B4"/>
    <w:rsid w:val="2B25203D"/>
    <w:rsid w:val="2B2A1C67"/>
    <w:rsid w:val="2B2F6A18"/>
    <w:rsid w:val="2B365FF8"/>
    <w:rsid w:val="2B3A531B"/>
    <w:rsid w:val="2B447161"/>
    <w:rsid w:val="2B457FE9"/>
    <w:rsid w:val="2B483D44"/>
    <w:rsid w:val="2B552BDC"/>
    <w:rsid w:val="2B766E03"/>
    <w:rsid w:val="2B814238"/>
    <w:rsid w:val="2B834F5F"/>
    <w:rsid w:val="2B8D788D"/>
    <w:rsid w:val="2B8E1625"/>
    <w:rsid w:val="2B8F395A"/>
    <w:rsid w:val="2BAD66FB"/>
    <w:rsid w:val="2BDC4ABF"/>
    <w:rsid w:val="2BDF3F0E"/>
    <w:rsid w:val="2BF612E4"/>
    <w:rsid w:val="2BFC6415"/>
    <w:rsid w:val="2C002570"/>
    <w:rsid w:val="2C02237E"/>
    <w:rsid w:val="2C1F083A"/>
    <w:rsid w:val="2C212804"/>
    <w:rsid w:val="2C271DE5"/>
    <w:rsid w:val="2C287932"/>
    <w:rsid w:val="2C47098C"/>
    <w:rsid w:val="2C6B12E3"/>
    <w:rsid w:val="2C9B4422"/>
    <w:rsid w:val="2CAB6572"/>
    <w:rsid w:val="2CD520DA"/>
    <w:rsid w:val="2CE675AA"/>
    <w:rsid w:val="2D193C99"/>
    <w:rsid w:val="2D214A86"/>
    <w:rsid w:val="2D2D25FE"/>
    <w:rsid w:val="2D393B7E"/>
    <w:rsid w:val="2D3E3216"/>
    <w:rsid w:val="2D653489"/>
    <w:rsid w:val="2D6949AB"/>
    <w:rsid w:val="2D937732"/>
    <w:rsid w:val="2DA2379A"/>
    <w:rsid w:val="2DA52174"/>
    <w:rsid w:val="2DAC1F58"/>
    <w:rsid w:val="2DCB2E2D"/>
    <w:rsid w:val="2DDB3709"/>
    <w:rsid w:val="2DE147A0"/>
    <w:rsid w:val="2DF31F7F"/>
    <w:rsid w:val="2DF41B83"/>
    <w:rsid w:val="2DF45CF7"/>
    <w:rsid w:val="2DF852DB"/>
    <w:rsid w:val="2E221380"/>
    <w:rsid w:val="2E350EB1"/>
    <w:rsid w:val="2E3D31FA"/>
    <w:rsid w:val="2E485486"/>
    <w:rsid w:val="2E5E50BC"/>
    <w:rsid w:val="2E6E5AA9"/>
    <w:rsid w:val="2E737B77"/>
    <w:rsid w:val="2E756E38"/>
    <w:rsid w:val="2E8F3DCE"/>
    <w:rsid w:val="2E9F1B81"/>
    <w:rsid w:val="2EA95F61"/>
    <w:rsid w:val="2EBD3586"/>
    <w:rsid w:val="2ED36A75"/>
    <w:rsid w:val="2EDC2C37"/>
    <w:rsid w:val="2EDE49DD"/>
    <w:rsid w:val="2EE97A93"/>
    <w:rsid w:val="2F137F56"/>
    <w:rsid w:val="2F192DA2"/>
    <w:rsid w:val="2F2859BB"/>
    <w:rsid w:val="2F2A5C90"/>
    <w:rsid w:val="2F4A2072"/>
    <w:rsid w:val="2F551599"/>
    <w:rsid w:val="2F6C326A"/>
    <w:rsid w:val="2F764F97"/>
    <w:rsid w:val="2F823EB2"/>
    <w:rsid w:val="2FAF1ED5"/>
    <w:rsid w:val="2FB15C39"/>
    <w:rsid w:val="2FBF4B99"/>
    <w:rsid w:val="2FFB21C9"/>
    <w:rsid w:val="30063EE1"/>
    <w:rsid w:val="30085A89"/>
    <w:rsid w:val="300C557A"/>
    <w:rsid w:val="300F506A"/>
    <w:rsid w:val="30281B67"/>
    <w:rsid w:val="302835A5"/>
    <w:rsid w:val="302C3F5B"/>
    <w:rsid w:val="30456A53"/>
    <w:rsid w:val="30587DBD"/>
    <w:rsid w:val="305C6868"/>
    <w:rsid w:val="30664386"/>
    <w:rsid w:val="306C426A"/>
    <w:rsid w:val="306E3B3E"/>
    <w:rsid w:val="30742179"/>
    <w:rsid w:val="307C289A"/>
    <w:rsid w:val="309B210D"/>
    <w:rsid w:val="30B71989"/>
    <w:rsid w:val="30CF3E65"/>
    <w:rsid w:val="30D047F9"/>
    <w:rsid w:val="30D20571"/>
    <w:rsid w:val="30E56588"/>
    <w:rsid w:val="30E6401D"/>
    <w:rsid w:val="30ED2B93"/>
    <w:rsid w:val="30F57DBC"/>
    <w:rsid w:val="30F73B34"/>
    <w:rsid w:val="31126ABD"/>
    <w:rsid w:val="311E0DAC"/>
    <w:rsid w:val="311F12DD"/>
    <w:rsid w:val="312545DC"/>
    <w:rsid w:val="315272F2"/>
    <w:rsid w:val="315A2F0D"/>
    <w:rsid w:val="315C398E"/>
    <w:rsid w:val="315F792B"/>
    <w:rsid w:val="31642300"/>
    <w:rsid w:val="317E6003"/>
    <w:rsid w:val="31833619"/>
    <w:rsid w:val="31837ABD"/>
    <w:rsid w:val="31873769"/>
    <w:rsid w:val="31945827"/>
    <w:rsid w:val="3199316A"/>
    <w:rsid w:val="319A6200"/>
    <w:rsid w:val="31A126F3"/>
    <w:rsid w:val="31A249C6"/>
    <w:rsid w:val="31AF7AB0"/>
    <w:rsid w:val="31B71515"/>
    <w:rsid w:val="31C26A70"/>
    <w:rsid w:val="31C674EE"/>
    <w:rsid w:val="31C935DF"/>
    <w:rsid w:val="31CF47B6"/>
    <w:rsid w:val="31DA34FE"/>
    <w:rsid w:val="31DD5420"/>
    <w:rsid w:val="31E04995"/>
    <w:rsid w:val="31F42769"/>
    <w:rsid w:val="31F57450"/>
    <w:rsid w:val="31F9440D"/>
    <w:rsid w:val="320C675D"/>
    <w:rsid w:val="322A38C2"/>
    <w:rsid w:val="324234D5"/>
    <w:rsid w:val="325129E7"/>
    <w:rsid w:val="32547FF2"/>
    <w:rsid w:val="325B00F2"/>
    <w:rsid w:val="328B299C"/>
    <w:rsid w:val="32933D30"/>
    <w:rsid w:val="32982486"/>
    <w:rsid w:val="32A33B61"/>
    <w:rsid w:val="32A66E34"/>
    <w:rsid w:val="32B240EB"/>
    <w:rsid w:val="32B42E64"/>
    <w:rsid w:val="32DD4FAB"/>
    <w:rsid w:val="33036385"/>
    <w:rsid w:val="33235693"/>
    <w:rsid w:val="33306BD6"/>
    <w:rsid w:val="33401EE2"/>
    <w:rsid w:val="336A4DB2"/>
    <w:rsid w:val="336B30A3"/>
    <w:rsid w:val="33745910"/>
    <w:rsid w:val="337F42B4"/>
    <w:rsid w:val="338C4089"/>
    <w:rsid w:val="339A3939"/>
    <w:rsid w:val="339A4C4A"/>
    <w:rsid w:val="339C09C3"/>
    <w:rsid w:val="33DF2D6C"/>
    <w:rsid w:val="33E67E90"/>
    <w:rsid w:val="33E840E7"/>
    <w:rsid w:val="33EB36F8"/>
    <w:rsid w:val="33FC76B3"/>
    <w:rsid w:val="34050C5E"/>
    <w:rsid w:val="340B78F6"/>
    <w:rsid w:val="342C54EE"/>
    <w:rsid w:val="34511DF7"/>
    <w:rsid w:val="3459273C"/>
    <w:rsid w:val="34594B05"/>
    <w:rsid w:val="34610249"/>
    <w:rsid w:val="34664261"/>
    <w:rsid w:val="346A286F"/>
    <w:rsid w:val="34963664"/>
    <w:rsid w:val="34974E37"/>
    <w:rsid w:val="34A51B2B"/>
    <w:rsid w:val="34B2310F"/>
    <w:rsid w:val="34B65AB4"/>
    <w:rsid w:val="34BB56EC"/>
    <w:rsid w:val="34BB681E"/>
    <w:rsid w:val="34C44675"/>
    <w:rsid w:val="34CC4FAF"/>
    <w:rsid w:val="34CF35D9"/>
    <w:rsid w:val="34EA306C"/>
    <w:rsid w:val="350D601C"/>
    <w:rsid w:val="352B0250"/>
    <w:rsid w:val="353A3B27"/>
    <w:rsid w:val="35527E1C"/>
    <w:rsid w:val="355758DE"/>
    <w:rsid w:val="355C2C2D"/>
    <w:rsid w:val="356D5A32"/>
    <w:rsid w:val="35777939"/>
    <w:rsid w:val="35A87AF3"/>
    <w:rsid w:val="35A931C6"/>
    <w:rsid w:val="35D24B6F"/>
    <w:rsid w:val="35D31A3C"/>
    <w:rsid w:val="35E45EC4"/>
    <w:rsid w:val="35E55944"/>
    <w:rsid w:val="35EC3EDB"/>
    <w:rsid w:val="360F7B72"/>
    <w:rsid w:val="36213401"/>
    <w:rsid w:val="36356EAC"/>
    <w:rsid w:val="36433BB5"/>
    <w:rsid w:val="36603F29"/>
    <w:rsid w:val="367D28AE"/>
    <w:rsid w:val="367F4CF7"/>
    <w:rsid w:val="369E4A52"/>
    <w:rsid w:val="36AF37C9"/>
    <w:rsid w:val="36BF3346"/>
    <w:rsid w:val="36C06BEC"/>
    <w:rsid w:val="36CB704A"/>
    <w:rsid w:val="36D52B69"/>
    <w:rsid w:val="36E2187F"/>
    <w:rsid w:val="36EE7B6C"/>
    <w:rsid w:val="36F9612C"/>
    <w:rsid w:val="3701395E"/>
    <w:rsid w:val="370B45F5"/>
    <w:rsid w:val="370F5D0D"/>
    <w:rsid w:val="370F5DB1"/>
    <w:rsid w:val="37120011"/>
    <w:rsid w:val="371615F3"/>
    <w:rsid w:val="37187DD0"/>
    <w:rsid w:val="37206D95"/>
    <w:rsid w:val="37373880"/>
    <w:rsid w:val="37387421"/>
    <w:rsid w:val="374142AD"/>
    <w:rsid w:val="3748030C"/>
    <w:rsid w:val="37590935"/>
    <w:rsid w:val="376F42E9"/>
    <w:rsid w:val="37780630"/>
    <w:rsid w:val="3786692C"/>
    <w:rsid w:val="378A352C"/>
    <w:rsid w:val="378C0316"/>
    <w:rsid w:val="378E3F01"/>
    <w:rsid w:val="37931D11"/>
    <w:rsid w:val="37934AC1"/>
    <w:rsid w:val="37A05773"/>
    <w:rsid w:val="37B96298"/>
    <w:rsid w:val="37BA53C4"/>
    <w:rsid w:val="37C47469"/>
    <w:rsid w:val="37C62556"/>
    <w:rsid w:val="37C90785"/>
    <w:rsid w:val="37D0253A"/>
    <w:rsid w:val="37D61448"/>
    <w:rsid w:val="37DC76D7"/>
    <w:rsid w:val="3813223E"/>
    <w:rsid w:val="381A63F2"/>
    <w:rsid w:val="382516C5"/>
    <w:rsid w:val="38481054"/>
    <w:rsid w:val="38521F98"/>
    <w:rsid w:val="387269F1"/>
    <w:rsid w:val="387D686F"/>
    <w:rsid w:val="38827A57"/>
    <w:rsid w:val="38B07AE4"/>
    <w:rsid w:val="38C70290"/>
    <w:rsid w:val="38DA3195"/>
    <w:rsid w:val="38DC3D18"/>
    <w:rsid w:val="38E30EE3"/>
    <w:rsid w:val="38EF4739"/>
    <w:rsid w:val="38F2729F"/>
    <w:rsid w:val="39010928"/>
    <w:rsid w:val="39025C9D"/>
    <w:rsid w:val="390C5008"/>
    <w:rsid w:val="391A4B2B"/>
    <w:rsid w:val="392240E1"/>
    <w:rsid w:val="39300492"/>
    <w:rsid w:val="393879C1"/>
    <w:rsid w:val="394C3839"/>
    <w:rsid w:val="395C1320"/>
    <w:rsid w:val="395C1674"/>
    <w:rsid w:val="396C26B6"/>
    <w:rsid w:val="39755F3E"/>
    <w:rsid w:val="397B064F"/>
    <w:rsid w:val="399F2FBB"/>
    <w:rsid w:val="39AD5700"/>
    <w:rsid w:val="39AD58C4"/>
    <w:rsid w:val="39B60850"/>
    <w:rsid w:val="39CB3D75"/>
    <w:rsid w:val="39CD30D2"/>
    <w:rsid w:val="39DC59D8"/>
    <w:rsid w:val="39DF1625"/>
    <w:rsid w:val="39F00CB4"/>
    <w:rsid w:val="39FC3546"/>
    <w:rsid w:val="39FE4185"/>
    <w:rsid w:val="39FF62DB"/>
    <w:rsid w:val="3A0B14F7"/>
    <w:rsid w:val="3A0C422A"/>
    <w:rsid w:val="3A0C5E4C"/>
    <w:rsid w:val="3A0D03B7"/>
    <w:rsid w:val="3A0D389E"/>
    <w:rsid w:val="3A0E1554"/>
    <w:rsid w:val="3A183191"/>
    <w:rsid w:val="3A1C41CD"/>
    <w:rsid w:val="3A1E4827"/>
    <w:rsid w:val="3A1F234D"/>
    <w:rsid w:val="3A304A1A"/>
    <w:rsid w:val="3A30530C"/>
    <w:rsid w:val="3A4673E0"/>
    <w:rsid w:val="3A557951"/>
    <w:rsid w:val="3A5E69D2"/>
    <w:rsid w:val="3A887EF3"/>
    <w:rsid w:val="3A935D24"/>
    <w:rsid w:val="3AA05D00"/>
    <w:rsid w:val="3AAB0EF3"/>
    <w:rsid w:val="3AB903F2"/>
    <w:rsid w:val="3ABD5DEE"/>
    <w:rsid w:val="3AC75A6B"/>
    <w:rsid w:val="3ADC3018"/>
    <w:rsid w:val="3AE45EC9"/>
    <w:rsid w:val="3AEA521D"/>
    <w:rsid w:val="3AEA64B7"/>
    <w:rsid w:val="3B100D86"/>
    <w:rsid w:val="3B181276"/>
    <w:rsid w:val="3B191501"/>
    <w:rsid w:val="3B1C1856"/>
    <w:rsid w:val="3B1D611E"/>
    <w:rsid w:val="3B2E12D2"/>
    <w:rsid w:val="3B2E793F"/>
    <w:rsid w:val="3B337E2C"/>
    <w:rsid w:val="3B4A1523"/>
    <w:rsid w:val="3B4E7C3A"/>
    <w:rsid w:val="3B6C5C8A"/>
    <w:rsid w:val="3B730DCE"/>
    <w:rsid w:val="3B9B3E6B"/>
    <w:rsid w:val="3BD26037"/>
    <w:rsid w:val="3BD34F10"/>
    <w:rsid w:val="3BE52736"/>
    <w:rsid w:val="3BE964F8"/>
    <w:rsid w:val="3BFA41C9"/>
    <w:rsid w:val="3BFE7AFC"/>
    <w:rsid w:val="3BFF0A22"/>
    <w:rsid w:val="3C0A0F88"/>
    <w:rsid w:val="3C237ED3"/>
    <w:rsid w:val="3C381705"/>
    <w:rsid w:val="3C3F5AD5"/>
    <w:rsid w:val="3C68688C"/>
    <w:rsid w:val="3C792F8B"/>
    <w:rsid w:val="3C9115B1"/>
    <w:rsid w:val="3CA40BE8"/>
    <w:rsid w:val="3CA90722"/>
    <w:rsid w:val="3CC53D9E"/>
    <w:rsid w:val="3CC66AB0"/>
    <w:rsid w:val="3CC92BAC"/>
    <w:rsid w:val="3CCE58A2"/>
    <w:rsid w:val="3CCE6FE3"/>
    <w:rsid w:val="3CD020A8"/>
    <w:rsid w:val="3CD226DE"/>
    <w:rsid w:val="3CD35C82"/>
    <w:rsid w:val="3CE6060B"/>
    <w:rsid w:val="3CF03B2D"/>
    <w:rsid w:val="3CF1267B"/>
    <w:rsid w:val="3CFC24D2"/>
    <w:rsid w:val="3D044CBD"/>
    <w:rsid w:val="3D08495A"/>
    <w:rsid w:val="3D2B0342"/>
    <w:rsid w:val="3D2B23E0"/>
    <w:rsid w:val="3D334208"/>
    <w:rsid w:val="3D432F0F"/>
    <w:rsid w:val="3D4E5423"/>
    <w:rsid w:val="3D562440"/>
    <w:rsid w:val="3D7C0D43"/>
    <w:rsid w:val="3D8373C7"/>
    <w:rsid w:val="3D8B4904"/>
    <w:rsid w:val="3D991233"/>
    <w:rsid w:val="3D9C5F88"/>
    <w:rsid w:val="3DA6700D"/>
    <w:rsid w:val="3DAE5EC2"/>
    <w:rsid w:val="3DB17517"/>
    <w:rsid w:val="3DB54EC7"/>
    <w:rsid w:val="3DF27DB9"/>
    <w:rsid w:val="3E043D34"/>
    <w:rsid w:val="3E137334"/>
    <w:rsid w:val="3E366647"/>
    <w:rsid w:val="3E686071"/>
    <w:rsid w:val="3E6E11AD"/>
    <w:rsid w:val="3E7E5894"/>
    <w:rsid w:val="3E81566A"/>
    <w:rsid w:val="3E8D1F7B"/>
    <w:rsid w:val="3E9C5D1B"/>
    <w:rsid w:val="3EBD62D6"/>
    <w:rsid w:val="3ED64D24"/>
    <w:rsid w:val="3EDC25BB"/>
    <w:rsid w:val="3EDF510F"/>
    <w:rsid w:val="3EE17BD1"/>
    <w:rsid w:val="3EEB00E7"/>
    <w:rsid w:val="3EEC1CE4"/>
    <w:rsid w:val="3EF71CE3"/>
    <w:rsid w:val="3F1B6CCD"/>
    <w:rsid w:val="3F281EB3"/>
    <w:rsid w:val="3F370BCB"/>
    <w:rsid w:val="3F3A7CA4"/>
    <w:rsid w:val="3F3B1256"/>
    <w:rsid w:val="3F3E4AD5"/>
    <w:rsid w:val="3F5E52AE"/>
    <w:rsid w:val="3F631C2F"/>
    <w:rsid w:val="3F87243F"/>
    <w:rsid w:val="3FA71C27"/>
    <w:rsid w:val="3FAE03FB"/>
    <w:rsid w:val="3FBC0BF0"/>
    <w:rsid w:val="3FF537B9"/>
    <w:rsid w:val="3FFF2A05"/>
    <w:rsid w:val="400E49F6"/>
    <w:rsid w:val="4011275E"/>
    <w:rsid w:val="402B1A4C"/>
    <w:rsid w:val="402D2C5C"/>
    <w:rsid w:val="408B3E57"/>
    <w:rsid w:val="40907B01"/>
    <w:rsid w:val="40A87B4D"/>
    <w:rsid w:val="40B3129A"/>
    <w:rsid w:val="40B51316"/>
    <w:rsid w:val="40B90E06"/>
    <w:rsid w:val="40C07840"/>
    <w:rsid w:val="40CE260D"/>
    <w:rsid w:val="40CF525F"/>
    <w:rsid w:val="40D80116"/>
    <w:rsid w:val="40E93BC0"/>
    <w:rsid w:val="40FE6F93"/>
    <w:rsid w:val="41103C3B"/>
    <w:rsid w:val="411E6EBB"/>
    <w:rsid w:val="412F47E6"/>
    <w:rsid w:val="416C40CA"/>
    <w:rsid w:val="41850CE8"/>
    <w:rsid w:val="419109F5"/>
    <w:rsid w:val="41994793"/>
    <w:rsid w:val="419D24D5"/>
    <w:rsid w:val="41A90E7A"/>
    <w:rsid w:val="41C94C3A"/>
    <w:rsid w:val="41CE4C50"/>
    <w:rsid w:val="41E42CF6"/>
    <w:rsid w:val="41E5236A"/>
    <w:rsid w:val="41E76104"/>
    <w:rsid w:val="41F12821"/>
    <w:rsid w:val="41FA2C96"/>
    <w:rsid w:val="41FD427D"/>
    <w:rsid w:val="420004D8"/>
    <w:rsid w:val="42154762"/>
    <w:rsid w:val="42251E3E"/>
    <w:rsid w:val="42267C93"/>
    <w:rsid w:val="422E312E"/>
    <w:rsid w:val="42351C26"/>
    <w:rsid w:val="424D1378"/>
    <w:rsid w:val="424E37D0"/>
    <w:rsid w:val="42507232"/>
    <w:rsid w:val="42584344"/>
    <w:rsid w:val="425B3188"/>
    <w:rsid w:val="42664FBD"/>
    <w:rsid w:val="427A7609"/>
    <w:rsid w:val="42975177"/>
    <w:rsid w:val="429F36C1"/>
    <w:rsid w:val="42A774A0"/>
    <w:rsid w:val="42AC4713"/>
    <w:rsid w:val="42B67B76"/>
    <w:rsid w:val="42CA0102"/>
    <w:rsid w:val="42D31F27"/>
    <w:rsid w:val="42DC16BF"/>
    <w:rsid w:val="42E53B03"/>
    <w:rsid w:val="42E87ED2"/>
    <w:rsid w:val="42ED2FE9"/>
    <w:rsid w:val="42EE0B0F"/>
    <w:rsid w:val="42FA6BE5"/>
    <w:rsid w:val="43063DC7"/>
    <w:rsid w:val="431805FE"/>
    <w:rsid w:val="431B5484"/>
    <w:rsid w:val="433573A9"/>
    <w:rsid w:val="43362BE2"/>
    <w:rsid w:val="4339622E"/>
    <w:rsid w:val="434E727C"/>
    <w:rsid w:val="435B43F6"/>
    <w:rsid w:val="435D7AF7"/>
    <w:rsid w:val="436532AA"/>
    <w:rsid w:val="43712CDF"/>
    <w:rsid w:val="43833676"/>
    <w:rsid w:val="43836CE5"/>
    <w:rsid w:val="439B5935"/>
    <w:rsid w:val="43A044FF"/>
    <w:rsid w:val="43A44F92"/>
    <w:rsid w:val="43A67B8D"/>
    <w:rsid w:val="43C32489"/>
    <w:rsid w:val="43CC2BFE"/>
    <w:rsid w:val="43D3615D"/>
    <w:rsid w:val="43D57507"/>
    <w:rsid w:val="43D9531B"/>
    <w:rsid w:val="43E50164"/>
    <w:rsid w:val="43E54170"/>
    <w:rsid w:val="43E923B7"/>
    <w:rsid w:val="44024979"/>
    <w:rsid w:val="4421006E"/>
    <w:rsid w:val="44380293"/>
    <w:rsid w:val="44435D3A"/>
    <w:rsid w:val="445D2C4C"/>
    <w:rsid w:val="447334B4"/>
    <w:rsid w:val="44735795"/>
    <w:rsid w:val="4481692F"/>
    <w:rsid w:val="448C05DF"/>
    <w:rsid w:val="44AF6894"/>
    <w:rsid w:val="44C35C47"/>
    <w:rsid w:val="44CA4B3E"/>
    <w:rsid w:val="44CB170E"/>
    <w:rsid w:val="44CF4924"/>
    <w:rsid w:val="44D57096"/>
    <w:rsid w:val="44E21A5B"/>
    <w:rsid w:val="450D0C9B"/>
    <w:rsid w:val="45100B57"/>
    <w:rsid w:val="45196317"/>
    <w:rsid w:val="451F3201"/>
    <w:rsid w:val="45345CB8"/>
    <w:rsid w:val="45352E5C"/>
    <w:rsid w:val="457D7781"/>
    <w:rsid w:val="45B3035E"/>
    <w:rsid w:val="45B548F0"/>
    <w:rsid w:val="45CF2E79"/>
    <w:rsid w:val="45D30732"/>
    <w:rsid w:val="45DC1C20"/>
    <w:rsid w:val="45F77F1F"/>
    <w:rsid w:val="4615224D"/>
    <w:rsid w:val="462A5D61"/>
    <w:rsid w:val="4647123E"/>
    <w:rsid w:val="46513F59"/>
    <w:rsid w:val="46717A8D"/>
    <w:rsid w:val="46807F04"/>
    <w:rsid w:val="468A4F4F"/>
    <w:rsid w:val="46B91EE6"/>
    <w:rsid w:val="46BD0F24"/>
    <w:rsid w:val="46BD2B0D"/>
    <w:rsid w:val="46D8457B"/>
    <w:rsid w:val="46DA7AE8"/>
    <w:rsid w:val="46E464B1"/>
    <w:rsid w:val="46F0122C"/>
    <w:rsid w:val="46F75570"/>
    <w:rsid w:val="4707219F"/>
    <w:rsid w:val="472114B3"/>
    <w:rsid w:val="472965B9"/>
    <w:rsid w:val="47372A84"/>
    <w:rsid w:val="473A6997"/>
    <w:rsid w:val="4748624D"/>
    <w:rsid w:val="474B0490"/>
    <w:rsid w:val="47637A8E"/>
    <w:rsid w:val="47727BCE"/>
    <w:rsid w:val="477A17E7"/>
    <w:rsid w:val="47910CF4"/>
    <w:rsid w:val="479954ED"/>
    <w:rsid w:val="47A91A9C"/>
    <w:rsid w:val="47AB5220"/>
    <w:rsid w:val="47AB52F6"/>
    <w:rsid w:val="47B2035D"/>
    <w:rsid w:val="47B93F31"/>
    <w:rsid w:val="47E729B9"/>
    <w:rsid w:val="47F4158C"/>
    <w:rsid w:val="47F80D0E"/>
    <w:rsid w:val="47F90E64"/>
    <w:rsid w:val="47F93301"/>
    <w:rsid w:val="47F941DE"/>
    <w:rsid w:val="48030BB8"/>
    <w:rsid w:val="48041805"/>
    <w:rsid w:val="481903DC"/>
    <w:rsid w:val="481C3988"/>
    <w:rsid w:val="482E588F"/>
    <w:rsid w:val="48482A6F"/>
    <w:rsid w:val="48496326"/>
    <w:rsid w:val="485A1120"/>
    <w:rsid w:val="48731725"/>
    <w:rsid w:val="48743864"/>
    <w:rsid w:val="487B4BF3"/>
    <w:rsid w:val="488C6CCD"/>
    <w:rsid w:val="48916F5A"/>
    <w:rsid w:val="48961A2D"/>
    <w:rsid w:val="48B53108"/>
    <w:rsid w:val="48C20A74"/>
    <w:rsid w:val="48CC36A0"/>
    <w:rsid w:val="48E72288"/>
    <w:rsid w:val="48E72A05"/>
    <w:rsid w:val="49015398"/>
    <w:rsid w:val="490B67D7"/>
    <w:rsid w:val="4911265C"/>
    <w:rsid w:val="49151081"/>
    <w:rsid w:val="49247038"/>
    <w:rsid w:val="49296D45"/>
    <w:rsid w:val="492B486B"/>
    <w:rsid w:val="492B62DA"/>
    <w:rsid w:val="492E6109"/>
    <w:rsid w:val="493858B0"/>
    <w:rsid w:val="494C2319"/>
    <w:rsid w:val="49601D37"/>
    <w:rsid w:val="496647B0"/>
    <w:rsid w:val="49744582"/>
    <w:rsid w:val="4977360C"/>
    <w:rsid w:val="49886E4D"/>
    <w:rsid w:val="498E12ED"/>
    <w:rsid w:val="499627A9"/>
    <w:rsid w:val="49AD702E"/>
    <w:rsid w:val="49ED77DE"/>
    <w:rsid w:val="4A0F3AA0"/>
    <w:rsid w:val="4A17314E"/>
    <w:rsid w:val="4A2512BA"/>
    <w:rsid w:val="4A317C5F"/>
    <w:rsid w:val="4A392FB7"/>
    <w:rsid w:val="4A51126D"/>
    <w:rsid w:val="4A72617A"/>
    <w:rsid w:val="4A7463D1"/>
    <w:rsid w:val="4A792FBD"/>
    <w:rsid w:val="4A8A736F"/>
    <w:rsid w:val="4AA20B5D"/>
    <w:rsid w:val="4AC26B09"/>
    <w:rsid w:val="4AC2736B"/>
    <w:rsid w:val="4ACF0F07"/>
    <w:rsid w:val="4AE271AB"/>
    <w:rsid w:val="4AE751F1"/>
    <w:rsid w:val="4AE90539"/>
    <w:rsid w:val="4B013AD5"/>
    <w:rsid w:val="4B052E99"/>
    <w:rsid w:val="4B201A81"/>
    <w:rsid w:val="4B2257F9"/>
    <w:rsid w:val="4B4713C3"/>
    <w:rsid w:val="4B4B3962"/>
    <w:rsid w:val="4B5A31E5"/>
    <w:rsid w:val="4B684257"/>
    <w:rsid w:val="4B890858"/>
    <w:rsid w:val="4B8B38A7"/>
    <w:rsid w:val="4B90639C"/>
    <w:rsid w:val="4BCF5632"/>
    <w:rsid w:val="4BD42F98"/>
    <w:rsid w:val="4BDA08B9"/>
    <w:rsid w:val="4C0D2006"/>
    <w:rsid w:val="4C0F67E2"/>
    <w:rsid w:val="4C4C6CED"/>
    <w:rsid w:val="4C52321B"/>
    <w:rsid w:val="4C634A0F"/>
    <w:rsid w:val="4C714C8A"/>
    <w:rsid w:val="4C7B7B45"/>
    <w:rsid w:val="4C8A7D81"/>
    <w:rsid w:val="4C912C37"/>
    <w:rsid w:val="4C9921B7"/>
    <w:rsid w:val="4CA07BC6"/>
    <w:rsid w:val="4CAD7399"/>
    <w:rsid w:val="4CC7713D"/>
    <w:rsid w:val="4CCF634C"/>
    <w:rsid w:val="4CDC2F1E"/>
    <w:rsid w:val="4CDE5BD3"/>
    <w:rsid w:val="4CF60C26"/>
    <w:rsid w:val="4D0372FC"/>
    <w:rsid w:val="4D2B35A7"/>
    <w:rsid w:val="4D2B4E4D"/>
    <w:rsid w:val="4D2E0486"/>
    <w:rsid w:val="4D343E46"/>
    <w:rsid w:val="4D3A1520"/>
    <w:rsid w:val="4D3C7046"/>
    <w:rsid w:val="4D561208"/>
    <w:rsid w:val="4D90789C"/>
    <w:rsid w:val="4DA17ECE"/>
    <w:rsid w:val="4DBE3EFF"/>
    <w:rsid w:val="4DC843A5"/>
    <w:rsid w:val="4DD23507"/>
    <w:rsid w:val="4DD67B34"/>
    <w:rsid w:val="4DE137EE"/>
    <w:rsid w:val="4E0A60CA"/>
    <w:rsid w:val="4E192B90"/>
    <w:rsid w:val="4E1B35C4"/>
    <w:rsid w:val="4E1B63C8"/>
    <w:rsid w:val="4E4D3C1B"/>
    <w:rsid w:val="4E764A36"/>
    <w:rsid w:val="4E880069"/>
    <w:rsid w:val="4E922C96"/>
    <w:rsid w:val="4E9B5FEF"/>
    <w:rsid w:val="4ED33865"/>
    <w:rsid w:val="4EE04F09"/>
    <w:rsid w:val="4F061A14"/>
    <w:rsid w:val="4F0E0F61"/>
    <w:rsid w:val="4F24273B"/>
    <w:rsid w:val="4F6317C3"/>
    <w:rsid w:val="4F65001B"/>
    <w:rsid w:val="4F6B5FB0"/>
    <w:rsid w:val="4F892E78"/>
    <w:rsid w:val="4F973257"/>
    <w:rsid w:val="4F995F33"/>
    <w:rsid w:val="4F9F30B6"/>
    <w:rsid w:val="4FA2361E"/>
    <w:rsid w:val="4FA3493A"/>
    <w:rsid w:val="4FB85168"/>
    <w:rsid w:val="4FC22971"/>
    <w:rsid w:val="4FCB449C"/>
    <w:rsid w:val="4FE24927"/>
    <w:rsid w:val="4FE51CA7"/>
    <w:rsid w:val="4FE635C3"/>
    <w:rsid w:val="4FF15C31"/>
    <w:rsid w:val="50005C7E"/>
    <w:rsid w:val="5007625F"/>
    <w:rsid w:val="50106933"/>
    <w:rsid w:val="501E0C85"/>
    <w:rsid w:val="50243AD5"/>
    <w:rsid w:val="502F450F"/>
    <w:rsid w:val="503334D4"/>
    <w:rsid w:val="503C0DC6"/>
    <w:rsid w:val="504718C4"/>
    <w:rsid w:val="505A77E4"/>
    <w:rsid w:val="505C7A00"/>
    <w:rsid w:val="5072026C"/>
    <w:rsid w:val="50746A1B"/>
    <w:rsid w:val="507F23E8"/>
    <w:rsid w:val="50870323"/>
    <w:rsid w:val="50A2158B"/>
    <w:rsid w:val="50A80CD7"/>
    <w:rsid w:val="50D37CC2"/>
    <w:rsid w:val="50E56BC4"/>
    <w:rsid w:val="50F21048"/>
    <w:rsid w:val="50F45296"/>
    <w:rsid w:val="50FA5ADF"/>
    <w:rsid w:val="51053BF3"/>
    <w:rsid w:val="510A4649"/>
    <w:rsid w:val="511625FC"/>
    <w:rsid w:val="511F771D"/>
    <w:rsid w:val="51367791"/>
    <w:rsid w:val="515A177B"/>
    <w:rsid w:val="517465F2"/>
    <w:rsid w:val="51752349"/>
    <w:rsid w:val="51804301"/>
    <w:rsid w:val="51A42D3D"/>
    <w:rsid w:val="51A87C0F"/>
    <w:rsid w:val="51B74EB7"/>
    <w:rsid w:val="51CB2747"/>
    <w:rsid w:val="51CB78FE"/>
    <w:rsid w:val="51D07D5D"/>
    <w:rsid w:val="51E14F93"/>
    <w:rsid w:val="51ED5BF1"/>
    <w:rsid w:val="52020E9A"/>
    <w:rsid w:val="520908F3"/>
    <w:rsid w:val="520914C1"/>
    <w:rsid w:val="522E2CD6"/>
    <w:rsid w:val="524E5126"/>
    <w:rsid w:val="526801AD"/>
    <w:rsid w:val="527942A5"/>
    <w:rsid w:val="52846D9A"/>
    <w:rsid w:val="528829A3"/>
    <w:rsid w:val="528867F3"/>
    <w:rsid w:val="52A03414"/>
    <w:rsid w:val="52B70F1D"/>
    <w:rsid w:val="52B72CCB"/>
    <w:rsid w:val="52C6511E"/>
    <w:rsid w:val="52D66E3F"/>
    <w:rsid w:val="52D7511B"/>
    <w:rsid w:val="52F72E2D"/>
    <w:rsid w:val="53081779"/>
    <w:rsid w:val="531447B9"/>
    <w:rsid w:val="53494985"/>
    <w:rsid w:val="536718F3"/>
    <w:rsid w:val="537A08C9"/>
    <w:rsid w:val="538F2C99"/>
    <w:rsid w:val="53E144A4"/>
    <w:rsid w:val="53FD45F1"/>
    <w:rsid w:val="5402095A"/>
    <w:rsid w:val="54065012"/>
    <w:rsid w:val="540F6813"/>
    <w:rsid w:val="54141A82"/>
    <w:rsid w:val="542D76E9"/>
    <w:rsid w:val="542E16B3"/>
    <w:rsid w:val="543366E2"/>
    <w:rsid w:val="543502BD"/>
    <w:rsid w:val="543A30B4"/>
    <w:rsid w:val="543F11CA"/>
    <w:rsid w:val="54434FDD"/>
    <w:rsid w:val="54456651"/>
    <w:rsid w:val="54803D68"/>
    <w:rsid w:val="549362B3"/>
    <w:rsid w:val="54945E2E"/>
    <w:rsid w:val="549C72CE"/>
    <w:rsid w:val="54CB6F02"/>
    <w:rsid w:val="54DA405D"/>
    <w:rsid w:val="54E81862"/>
    <w:rsid w:val="55004201"/>
    <w:rsid w:val="55122D61"/>
    <w:rsid w:val="55172B69"/>
    <w:rsid w:val="552F3D56"/>
    <w:rsid w:val="55306D65"/>
    <w:rsid w:val="55432336"/>
    <w:rsid w:val="55481935"/>
    <w:rsid w:val="55524F2D"/>
    <w:rsid w:val="555C3CBC"/>
    <w:rsid w:val="557730F2"/>
    <w:rsid w:val="55797FBA"/>
    <w:rsid w:val="55B47A2A"/>
    <w:rsid w:val="55C73B6D"/>
    <w:rsid w:val="55D907AD"/>
    <w:rsid w:val="55E27144"/>
    <w:rsid w:val="55E847F2"/>
    <w:rsid w:val="55F33BA2"/>
    <w:rsid w:val="55FF50B5"/>
    <w:rsid w:val="56100079"/>
    <w:rsid w:val="56386A7C"/>
    <w:rsid w:val="5647129A"/>
    <w:rsid w:val="564855E0"/>
    <w:rsid w:val="564F2B09"/>
    <w:rsid w:val="56521689"/>
    <w:rsid w:val="565A7B1F"/>
    <w:rsid w:val="56627C20"/>
    <w:rsid w:val="56664956"/>
    <w:rsid w:val="56726A98"/>
    <w:rsid w:val="567315FF"/>
    <w:rsid w:val="567B46D5"/>
    <w:rsid w:val="567E11E9"/>
    <w:rsid w:val="569E65FC"/>
    <w:rsid w:val="56A11B28"/>
    <w:rsid w:val="56B85264"/>
    <w:rsid w:val="56BE70B1"/>
    <w:rsid w:val="56C54CD4"/>
    <w:rsid w:val="56F5765A"/>
    <w:rsid w:val="56FC15F5"/>
    <w:rsid w:val="56FE711B"/>
    <w:rsid w:val="570122F7"/>
    <w:rsid w:val="571B5158"/>
    <w:rsid w:val="571B6867"/>
    <w:rsid w:val="57227540"/>
    <w:rsid w:val="57392849"/>
    <w:rsid w:val="5780349A"/>
    <w:rsid w:val="57841110"/>
    <w:rsid w:val="578507C0"/>
    <w:rsid w:val="578A30A4"/>
    <w:rsid w:val="578A4E52"/>
    <w:rsid w:val="57945CD1"/>
    <w:rsid w:val="57AA0610"/>
    <w:rsid w:val="57AC6B77"/>
    <w:rsid w:val="57AE0558"/>
    <w:rsid w:val="57C32112"/>
    <w:rsid w:val="57D04F5B"/>
    <w:rsid w:val="57D32355"/>
    <w:rsid w:val="57E96447"/>
    <w:rsid w:val="58065AD5"/>
    <w:rsid w:val="58111660"/>
    <w:rsid w:val="5814471C"/>
    <w:rsid w:val="581C2F61"/>
    <w:rsid w:val="58297442"/>
    <w:rsid w:val="583F7715"/>
    <w:rsid w:val="584C2108"/>
    <w:rsid w:val="585267E8"/>
    <w:rsid w:val="587664FC"/>
    <w:rsid w:val="587F072F"/>
    <w:rsid w:val="588344C5"/>
    <w:rsid w:val="588A3D6A"/>
    <w:rsid w:val="5896536D"/>
    <w:rsid w:val="58A261CC"/>
    <w:rsid w:val="58B57158"/>
    <w:rsid w:val="58B971FC"/>
    <w:rsid w:val="58C64338"/>
    <w:rsid w:val="58D7709F"/>
    <w:rsid w:val="58D934E2"/>
    <w:rsid w:val="58DB3067"/>
    <w:rsid w:val="58E169C3"/>
    <w:rsid w:val="58E97957"/>
    <w:rsid w:val="58FC58DC"/>
    <w:rsid w:val="58FE78A6"/>
    <w:rsid w:val="591276BE"/>
    <w:rsid w:val="5929493D"/>
    <w:rsid w:val="592E21E6"/>
    <w:rsid w:val="595F55C8"/>
    <w:rsid w:val="597436C4"/>
    <w:rsid w:val="59780880"/>
    <w:rsid w:val="597B28C5"/>
    <w:rsid w:val="598002BB"/>
    <w:rsid w:val="598853C1"/>
    <w:rsid w:val="598B33A2"/>
    <w:rsid w:val="598F769E"/>
    <w:rsid w:val="59904EF5"/>
    <w:rsid w:val="599B481D"/>
    <w:rsid w:val="59AE7815"/>
    <w:rsid w:val="59AF3A4D"/>
    <w:rsid w:val="59B91508"/>
    <w:rsid w:val="59CD102D"/>
    <w:rsid w:val="59D95C1D"/>
    <w:rsid w:val="59DB132F"/>
    <w:rsid w:val="59DE60BF"/>
    <w:rsid w:val="59DF76D7"/>
    <w:rsid w:val="59EA607C"/>
    <w:rsid w:val="5A04713E"/>
    <w:rsid w:val="5A481B21"/>
    <w:rsid w:val="5A4A2677"/>
    <w:rsid w:val="5A640F10"/>
    <w:rsid w:val="5A757CA3"/>
    <w:rsid w:val="5A8E2FFF"/>
    <w:rsid w:val="5ABD72ED"/>
    <w:rsid w:val="5AEB5017"/>
    <w:rsid w:val="5B03515E"/>
    <w:rsid w:val="5B087DD5"/>
    <w:rsid w:val="5B150A03"/>
    <w:rsid w:val="5B174C4F"/>
    <w:rsid w:val="5B29073E"/>
    <w:rsid w:val="5B30257E"/>
    <w:rsid w:val="5B3255E5"/>
    <w:rsid w:val="5B354900"/>
    <w:rsid w:val="5B4204A3"/>
    <w:rsid w:val="5B5437AD"/>
    <w:rsid w:val="5B6138E8"/>
    <w:rsid w:val="5B7B221C"/>
    <w:rsid w:val="5B876808"/>
    <w:rsid w:val="5B8F6A94"/>
    <w:rsid w:val="5B90055D"/>
    <w:rsid w:val="5BB60859"/>
    <w:rsid w:val="5BD4177D"/>
    <w:rsid w:val="5BD551C2"/>
    <w:rsid w:val="5BD62414"/>
    <w:rsid w:val="5BE72873"/>
    <w:rsid w:val="5BF42115"/>
    <w:rsid w:val="5C142867"/>
    <w:rsid w:val="5C154FB0"/>
    <w:rsid w:val="5C2E6034"/>
    <w:rsid w:val="5C307177"/>
    <w:rsid w:val="5C3377FC"/>
    <w:rsid w:val="5C515F3F"/>
    <w:rsid w:val="5C6A0DAE"/>
    <w:rsid w:val="5C787938"/>
    <w:rsid w:val="5C8C51C9"/>
    <w:rsid w:val="5CB17754"/>
    <w:rsid w:val="5CC91F79"/>
    <w:rsid w:val="5CCF4F47"/>
    <w:rsid w:val="5D027239"/>
    <w:rsid w:val="5D1F5DC9"/>
    <w:rsid w:val="5D26561D"/>
    <w:rsid w:val="5D2C288D"/>
    <w:rsid w:val="5D5418FE"/>
    <w:rsid w:val="5D5A72EE"/>
    <w:rsid w:val="5D5F28DD"/>
    <w:rsid w:val="5D6677C8"/>
    <w:rsid w:val="5D722BA0"/>
    <w:rsid w:val="5D8440F2"/>
    <w:rsid w:val="5D8D310D"/>
    <w:rsid w:val="5D950196"/>
    <w:rsid w:val="5DA56542"/>
    <w:rsid w:val="5DA81501"/>
    <w:rsid w:val="5DCA1372"/>
    <w:rsid w:val="5DEC21C1"/>
    <w:rsid w:val="5DEF3441"/>
    <w:rsid w:val="5DFA7B3C"/>
    <w:rsid w:val="5DFB2606"/>
    <w:rsid w:val="5DFC54C6"/>
    <w:rsid w:val="5E155EC7"/>
    <w:rsid w:val="5E192A8C"/>
    <w:rsid w:val="5E244E86"/>
    <w:rsid w:val="5E2F22B0"/>
    <w:rsid w:val="5E3E4683"/>
    <w:rsid w:val="5E520B77"/>
    <w:rsid w:val="5E58012C"/>
    <w:rsid w:val="5E5835B4"/>
    <w:rsid w:val="5E5B745B"/>
    <w:rsid w:val="5E604B5F"/>
    <w:rsid w:val="5E73602C"/>
    <w:rsid w:val="5E746563"/>
    <w:rsid w:val="5E783D07"/>
    <w:rsid w:val="5E800D5D"/>
    <w:rsid w:val="5E9B238B"/>
    <w:rsid w:val="5E9C7069"/>
    <w:rsid w:val="5EA44206"/>
    <w:rsid w:val="5EA54938"/>
    <w:rsid w:val="5EAA6DDD"/>
    <w:rsid w:val="5EF14AD5"/>
    <w:rsid w:val="5EFA598A"/>
    <w:rsid w:val="5EFC725B"/>
    <w:rsid w:val="5EFD5F0A"/>
    <w:rsid w:val="5F052390"/>
    <w:rsid w:val="5F06129B"/>
    <w:rsid w:val="5F3536C4"/>
    <w:rsid w:val="5F482700"/>
    <w:rsid w:val="5F563A58"/>
    <w:rsid w:val="5F5E7019"/>
    <w:rsid w:val="5F623764"/>
    <w:rsid w:val="5F8108E9"/>
    <w:rsid w:val="5F9E4C02"/>
    <w:rsid w:val="5FB567E4"/>
    <w:rsid w:val="5FD55896"/>
    <w:rsid w:val="5FE514E0"/>
    <w:rsid w:val="5FF81B89"/>
    <w:rsid w:val="5FFF0A5C"/>
    <w:rsid w:val="6000078C"/>
    <w:rsid w:val="6013249E"/>
    <w:rsid w:val="601F5ACF"/>
    <w:rsid w:val="60201767"/>
    <w:rsid w:val="602045A6"/>
    <w:rsid w:val="602A40C1"/>
    <w:rsid w:val="602B51F2"/>
    <w:rsid w:val="604229D5"/>
    <w:rsid w:val="604A4363"/>
    <w:rsid w:val="60777C56"/>
    <w:rsid w:val="608E3C25"/>
    <w:rsid w:val="60937701"/>
    <w:rsid w:val="60A5501C"/>
    <w:rsid w:val="60A710C0"/>
    <w:rsid w:val="60BB42CE"/>
    <w:rsid w:val="60C7120C"/>
    <w:rsid w:val="60CE7B5E"/>
    <w:rsid w:val="60CF38D6"/>
    <w:rsid w:val="60D40EEC"/>
    <w:rsid w:val="60D74D6C"/>
    <w:rsid w:val="60F06394"/>
    <w:rsid w:val="60F22306"/>
    <w:rsid w:val="60F5158E"/>
    <w:rsid w:val="60FB18C6"/>
    <w:rsid w:val="60FF41BB"/>
    <w:rsid w:val="6106379C"/>
    <w:rsid w:val="610F0788"/>
    <w:rsid w:val="6124530A"/>
    <w:rsid w:val="61377DF9"/>
    <w:rsid w:val="6143228A"/>
    <w:rsid w:val="61447E20"/>
    <w:rsid w:val="615269E1"/>
    <w:rsid w:val="61582574"/>
    <w:rsid w:val="615B6DE0"/>
    <w:rsid w:val="61665E34"/>
    <w:rsid w:val="616C5699"/>
    <w:rsid w:val="61721986"/>
    <w:rsid w:val="618C76A3"/>
    <w:rsid w:val="61AB355C"/>
    <w:rsid w:val="61B01959"/>
    <w:rsid w:val="61D45648"/>
    <w:rsid w:val="61D84602"/>
    <w:rsid w:val="61E138C1"/>
    <w:rsid w:val="6216517A"/>
    <w:rsid w:val="62347E94"/>
    <w:rsid w:val="623520D2"/>
    <w:rsid w:val="62436329"/>
    <w:rsid w:val="625D1976"/>
    <w:rsid w:val="62697DE3"/>
    <w:rsid w:val="62917095"/>
    <w:rsid w:val="62AB70A5"/>
    <w:rsid w:val="62B00EBA"/>
    <w:rsid w:val="62B32F76"/>
    <w:rsid w:val="62B34A4C"/>
    <w:rsid w:val="62BE4D1C"/>
    <w:rsid w:val="62CF3159"/>
    <w:rsid w:val="62D84CC4"/>
    <w:rsid w:val="62DF5E56"/>
    <w:rsid w:val="62E25B42"/>
    <w:rsid w:val="62EF165B"/>
    <w:rsid w:val="63013369"/>
    <w:rsid w:val="6302525B"/>
    <w:rsid w:val="63086285"/>
    <w:rsid w:val="630A5099"/>
    <w:rsid w:val="63116428"/>
    <w:rsid w:val="632D6B95"/>
    <w:rsid w:val="633A4165"/>
    <w:rsid w:val="63422A85"/>
    <w:rsid w:val="634B04AA"/>
    <w:rsid w:val="635051A2"/>
    <w:rsid w:val="63733013"/>
    <w:rsid w:val="63807109"/>
    <w:rsid w:val="63C06722"/>
    <w:rsid w:val="63C94E27"/>
    <w:rsid w:val="63CA1A6F"/>
    <w:rsid w:val="63EB0A27"/>
    <w:rsid w:val="63FB2005"/>
    <w:rsid w:val="640E418C"/>
    <w:rsid w:val="64106ED5"/>
    <w:rsid w:val="642142BA"/>
    <w:rsid w:val="64236413"/>
    <w:rsid w:val="643101B4"/>
    <w:rsid w:val="643979E4"/>
    <w:rsid w:val="643D4406"/>
    <w:rsid w:val="645228A9"/>
    <w:rsid w:val="6454481E"/>
    <w:rsid w:val="64772B19"/>
    <w:rsid w:val="64883414"/>
    <w:rsid w:val="648B532D"/>
    <w:rsid w:val="6497631F"/>
    <w:rsid w:val="64CC2606"/>
    <w:rsid w:val="64CD637E"/>
    <w:rsid w:val="64E81E96"/>
    <w:rsid w:val="65012E8F"/>
    <w:rsid w:val="65085608"/>
    <w:rsid w:val="6527584D"/>
    <w:rsid w:val="65293EFC"/>
    <w:rsid w:val="652C01BA"/>
    <w:rsid w:val="652F0DE7"/>
    <w:rsid w:val="65310536"/>
    <w:rsid w:val="65372FD8"/>
    <w:rsid w:val="65605444"/>
    <w:rsid w:val="656C3255"/>
    <w:rsid w:val="658E1770"/>
    <w:rsid w:val="658E4C66"/>
    <w:rsid w:val="65967861"/>
    <w:rsid w:val="659E23D6"/>
    <w:rsid w:val="65AD450C"/>
    <w:rsid w:val="65C07C91"/>
    <w:rsid w:val="65C32895"/>
    <w:rsid w:val="65CA45AC"/>
    <w:rsid w:val="65CC6636"/>
    <w:rsid w:val="65CF695E"/>
    <w:rsid w:val="65DE5C5E"/>
    <w:rsid w:val="65DF788F"/>
    <w:rsid w:val="65E872EC"/>
    <w:rsid w:val="65EA1F91"/>
    <w:rsid w:val="65EE2A50"/>
    <w:rsid w:val="660233D6"/>
    <w:rsid w:val="66170676"/>
    <w:rsid w:val="661E1587"/>
    <w:rsid w:val="662841B4"/>
    <w:rsid w:val="662B0C58"/>
    <w:rsid w:val="662F3FFE"/>
    <w:rsid w:val="6634276C"/>
    <w:rsid w:val="663F6AE4"/>
    <w:rsid w:val="664C20C4"/>
    <w:rsid w:val="664D4C7E"/>
    <w:rsid w:val="66523CE7"/>
    <w:rsid w:val="66780355"/>
    <w:rsid w:val="667E3B26"/>
    <w:rsid w:val="668D2F76"/>
    <w:rsid w:val="669D111B"/>
    <w:rsid w:val="66A16E18"/>
    <w:rsid w:val="66A9361C"/>
    <w:rsid w:val="66BC3E0D"/>
    <w:rsid w:val="66C51A03"/>
    <w:rsid w:val="66FD2667"/>
    <w:rsid w:val="67024795"/>
    <w:rsid w:val="67332E10"/>
    <w:rsid w:val="67432FA1"/>
    <w:rsid w:val="675F4C1F"/>
    <w:rsid w:val="6764712C"/>
    <w:rsid w:val="676A3918"/>
    <w:rsid w:val="678337AE"/>
    <w:rsid w:val="678E06F0"/>
    <w:rsid w:val="679663D1"/>
    <w:rsid w:val="67A64AC5"/>
    <w:rsid w:val="67A663D1"/>
    <w:rsid w:val="67E10ABE"/>
    <w:rsid w:val="681A18DB"/>
    <w:rsid w:val="681E4062"/>
    <w:rsid w:val="682269E1"/>
    <w:rsid w:val="6845216B"/>
    <w:rsid w:val="684A3125"/>
    <w:rsid w:val="68640337"/>
    <w:rsid w:val="6864524C"/>
    <w:rsid w:val="686A09E3"/>
    <w:rsid w:val="687834B4"/>
    <w:rsid w:val="687E00BB"/>
    <w:rsid w:val="68924132"/>
    <w:rsid w:val="689F6284"/>
    <w:rsid w:val="68A4505F"/>
    <w:rsid w:val="68A8782A"/>
    <w:rsid w:val="68AA4E91"/>
    <w:rsid w:val="68BB19A5"/>
    <w:rsid w:val="68CD2DF1"/>
    <w:rsid w:val="68D8234A"/>
    <w:rsid w:val="68FE0B80"/>
    <w:rsid w:val="690C715D"/>
    <w:rsid w:val="6922217A"/>
    <w:rsid w:val="692B7625"/>
    <w:rsid w:val="69324368"/>
    <w:rsid w:val="693E5A9D"/>
    <w:rsid w:val="695E1C9B"/>
    <w:rsid w:val="6978335F"/>
    <w:rsid w:val="69872FA0"/>
    <w:rsid w:val="69883508"/>
    <w:rsid w:val="69B4065B"/>
    <w:rsid w:val="69EB49EF"/>
    <w:rsid w:val="69F543AD"/>
    <w:rsid w:val="69F55085"/>
    <w:rsid w:val="6A0348C0"/>
    <w:rsid w:val="6A0561E6"/>
    <w:rsid w:val="6A0E3484"/>
    <w:rsid w:val="6A2B4DE4"/>
    <w:rsid w:val="6A411CF3"/>
    <w:rsid w:val="6A506411"/>
    <w:rsid w:val="6A525B54"/>
    <w:rsid w:val="6A554E4C"/>
    <w:rsid w:val="6A5634DD"/>
    <w:rsid w:val="6A6D29EA"/>
    <w:rsid w:val="6A6D66A9"/>
    <w:rsid w:val="6A7D0229"/>
    <w:rsid w:val="6A8C3AEA"/>
    <w:rsid w:val="6A923047"/>
    <w:rsid w:val="6AC66C31"/>
    <w:rsid w:val="6ADE79A4"/>
    <w:rsid w:val="6B0A5709"/>
    <w:rsid w:val="6B0D04D9"/>
    <w:rsid w:val="6B20463D"/>
    <w:rsid w:val="6B2A62D8"/>
    <w:rsid w:val="6B420E6A"/>
    <w:rsid w:val="6B452600"/>
    <w:rsid w:val="6B560E7C"/>
    <w:rsid w:val="6B5A7BC6"/>
    <w:rsid w:val="6B64510C"/>
    <w:rsid w:val="6B68067C"/>
    <w:rsid w:val="6B6A52A7"/>
    <w:rsid w:val="6B7262E7"/>
    <w:rsid w:val="6B7632CC"/>
    <w:rsid w:val="6B7E1C3B"/>
    <w:rsid w:val="6B9A6652"/>
    <w:rsid w:val="6B9B255F"/>
    <w:rsid w:val="6B9B7D99"/>
    <w:rsid w:val="6BA93BCD"/>
    <w:rsid w:val="6BB23283"/>
    <w:rsid w:val="6BB6110A"/>
    <w:rsid w:val="6BC54253"/>
    <w:rsid w:val="6BD11DE6"/>
    <w:rsid w:val="6BD33444"/>
    <w:rsid w:val="6BFD0A30"/>
    <w:rsid w:val="6C044D7B"/>
    <w:rsid w:val="6C283EAB"/>
    <w:rsid w:val="6C30278D"/>
    <w:rsid w:val="6C44301A"/>
    <w:rsid w:val="6C472A06"/>
    <w:rsid w:val="6C7D5A44"/>
    <w:rsid w:val="6C82448F"/>
    <w:rsid w:val="6C865790"/>
    <w:rsid w:val="6C93778B"/>
    <w:rsid w:val="6C9F4042"/>
    <w:rsid w:val="6CA1769D"/>
    <w:rsid w:val="6CA200F0"/>
    <w:rsid w:val="6CB120C5"/>
    <w:rsid w:val="6CB57E24"/>
    <w:rsid w:val="6CBA2CA5"/>
    <w:rsid w:val="6CBE1074"/>
    <w:rsid w:val="6CC61D04"/>
    <w:rsid w:val="6CED1CB3"/>
    <w:rsid w:val="6CEF35E6"/>
    <w:rsid w:val="6D0D7B32"/>
    <w:rsid w:val="6D144A3B"/>
    <w:rsid w:val="6D273402"/>
    <w:rsid w:val="6D276BA7"/>
    <w:rsid w:val="6D2C2D1C"/>
    <w:rsid w:val="6D5263BD"/>
    <w:rsid w:val="6D550ED5"/>
    <w:rsid w:val="6D5B09CB"/>
    <w:rsid w:val="6D5B6E2D"/>
    <w:rsid w:val="6D605FE2"/>
    <w:rsid w:val="6D6C477F"/>
    <w:rsid w:val="6D721C26"/>
    <w:rsid w:val="6D730F9E"/>
    <w:rsid w:val="6D74197E"/>
    <w:rsid w:val="6D7C6B93"/>
    <w:rsid w:val="6DBC51E2"/>
    <w:rsid w:val="6DC05B50"/>
    <w:rsid w:val="6DD4764A"/>
    <w:rsid w:val="6DDE7A33"/>
    <w:rsid w:val="6DDE7DCD"/>
    <w:rsid w:val="6DDF6C4C"/>
    <w:rsid w:val="6DE501CF"/>
    <w:rsid w:val="6DFB3F5C"/>
    <w:rsid w:val="6E211B37"/>
    <w:rsid w:val="6E414065"/>
    <w:rsid w:val="6E454862"/>
    <w:rsid w:val="6E4A38D7"/>
    <w:rsid w:val="6E517793"/>
    <w:rsid w:val="6E7206C2"/>
    <w:rsid w:val="6E783BC2"/>
    <w:rsid w:val="6E934195"/>
    <w:rsid w:val="6E9F0F98"/>
    <w:rsid w:val="6EB52283"/>
    <w:rsid w:val="6EB8662B"/>
    <w:rsid w:val="6ECA1584"/>
    <w:rsid w:val="6EDD3662"/>
    <w:rsid w:val="6EE449F0"/>
    <w:rsid w:val="6EF03395"/>
    <w:rsid w:val="6EF96336"/>
    <w:rsid w:val="6F0A08FB"/>
    <w:rsid w:val="6F0C2366"/>
    <w:rsid w:val="6F1A00DF"/>
    <w:rsid w:val="6F215C44"/>
    <w:rsid w:val="6F2A5439"/>
    <w:rsid w:val="6F2F65B3"/>
    <w:rsid w:val="6F3431BE"/>
    <w:rsid w:val="6F394D3C"/>
    <w:rsid w:val="6F3E2352"/>
    <w:rsid w:val="6F415567"/>
    <w:rsid w:val="6F435BBB"/>
    <w:rsid w:val="6F5673DF"/>
    <w:rsid w:val="6F770908"/>
    <w:rsid w:val="6F861085"/>
    <w:rsid w:val="6F8F1E48"/>
    <w:rsid w:val="6F9945D8"/>
    <w:rsid w:val="6F9E54E7"/>
    <w:rsid w:val="6FA60AE1"/>
    <w:rsid w:val="6FB0356D"/>
    <w:rsid w:val="6FC52A74"/>
    <w:rsid w:val="6FC543CE"/>
    <w:rsid w:val="6FC95C27"/>
    <w:rsid w:val="6FCE7B7A"/>
    <w:rsid w:val="6FD809F9"/>
    <w:rsid w:val="6FD8131E"/>
    <w:rsid w:val="6FE11EB6"/>
    <w:rsid w:val="6FF033BA"/>
    <w:rsid w:val="700669DE"/>
    <w:rsid w:val="70231548"/>
    <w:rsid w:val="702376E0"/>
    <w:rsid w:val="70473489"/>
    <w:rsid w:val="705D2CAC"/>
    <w:rsid w:val="705D7E9A"/>
    <w:rsid w:val="706957DA"/>
    <w:rsid w:val="706E310B"/>
    <w:rsid w:val="706F443E"/>
    <w:rsid w:val="7085135F"/>
    <w:rsid w:val="7088334B"/>
    <w:rsid w:val="709C56F0"/>
    <w:rsid w:val="709D754D"/>
    <w:rsid w:val="70AC5DF4"/>
    <w:rsid w:val="70AC73C6"/>
    <w:rsid w:val="70BA1505"/>
    <w:rsid w:val="70CA3156"/>
    <w:rsid w:val="70CD6499"/>
    <w:rsid w:val="70DA691A"/>
    <w:rsid w:val="70E3033B"/>
    <w:rsid w:val="70E3264D"/>
    <w:rsid w:val="70E355E0"/>
    <w:rsid w:val="70F07478"/>
    <w:rsid w:val="70F27898"/>
    <w:rsid w:val="711F0DBC"/>
    <w:rsid w:val="712612F0"/>
    <w:rsid w:val="71267542"/>
    <w:rsid w:val="712B31E0"/>
    <w:rsid w:val="712C2075"/>
    <w:rsid w:val="71325C58"/>
    <w:rsid w:val="716408C7"/>
    <w:rsid w:val="71683CEA"/>
    <w:rsid w:val="717770BE"/>
    <w:rsid w:val="71810C1C"/>
    <w:rsid w:val="718A5D23"/>
    <w:rsid w:val="719C7DEC"/>
    <w:rsid w:val="71A37E47"/>
    <w:rsid w:val="71B66530"/>
    <w:rsid w:val="71BA7C8A"/>
    <w:rsid w:val="71C056F2"/>
    <w:rsid w:val="71D670BC"/>
    <w:rsid w:val="71F563BB"/>
    <w:rsid w:val="720355A3"/>
    <w:rsid w:val="720E039D"/>
    <w:rsid w:val="721E176B"/>
    <w:rsid w:val="72367C35"/>
    <w:rsid w:val="723E42D0"/>
    <w:rsid w:val="724A24DB"/>
    <w:rsid w:val="725105EF"/>
    <w:rsid w:val="72591224"/>
    <w:rsid w:val="725E3F36"/>
    <w:rsid w:val="725F483B"/>
    <w:rsid w:val="72640322"/>
    <w:rsid w:val="72640B40"/>
    <w:rsid w:val="726B3547"/>
    <w:rsid w:val="726D3460"/>
    <w:rsid w:val="727644F9"/>
    <w:rsid w:val="72822E9E"/>
    <w:rsid w:val="728E413E"/>
    <w:rsid w:val="729F331A"/>
    <w:rsid w:val="72C62809"/>
    <w:rsid w:val="72D7130B"/>
    <w:rsid w:val="72E72D01"/>
    <w:rsid w:val="72F223EB"/>
    <w:rsid w:val="72F3202A"/>
    <w:rsid w:val="72F736F8"/>
    <w:rsid w:val="73027B3B"/>
    <w:rsid w:val="731E2008"/>
    <w:rsid w:val="731F024D"/>
    <w:rsid w:val="732C6966"/>
    <w:rsid w:val="733C69A4"/>
    <w:rsid w:val="733D5272"/>
    <w:rsid w:val="73517F54"/>
    <w:rsid w:val="73661E78"/>
    <w:rsid w:val="7369056E"/>
    <w:rsid w:val="736B2FE5"/>
    <w:rsid w:val="73720D18"/>
    <w:rsid w:val="73721039"/>
    <w:rsid w:val="73B45C20"/>
    <w:rsid w:val="73BB764C"/>
    <w:rsid w:val="73BD558A"/>
    <w:rsid w:val="73D51D18"/>
    <w:rsid w:val="73D9089C"/>
    <w:rsid w:val="73EA3A54"/>
    <w:rsid w:val="73EF4EDE"/>
    <w:rsid w:val="73F13E37"/>
    <w:rsid w:val="73F330FA"/>
    <w:rsid w:val="73F817B4"/>
    <w:rsid w:val="74085625"/>
    <w:rsid w:val="74252A61"/>
    <w:rsid w:val="74257971"/>
    <w:rsid w:val="74367A9C"/>
    <w:rsid w:val="744D4DE6"/>
    <w:rsid w:val="74517D5F"/>
    <w:rsid w:val="74632817"/>
    <w:rsid w:val="74694510"/>
    <w:rsid w:val="7469649B"/>
    <w:rsid w:val="746A6FB8"/>
    <w:rsid w:val="746E2ABD"/>
    <w:rsid w:val="74834AED"/>
    <w:rsid w:val="749926F2"/>
    <w:rsid w:val="74B07143"/>
    <w:rsid w:val="74C81F10"/>
    <w:rsid w:val="74D135C0"/>
    <w:rsid w:val="74DD29BA"/>
    <w:rsid w:val="74E31D72"/>
    <w:rsid w:val="74EC45FF"/>
    <w:rsid w:val="74EE0377"/>
    <w:rsid w:val="74F852E3"/>
    <w:rsid w:val="75014E4C"/>
    <w:rsid w:val="75056299"/>
    <w:rsid w:val="75133BF1"/>
    <w:rsid w:val="75183CFD"/>
    <w:rsid w:val="751F0FBA"/>
    <w:rsid w:val="7531365E"/>
    <w:rsid w:val="753F24CB"/>
    <w:rsid w:val="75485BA0"/>
    <w:rsid w:val="754F3848"/>
    <w:rsid w:val="755740DE"/>
    <w:rsid w:val="755F67E2"/>
    <w:rsid w:val="75616B62"/>
    <w:rsid w:val="756D2859"/>
    <w:rsid w:val="75811949"/>
    <w:rsid w:val="75834F63"/>
    <w:rsid w:val="75891776"/>
    <w:rsid w:val="75975EA9"/>
    <w:rsid w:val="759D40E8"/>
    <w:rsid w:val="75A16CA0"/>
    <w:rsid w:val="75AB270C"/>
    <w:rsid w:val="75AB4A4B"/>
    <w:rsid w:val="75B1422C"/>
    <w:rsid w:val="75B16389"/>
    <w:rsid w:val="76365ED1"/>
    <w:rsid w:val="76382AD2"/>
    <w:rsid w:val="76512F72"/>
    <w:rsid w:val="765C7562"/>
    <w:rsid w:val="76607052"/>
    <w:rsid w:val="767A306F"/>
    <w:rsid w:val="767B20DE"/>
    <w:rsid w:val="76852E3F"/>
    <w:rsid w:val="7690083F"/>
    <w:rsid w:val="769479B8"/>
    <w:rsid w:val="76971335"/>
    <w:rsid w:val="769737B0"/>
    <w:rsid w:val="769A6A08"/>
    <w:rsid w:val="76CB538A"/>
    <w:rsid w:val="76D914DE"/>
    <w:rsid w:val="76E241A3"/>
    <w:rsid w:val="76F31920"/>
    <w:rsid w:val="77154EEF"/>
    <w:rsid w:val="77185685"/>
    <w:rsid w:val="772C162A"/>
    <w:rsid w:val="77336C0B"/>
    <w:rsid w:val="7742706B"/>
    <w:rsid w:val="774921DC"/>
    <w:rsid w:val="774E4B38"/>
    <w:rsid w:val="776432F4"/>
    <w:rsid w:val="776A6350"/>
    <w:rsid w:val="77706E23"/>
    <w:rsid w:val="77914E0D"/>
    <w:rsid w:val="779E42D6"/>
    <w:rsid w:val="77A54CBD"/>
    <w:rsid w:val="77B07919"/>
    <w:rsid w:val="77B238DE"/>
    <w:rsid w:val="77B84C6C"/>
    <w:rsid w:val="77D40B74"/>
    <w:rsid w:val="77DC24C0"/>
    <w:rsid w:val="78047EB1"/>
    <w:rsid w:val="781D024C"/>
    <w:rsid w:val="781E7F16"/>
    <w:rsid w:val="7821671D"/>
    <w:rsid w:val="78227C9A"/>
    <w:rsid w:val="782C2669"/>
    <w:rsid w:val="783A38D3"/>
    <w:rsid w:val="78514E82"/>
    <w:rsid w:val="78632B8F"/>
    <w:rsid w:val="78670B6C"/>
    <w:rsid w:val="787216C4"/>
    <w:rsid w:val="78790104"/>
    <w:rsid w:val="78795F4D"/>
    <w:rsid w:val="78843861"/>
    <w:rsid w:val="788D0D8C"/>
    <w:rsid w:val="78905524"/>
    <w:rsid w:val="78AB0423"/>
    <w:rsid w:val="78D11F8B"/>
    <w:rsid w:val="78F46560"/>
    <w:rsid w:val="78FF4DE7"/>
    <w:rsid w:val="79003977"/>
    <w:rsid w:val="790D31EA"/>
    <w:rsid w:val="79104189"/>
    <w:rsid w:val="791E260E"/>
    <w:rsid w:val="793A05E9"/>
    <w:rsid w:val="793D5A12"/>
    <w:rsid w:val="7940675C"/>
    <w:rsid w:val="79426EE3"/>
    <w:rsid w:val="79442010"/>
    <w:rsid w:val="7947274B"/>
    <w:rsid w:val="7949283E"/>
    <w:rsid w:val="795038ED"/>
    <w:rsid w:val="795B122E"/>
    <w:rsid w:val="795E4240"/>
    <w:rsid w:val="796C5D0E"/>
    <w:rsid w:val="7973709D"/>
    <w:rsid w:val="79803991"/>
    <w:rsid w:val="798B2638"/>
    <w:rsid w:val="79945405"/>
    <w:rsid w:val="7998540E"/>
    <w:rsid w:val="79BA2F1D"/>
    <w:rsid w:val="79BF4A3B"/>
    <w:rsid w:val="79DD09BA"/>
    <w:rsid w:val="79F17337"/>
    <w:rsid w:val="79FB3A1A"/>
    <w:rsid w:val="79FC3536"/>
    <w:rsid w:val="7A0C04FD"/>
    <w:rsid w:val="7A1355D9"/>
    <w:rsid w:val="7A202934"/>
    <w:rsid w:val="7A230AC3"/>
    <w:rsid w:val="7A456C8B"/>
    <w:rsid w:val="7A4A4FAE"/>
    <w:rsid w:val="7A535CD0"/>
    <w:rsid w:val="7A5759FD"/>
    <w:rsid w:val="7A5F7AEB"/>
    <w:rsid w:val="7A7154F5"/>
    <w:rsid w:val="7A7430CC"/>
    <w:rsid w:val="7A804167"/>
    <w:rsid w:val="7A834F93"/>
    <w:rsid w:val="7A91165F"/>
    <w:rsid w:val="7A9C4DB8"/>
    <w:rsid w:val="7AA5597C"/>
    <w:rsid w:val="7AAB0F56"/>
    <w:rsid w:val="7AAD5834"/>
    <w:rsid w:val="7AB11DEB"/>
    <w:rsid w:val="7AB24CC5"/>
    <w:rsid w:val="7AB829CC"/>
    <w:rsid w:val="7AC438A2"/>
    <w:rsid w:val="7ACA4D77"/>
    <w:rsid w:val="7ADB4602"/>
    <w:rsid w:val="7B010AC3"/>
    <w:rsid w:val="7B014838"/>
    <w:rsid w:val="7B063BCA"/>
    <w:rsid w:val="7B0A3A31"/>
    <w:rsid w:val="7B0D3F38"/>
    <w:rsid w:val="7B3B5510"/>
    <w:rsid w:val="7B4414B7"/>
    <w:rsid w:val="7B55321B"/>
    <w:rsid w:val="7B5A6766"/>
    <w:rsid w:val="7B8437E3"/>
    <w:rsid w:val="7B871525"/>
    <w:rsid w:val="7B8B1F77"/>
    <w:rsid w:val="7BD007D6"/>
    <w:rsid w:val="7C02738A"/>
    <w:rsid w:val="7C0B5CB2"/>
    <w:rsid w:val="7C3C5E6C"/>
    <w:rsid w:val="7C3D3992"/>
    <w:rsid w:val="7C776EA4"/>
    <w:rsid w:val="7C7E0232"/>
    <w:rsid w:val="7C9175C1"/>
    <w:rsid w:val="7CB22A69"/>
    <w:rsid w:val="7CC55E61"/>
    <w:rsid w:val="7CCD7AAC"/>
    <w:rsid w:val="7CE80291"/>
    <w:rsid w:val="7CEE6A57"/>
    <w:rsid w:val="7CFE75C5"/>
    <w:rsid w:val="7D23320B"/>
    <w:rsid w:val="7D370C2D"/>
    <w:rsid w:val="7D415004"/>
    <w:rsid w:val="7D454800"/>
    <w:rsid w:val="7D480C45"/>
    <w:rsid w:val="7D510D1E"/>
    <w:rsid w:val="7D6116F6"/>
    <w:rsid w:val="7D6B48B5"/>
    <w:rsid w:val="7D753E75"/>
    <w:rsid w:val="7D8C697F"/>
    <w:rsid w:val="7DA131B6"/>
    <w:rsid w:val="7DBB4623"/>
    <w:rsid w:val="7DC90129"/>
    <w:rsid w:val="7DD73298"/>
    <w:rsid w:val="7DE247F1"/>
    <w:rsid w:val="7DED3CF7"/>
    <w:rsid w:val="7E0E55E6"/>
    <w:rsid w:val="7E1A3F8B"/>
    <w:rsid w:val="7E2E4E3D"/>
    <w:rsid w:val="7E2F4430"/>
    <w:rsid w:val="7E346B9D"/>
    <w:rsid w:val="7E375606"/>
    <w:rsid w:val="7E3808B5"/>
    <w:rsid w:val="7E3E236F"/>
    <w:rsid w:val="7E682501"/>
    <w:rsid w:val="7E7805A7"/>
    <w:rsid w:val="7E81712E"/>
    <w:rsid w:val="7E977CD1"/>
    <w:rsid w:val="7EAA248B"/>
    <w:rsid w:val="7EAD6B68"/>
    <w:rsid w:val="7EB54C30"/>
    <w:rsid w:val="7EDB34B9"/>
    <w:rsid w:val="7EE27E0A"/>
    <w:rsid w:val="7EE92B2C"/>
    <w:rsid w:val="7EFE7628"/>
    <w:rsid w:val="7F1457EB"/>
    <w:rsid w:val="7F1530EF"/>
    <w:rsid w:val="7F323556"/>
    <w:rsid w:val="7F3472CE"/>
    <w:rsid w:val="7F376DBE"/>
    <w:rsid w:val="7F5070F9"/>
    <w:rsid w:val="7F531E4A"/>
    <w:rsid w:val="7F5968A5"/>
    <w:rsid w:val="7F596D35"/>
    <w:rsid w:val="7F601E71"/>
    <w:rsid w:val="7F6310E9"/>
    <w:rsid w:val="7F8A13C9"/>
    <w:rsid w:val="7FB56661"/>
    <w:rsid w:val="7FBB179D"/>
    <w:rsid w:val="7FD445A9"/>
    <w:rsid w:val="7FDD1714"/>
    <w:rsid w:val="7FFF7A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autoRedefine/>
    <w:qFormat/>
    <w:uiPriority w:val="0"/>
    <w:pPr>
      <w:keepNext/>
      <w:tabs>
        <w:tab w:val="left" w:pos="3600"/>
      </w:tabs>
      <w:adjustRightInd w:val="0"/>
      <w:snapToGrid w:val="0"/>
      <w:spacing w:line="500" w:lineRule="exact"/>
      <w:jc w:val="left"/>
      <w:outlineLvl w:val="1"/>
    </w:pPr>
    <w:rPr>
      <w:b/>
      <w:sz w:val="24"/>
    </w:rPr>
  </w:style>
  <w:style w:type="paragraph" w:styleId="5">
    <w:name w:val="heading 3"/>
    <w:basedOn w:val="1"/>
    <w:next w:val="1"/>
    <w:autoRedefine/>
    <w:qFormat/>
    <w:uiPriority w:val="0"/>
    <w:pPr>
      <w:keepNext/>
      <w:keepLines/>
      <w:tabs>
        <w:tab w:val="left" w:pos="1440"/>
      </w:tabs>
      <w:spacing w:before="120" w:after="240"/>
      <w:ind w:left="720" w:hanging="720"/>
      <w:outlineLvl w:val="2"/>
    </w:pPr>
    <w:rPr>
      <w:rFonts w:eastAsia="黑体"/>
      <w:b/>
      <w:kern w:val="0"/>
      <w:sz w:val="28"/>
      <w:szCs w:val="20"/>
    </w:rPr>
  </w:style>
  <w:style w:type="paragraph" w:styleId="6">
    <w:name w:val="heading 4"/>
    <w:basedOn w:val="1"/>
    <w:next w:val="1"/>
    <w:autoRedefine/>
    <w:qFormat/>
    <w:uiPriority w:val="0"/>
    <w:pPr>
      <w:keepNext/>
      <w:keepLines/>
      <w:numPr>
        <w:ilvl w:val="3"/>
        <w:numId w:val="1"/>
      </w:numPr>
      <w:tabs>
        <w:tab w:val="left" w:pos="420"/>
      </w:tabs>
      <w:spacing w:before="60" w:after="60" w:line="377" w:lineRule="auto"/>
      <w:outlineLvl w:val="3"/>
    </w:pPr>
    <w:rPr>
      <w:b/>
      <w:bCs/>
      <w:sz w:val="24"/>
      <w:szCs w:val="28"/>
    </w:rPr>
  </w:style>
  <w:style w:type="character" w:default="1" w:styleId="37">
    <w:name w:val="Default Paragraph Font"/>
    <w:autoRedefine/>
    <w:unhideWhenUsed/>
    <w:qFormat/>
    <w:uiPriority w:val="1"/>
  </w:style>
  <w:style w:type="table" w:default="1" w:styleId="35">
    <w:name w:val="Normal Table"/>
    <w:autoRedefin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toc 2"/>
    <w:basedOn w:val="1"/>
    <w:next w:val="1"/>
    <w:autoRedefine/>
    <w:qFormat/>
    <w:uiPriority w:val="39"/>
    <w:pPr>
      <w:spacing w:line="360" w:lineRule="auto"/>
      <w:ind w:firstLine="200" w:firstLineChars="200"/>
    </w:pPr>
    <w:rPr>
      <w:iCs/>
      <w:szCs w:val="20"/>
    </w:rPr>
  </w:style>
  <w:style w:type="paragraph" w:styleId="7">
    <w:name w:val="table of authorities"/>
    <w:basedOn w:val="1"/>
    <w:next w:val="1"/>
    <w:autoRedefine/>
    <w:qFormat/>
    <w:uiPriority w:val="0"/>
    <w:pPr>
      <w:ind w:left="420" w:leftChars="200"/>
    </w:pPr>
  </w:style>
  <w:style w:type="paragraph" w:styleId="8">
    <w:name w:val="Normal Indent"/>
    <w:basedOn w:val="1"/>
    <w:autoRedefine/>
    <w:qFormat/>
    <w:uiPriority w:val="0"/>
    <w:rPr>
      <w:snapToGrid w:val="0"/>
      <w:sz w:val="28"/>
    </w:rPr>
  </w:style>
  <w:style w:type="paragraph" w:styleId="9">
    <w:name w:val="annotation text"/>
    <w:basedOn w:val="1"/>
    <w:link w:val="101"/>
    <w:autoRedefine/>
    <w:qFormat/>
    <w:uiPriority w:val="0"/>
    <w:pPr>
      <w:jc w:val="left"/>
    </w:pPr>
  </w:style>
  <w:style w:type="paragraph" w:styleId="10">
    <w:name w:val="Body Text"/>
    <w:basedOn w:val="1"/>
    <w:next w:val="11"/>
    <w:link w:val="111"/>
    <w:autoRedefine/>
    <w:qFormat/>
    <w:uiPriority w:val="0"/>
    <w:pPr>
      <w:spacing w:line="440" w:lineRule="exact"/>
      <w:textAlignment w:val="center"/>
    </w:pPr>
    <w:rPr>
      <w:rFonts w:eastAsia="华文中宋"/>
      <w:sz w:val="28"/>
    </w:rPr>
  </w:style>
  <w:style w:type="paragraph" w:customStyle="1" w:styleId="11">
    <w:name w:val="Normal (Web)1"/>
    <w:basedOn w:val="1"/>
    <w:next w:val="12"/>
    <w:autoRedefine/>
    <w:qFormat/>
    <w:uiPriority w:val="0"/>
    <w:pPr>
      <w:widowControl/>
      <w:jc w:val="left"/>
    </w:pPr>
    <w:rPr>
      <w:rFonts w:ascii="宋体"/>
      <w:kern w:val="0"/>
      <w:sz w:val="24"/>
      <w:szCs w:val="21"/>
    </w:rPr>
  </w:style>
  <w:style w:type="paragraph" w:customStyle="1" w:styleId="12">
    <w:name w:val="Date1"/>
    <w:basedOn w:val="1"/>
    <w:next w:val="1"/>
    <w:autoRedefine/>
    <w:qFormat/>
    <w:uiPriority w:val="0"/>
    <w:pPr>
      <w:ind w:left="2500" w:leftChars="2500"/>
    </w:pPr>
  </w:style>
  <w:style w:type="paragraph" w:styleId="13">
    <w:name w:val="Body Text Indent"/>
    <w:basedOn w:val="1"/>
    <w:next w:val="1"/>
    <w:autoRedefine/>
    <w:unhideWhenUsed/>
    <w:qFormat/>
    <w:uiPriority w:val="0"/>
    <w:pPr>
      <w:ind w:firstLine="480" w:firstLineChars="200"/>
    </w:pPr>
    <w:rPr>
      <w:kern w:val="0"/>
      <w:sz w:val="24"/>
    </w:rPr>
  </w:style>
  <w:style w:type="paragraph" w:styleId="14">
    <w:name w:val="List Bullet 2"/>
    <w:basedOn w:val="1"/>
    <w:next w:val="15"/>
    <w:autoRedefine/>
    <w:qFormat/>
    <w:uiPriority w:val="0"/>
    <w:pPr>
      <w:numPr>
        <w:ilvl w:val="0"/>
        <w:numId w:val="2"/>
      </w:numPr>
    </w:pPr>
  </w:style>
  <w:style w:type="paragraph" w:customStyle="1" w:styleId="15">
    <w:name w:val="xl70"/>
    <w:basedOn w:val="1"/>
    <w:next w:val="16"/>
    <w:autoRedefine/>
    <w:qFormat/>
    <w:uiPriority w:val="0"/>
    <w:pPr>
      <w:widowControl/>
      <w:spacing w:before="280" w:after="280"/>
    </w:pPr>
    <w:rPr>
      <w:rFonts w:ascii="宋体"/>
    </w:rPr>
  </w:style>
  <w:style w:type="paragraph" w:customStyle="1" w:styleId="16">
    <w:name w:val="正文缩进1"/>
    <w:basedOn w:val="1"/>
    <w:next w:val="17"/>
    <w:autoRedefine/>
    <w:qFormat/>
    <w:uiPriority w:val="0"/>
    <w:pPr>
      <w:ind w:firstLine="420"/>
    </w:pPr>
    <w:rPr>
      <w:rFonts w:ascii="宋体"/>
      <w:sz w:val="28"/>
    </w:rPr>
  </w:style>
  <w:style w:type="paragraph" w:customStyle="1" w:styleId="17">
    <w:name w:val="td1"/>
    <w:basedOn w:val="1"/>
    <w:next w:val="1"/>
    <w:autoRedefine/>
    <w:qFormat/>
    <w:uiPriority w:val="0"/>
    <w:pPr>
      <w:widowControl/>
      <w:spacing w:before="280" w:after="280" w:line="300" w:lineRule="atLeast"/>
      <w:ind w:firstLine="200"/>
    </w:pPr>
    <w:rPr>
      <w:color w:val="000000"/>
      <w:sz w:val="18"/>
    </w:rPr>
  </w:style>
  <w:style w:type="paragraph" w:styleId="18">
    <w:name w:val="toc 5"/>
    <w:basedOn w:val="1"/>
    <w:next w:val="1"/>
    <w:qFormat/>
    <w:uiPriority w:val="39"/>
    <w:pPr>
      <w:ind w:left="1680" w:leftChars="800"/>
    </w:pPr>
  </w:style>
  <w:style w:type="paragraph" w:styleId="19">
    <w:name w:val="Plain Text"/>
    <w:basedOn w:val="1"/>
    <w:autoRedefine/>
    <w:qFormat/>
    <w:uiPriority w:val="0"/>
    <w:rPr>
      <w:rFonts w:ascii="宋体" w:hAnsi="Courier New"/>
      <w:sz w:val="28"/>
      <w:szCs w:val="21"/>
    </w:rPr>
  </w:style>
  <w:style w:type="paragraph" w:styleId="20">
    <w:name w:val="List Bullet 5"/>
    <w:basedOn w:val="1"/>
    <w:qFormat/>
    <w:uiPriority w:val="0"/>
    <w:pPr>
      <w:numPr>
        <w:ilvl w:val="0"/>
        <w:numId w:val="3"/>
      </w:numPr>
    </w:pPr>
  </w:style>
  <w:style w:type="paragraph" w:styleId="21">
    <w:name w:val="Body Text Indent 2"/>
    <w:basedOn w:val="1"/>
    <w:next w:val="1"/>
    <w:autoRedefine/>
    <w:unhideWhenUsed/>
    <w:qFormat/>
    <w:uiPriority w:val="0"/>
    <w:pPr>
      <w:spacing w:after="120" w:line="480" w:lineRule="auto"/>
      <w:ind w:left="420" w:leftChars="200"/>
    </w:pPr>
    <w:rPr>
      <w:rFonts w:hint="eastAsia"/>
    </w:rPr>
  </w:style>
  <w:style w:type="paragraph" w:styleId="22">
    <w:name w:val="footer"/>
    <w:basedOn w:val="1"/>
    <w:next w:val="1"/>
    <w:autoRedefine/>
    <w:qFormat/>
    <w:uiPriority w:val="99"/>
    <w:pPr>
      <w:tabs>
        <w:tab w:val="center" w:pos="4153"/>
        <w:tab w:val="right" w:pos="8306"/>
      </w:tabs>
      <w:snapToGrid w:val="0"/>
      <w:jc w:val="left"/>
    </w:pPr>
    <w:rPr>
      <w:kern w:val="0"/>
      <w:sz w:val="18"/>
      <w:szCs w:val="20"/>
    </w:rPr>
  </w:style>
  <w:style w:type="paragraph" w:styleId="2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4">
    <w:name w:val="toc 1"/>
    <w:basedOn w:val="1"/>
    <w:next w:val="1"/>
    <w:autoRedefine/>
    <w:qFormat/>
    <w:uiPriority w:val="39"/>
    <w:pPr>
      <w:widowControl/>
      <w:tabs>
        <w:tab w:val="right" w:leader="hyphen" w:pos="9060"/>
      </w:tabs>
      <w:jc w:val="left"/>
    </w:pPr>
    <w:rPr>
      <w:rFonts w:ascii="宋体" w:hAnsi="宋体" w:cs="宋体"/>
      <w:kern w:val="0"/>
      <w:sz w:val="24"/>
    </w:rPr>
  </w:style>
  <w:style w:type="paragraph" w:styleId="25">
    <w:name w:val="List"/>
    <w:basedOn w:val="1"/>
    <w:next w:val="1"/>
    <w:autoRedefine/>
    <w:qFormat/>
    <w:uiPriority w:val="0"/>
    <w:pPr>
      <w:jc w:val="center"/>
    </w:pPr>
    <w:rPr>
      <w:kern w:val="0"/>
      <w:szCs w:val="20"/>
    </w:rPr>
  </w:style>
  <w:style w:type="paragraph" w:styleId="26">
    <w:name w:val="Body Text Indent 3"/>
    <w:basedOn w:val="1"/>
    <w:autoRedefine/>
    <w:qFormat/>
    <w:uiPriority w:val="0"/>
    <w:pPr>
      <w:spacing w:after="120"/>
      <w:ind w:left="420" w:leftChars="200"/>
    </w:pPr>
    <w:rPr>
      <w:sz w:val="16"/>
      <w:szCs w:val="16"/>
    </w:rPr>
  </w:style>
  <w:style w:type="paragraph" w:styleId="27">
    <w:name w:val="toc 9"/>
    <w:basedOn w:val="1"/>
    <w:next w:val="1"/>
    <w:unhideWhenUsed/>
    <w:qFormat/>
    <w:uiPriority w:val="39"/>
    <w:pPr>
      <w:ind w:left="1680"/>
      <w:jc w:val="left"/>
    </w:pPr>
    <w:rPr>
      <w:rFonts w:ascii="Calibri" w:hAnsi="Calibri" w:cs="Calibri"/>
      <w:sz w:val="20"/>
      <w:szCs w:val="20"/>
    </w:rPr>
  </w:style>
  <w:style w:type="paragraph" w:styleId="28">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rPr>
  </w:style>
  <w:style w:type="paragraph" w:styleId="29">
    <w:name w:val="Normal (Web)"/>
    <w:basedOn w:val="1"/>
    <w:autoRedefine/>
    <w:qFormat/>
    <w:uiPriority w:val="0"/>
    <w:pPr>
      <w:widowControl/>
      <w:spacing w:before="100" w:beforeAutospacing="1" w:after="100" w:afterAutospacing="1"/>
      <w:jc w:val="left"/>
    </w:pPr>
    <w:rPr>
      <w:rFonts w:ascii="宋体" w:hAnsi="宋体"/>
      <w:kern w:val="0"/>
      <w:sz w:val="24"/>
      <w:szCs w:val="20"/>
    </w:rPr>
  </w:style>
  <w:style w:type="paragraph" w:styleId="30">
    <w:name w:val="Title"/>
    <w:basedOn w:val="1"/>
    <w:next w:val="1"/>
    <w:autoRedefine/>
    <w:qFormat/>
    <w:uiPriority w:val="0"/>
    <w:pPr>
      <w:spacing w:before="240" w:after="60"/>
      <w:jc w:val="center"/>
      <w:outlineLvl w:val="0"/>
    </w:pPr>
    <w:rPr>
      <w:rFonts w:ascii="等线 Light" w:hAnsi="等线 Light"/>
      <w:b/>
      <w:bCs/>
      <w:sz w:val="32"/>
      <w:szCs w:val="32"/>
    </w:rPr>
  </w:style>
  <w:style w:type="paragraph" w:styleId="31">
    <w:name w:val="annotation subject"/>
    <w:basedOn w:val="9"/>
    <w:next w:val="9"/>
    <w:link w:val="102"/>
    <w:autoRedefine/>
    <w:qFormat/>
    <w:uiPriority w:val="0"/>
    <w:rPr>
      <w:b/>
      <w:bCs/>
    </w:rPr>
  </w:style>
  <w:style w:type="paragraph" w:styleId="32">
    <w:name w:val="Body Text First Indent"/>
    <w:basedOn w:val="10"/>
    <w:next w:val="33"/>
    <w:link w:val="112"/>
    <w:autoRedefine/>
    <w:qFormat/>
    <w:uiPriority w:val="0"/>
    <w:pPr>
      <w:spacing w:after="120" w:line="240" w:lineRule="auto"/>
      <w:ind w:firstLine="420" w:firstLineChars="100"/>
      <w:textAlignment w:val="auto"/>
    </w:pPr>
    <w:rPr>
      <w:rFonts w:eastAsia="宋体"/>
      <w:sz w:val="21"/>
    </w:rPr>
  </w:style>
  <w:style w:type="paragraph" w:customStyle="1" w:styleId="33">
    <w:name w:val="样式 正文首行缩进 + 首行缩进:  2 字符1"/>
    <w:basedOn w:val="1"/>
    <w:next w:val="24"/>
    <w:autoRedefine/>
    <w:qFormat/>
    <w:uiPriority w:val="0"/>
    <w:pPr>
      <w:spacing w:line="360" w:lineRule="auto"/>
      <w:ind w:firstLine="480" w:firstLineChars="200"/>
    </w:pPr>
    <w:rPr>
      <w:sz w:val="24"/>
    </w:rPr>
  </w:style>
  <w:style w:type="paragraph" w:styleId="34">
    <w:name w:val="Body Text First Indent 2"/>
    <w:basedOn w:val="13"/>
    <w:next w:val="1"/>
    <w:autoRedefine/>
    <w:qFormat/>
    <w:uiPriority w:val="0"/>
    <w:pPr>
      <w:ind w:firstLine="420"/>
    </w:pPr>
  </w:style>
  <w:style w:type="table" w:styleId="36">
    <w:name w:val="Table Grid"/>
    <w:basedOn w:val="3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basedOn w:val="37"/>
    <w:qFormat/>
    <w:uiPriority w:val="0"/>
    <w:rPr>
      <w:b/>
    </w:rPr>
  </w:style>
  <w:style w:type="character" w:styleId="39">
    <w:name w:val="page number"/>
    <w:basedOn w:val="37"/>
    <w:autoRedefine/>
    <w:qFormat/>
    <w:uiPriority w:val="0"/>
  </w:style>
  <w:style w:type="character" w:styleId="40">
    <w:name w:val="FollowedHyperlink"/>
    <w:basedOn w:val="37"/>
    <w:autoRedefine/>
    <w:qFormat/>
    <w:uiPriority w:val="0"/>
    <w:rPr>
      <w:color w:val="800080"/>
      <w:u w:val="none"/>
    </w:rPr>
  </w:style>
  <w:style w:type="character" w:styleId="41">
    <w:name w:val="Emphasis"/>
    <w:basedOn w:val="37"/>
    <w:autoRedefine/>
    <w:qFormat/>
    <w:uiPriority w:val="0"/>
  </w:style>
  <w:style w:type="character" w:styleId="42">
    <w:name w:val="HTML Definition"/>
    <w:basedOn w:val="37"/>
    <w:autoRedefine/>
    <w:qFormat/>
    <w:uiPriority w:val="0"/>
  </w:style>
  <w:style w:type="character" w:styleId="43">
    <w:name w:val="HTML Variable"/>
    <w:basedOn w:val="37"/>
    <w:autoRedefine/>
    <w:qFormat/>
    <w:uiPriority w:val="0"/>
  </w:style>
  <w:style w:type="character" w:styleId="44">
    <w:name w:val="Hyperlink"/>
    <w:basedOn w:val="37"/>
    <w:autoRedefine/>
    <w:qFormat/>
    <w:uiPriority w:val="0"/>
    <w:rPr>
      <w:color w:val="0000FF"/>
      <w:u w:val="none"/>
    </w:rPr>
  </w:style>
  <w:style w:type="character" w:styleId="45">
    <w:name w:val="HTML Code"/>
    <w:basedOn w:val="37"/>
    <w:autoRedefine/>
    <w:qFormat/>
    <w:uiPriority w:val="0"/>
    <w:rPr>
      <w:rFonts w:ascii="Courier New" w:hAnsi="Courier New"/>
      <w:sz w:val="20"/>
    </w:rPr>
  </w:style>
  <w:style w:type="character" w:styleId="46">
    <w:name w:val="annotation reference"/>
    <w:basedOn w:val="37"/>
    <w:autoRedefine/>
    <w:qFormat/>
    <w:uiPriority w:val="0"/>
    <w:rPr>
      <w:sz w:val="21"/>
      <w:szCs w:val="21"/>
    </w:rPr>
  </w:style>
  <w:style w:type="character" w:styleId="47">
    <w:name w:val="HTML Cite"/>
    <w:basedOn w:val="37"/>
    <w:autoRedefine/>
    <w:qFormat/>
    <w:uiPriority w:val="0"/>
  </w:style>
  <w:style w:type="character" w:styleId="48">
    <w:name w:val="HTML Keyboard"/>
    <w:basedOn w:val="37"/>
    <w:autoRedefine/>
    <w:qFormat/>
    <w:uiPriority w:val="0"/>
    <w:rPr>
      <w:rFonts w:ascii="Courier New" w:hAnsi="Courier New"/>
      <w:sz w:val="20"/>
    </w:rPr>
  </w:style>
  <w:style w:type="character" w:styleId="49">
    <w:name w:val="HTML Sample"/>
    <w:basedOn w:val="37"/>
    <w:autoRedefine/>
    <w:qFormat/>
    <w:uiPriority w:val="0"/>
    <w:rPr>
      <w:rFonts w:ascii="Courier New" w:hAnsi="Courier New"/>
      <w:u w:val="none"/>
    </w:rPr>
  </w:style>
  <w:style w:type="paragraph" w:customStyle="1" w:styleId="50">
    <w:name w:val="Default"/>
    <w:basedOn w:val="51"/>
    <w:next w:val="1"/>
    <w:autoRedefine/>
    <w:qFormat/>
    <w:uiPriority w:val="0"/>
    <w:pPr>
      <w:widowControl w:val="0"/>
      <w:autoSpaceDE w:val="0"/>
      <w:autoSpaceDN w:val="0"/>
    </w:pPr>
    <w:rPr>
      <w:rFonts w:hAnsi="Calibri" w:cs="宋体"/>
      <w:color w:val="000000"/>
      <w:szCs w:val="24"/>
    </w:rPr>
  </w:style>
  <w:style w:type="paragraph" w:customStyle="1" w:styleId="51">
    <w:name w:val="纯文本1"/>
    <w:autoRedefine/>
    <w:qFormat/>
    <w:uiPriority w:val="0"/>
    <w:pPr>
      <w:adjustRightInd w:val="0"/>
      <w:jc w:val="center"/>
      <w:textAlignment w:val="baseline"/>
    </w:pPr>
    <w:rPr>
      <w:rFonts w:ascii="宋体" w:hAnsi="Courier New" w:eastAsia="宋体" w:cs="Times New Roman"/>
      <w:sz w:val="24"/>
      <w:lang w:val="en-US" w:eastAsia="zh-CN" w:bidi="ar-SA"/>
    </w:rPr>
  </w:style>
  <w:style w:type="paragraph" w:customStyle="1" w:styleId="52">
    <w:name w:val="列出段落1"/>
    <w:basedOn w:val="1"/>
    <w:autoRedefine/>
    <w:qFormat/>
    <w:uiPriority w:val="99"/>
    <w:pPr>
      <w:ind w:firstLine="420" w:firstLineChars="200"/>
    </w:pPr>
    <w:rPr>
      <w:rFonts w:ascii="Calibri" w:hAnsi="Calibri"/>
      <w:szCs w:val="22"/>
    </w:rPr>
  </w:style>
  <w:style w:type="paragraph" w:customStyle="1" w:styleId="53">
    <w:name w:val="xl27"/>
    <w:basedOn w:val="1"/>
    <w:autoRedefine/>
    <w:qFormat/>
    <w:uiPriority w:val="0"/>
    <w:pPr>
      <w:widowControl/>
      <w:pBdr>
        <w:bottom w:val="single" w:color="auto" w:sz="4" w:space="0"/>
        <w:right w:val="single" w:color="auto" w:sz="4" w:space="0"/>
      </w:pBdr>
      <w:spacing w:before="100" w:beforeAutospacing="1" w:after="100" w:afterAutospacing="1"/>
      <w:jc w:val="center"/>
    </w:pPr>
    <w:rPr>
      <w:kern w:val="0"/>
      <w:szCs w:val="20"/>
    </w:rPr>
  </w:style>
  <w:style w:type="paragraph" w:customStyle="1" w:styleId="54">
    <w:name w:val="11111"/>
    <w:basedOn w:val="1"/>
    <w:next w:val="1"/>
    <w:autoRedefine/>
    <w:qFormat/>
    <w:uiPriority w:val="0"/>
    <w:pPr>
      <w:spacing w:line="360" w:lineRule="auto"/>
      <w:ind w:firstLine="200" w:firstLineChars="200"/>
    </w:pPr>
    <w:rPr>
      <w:rFonts w:ascii="宋体" w:hAnsi="宋体" w:cs="宋体"/>
      <w:sz w:val="24"/>
    </w:rPr>
  </w:style>
  <w:style w:type="paragraph" w:customStyle="1" w:styleId="55">
    <w:name w:val="表格"/>
    <w:basedOn w:val="1"/>
    <w:next w:val="1"/>
    <w:autoRedefine/>
    <w:qFormat/>
    <w:uiPriority w:val="0"/>
    <w:pPr>
      <w:adjustRightInd w:val="0"/>
      <w:snapToGrid w:val="0"/>
      <w:spacing w:beforeLines="10" w:afterLines="10" w:line="259" w:lineRule="auto"/>
      <w:jc w:val="center"/>
    </w:pPr>
    <w:rPr>
      <w:rFonts w:ascii="宋体"/>
      <w:kern w:val="0"/>
      <w:szCs w:val="20"/>
    </w:rPr>
  </w:style>
  <w:style w:type="paragraph" w:customStyle="1" w:styleId="56">
    <w:name w:val="【正文】"/>
    <w:basedOn w:val="1"/>
    <w:next w:val="28"/>
    <w:link w:val="97"/>
    <w:autoRedefine/>
    <w:qFormat/>
    <w:uiPriority w:val="0"/>
    <w:pPr>
      <w:spacing w:line="500" w:lineRule="exact"/>
      <w:ind w:firstLine="200" w:firstLineChars="200"/>
    </w:pPr>
    <w:rPr>
      <w:kern w:val="0"/>
      <w:sz w:val="24"/>
      <w:szCs w:val="20"/>
    </w:rPr>
  </w:style>
  <w:style w:type="paragraph" w:customStyle="1" w:styleId="57">
    <w:name w:val="_Style 4"/>
    <w:basedOn w:val="1"/>
    <w:autoRedefine/>
    <w:qFormat/>
    <w:uiPriority w:val="0"/>
    <w:pPr>
      <w:snapToGrid w:val="0"/>
      <w:spacing w:line="360" w:lineRule="auto"/>
      <w:ind w:firstLine="529" w:firstLineChars="200"/>
    </w:pPr>
  </w:style>
  <w:style w:type="paragraph" w:customStyle="1" w:styleId="58">
    <w:name w:val="【表中文字】"/>
    <w:basedOn w:val="59"/>
    <w:next w:val="1"/>
    <w:autoRedefine/>
    <w:qFormat/>
    <w:uiPriority w:val="0"/>
    <w:pPr>
      <w:jc w:val="center"/>
    </w:pPr>
    <w:rPr>
      <w:kern w:val="0"/>
      <w:szCs w:val="20"/>
    </w:rPr>
  </w:style>
  <w:style w:type="paragraph" w:customStyle="1" w:styleId="59">
    <w:name w:val=".表1-1-1内容"/>
    <w:basedOn w:val="1"/>
    <w:qFormat/>
    <w:uiPriority w:val="0"/>
    <w:pPr>
      <w:spacing w:line="300" w:lineRule="exact"/>
      <w:jc w:val="center"/>
    </w:pPr>
    <w:rPr>
      <w:kern w:val="0"/>
      <w:szCs w:val="21"/>
    </w:rPr>
  </w:style>
  <w:style w:type="paragraph" w:customStyle="1" w:styleId="60">
    <w:name w:val="表格文字"/>
    <w:basedOn w:val="61"/>
    <w:next w:val="1"/>
    <w:autoRedefine/>
    <w:qFormat/>
    <w:uiPriority w:val="0"/>
    <w:pPr>
      <w:widowControl/>
    </w:pPr>
    <w:rPr>
      <w:rFonts w:ascii="宋体" w:hAnsi="宋体" w:cs="宋体"/>
      <w:color w:val="000000"/>
      <w:kern w:val="0"/>
      <w:szCs w:val="21"/>
    </w:rPr>
  </w:style>
  <w:style w:type="paragraph" w:customStyle="1" w:styleId="61">
    <w:name w:val="表头"/>
    <w:basedOn w:val="62"/>
    <w:next w:val="19"/>
    <w:autoRedefine/>
    <w:qFormat/>
    <w:uiPriority w:val="0"/>
    <w:pPr>
      <w:adjustRightInd w:val="0"/>
      <w:snapToGrid w:val="0"/>
      <w:spacing w:line="360" w:lineRule="auto"/>
    </w:pPr>
    <w:rPr>
      <w:rFonts w:eastAsia="黑体"/>
      <w:sz w:val="24"/>
      <w:szCs w:val="22"/>
    </w:rPr>
  </w:style>
  <w:style w:type="paragraph" w:customStyle="1" w:styleId="62">
    <w:name w:val="样式4"/>
    <w:basedOn w:val="1"/>
    <w:autoRedefine/>
    <w:qFormat/>
    <w:uiPriority w:val="0"/>
    <w:pPr>
      <w:adjustRightInd w:val="0"/>
      <w:snapToGrid w:val="0"/>
      <w:jc w:val="center"/>
    </w:pPr>
    <w:rPr>
      <w:sz w:val="24"/>
      <w:szCs w:val="20"/>
    </w:rPr>
  </w:style>
  <w:style w:type="paragraph" w:customStyle="1" w:styleId="63">
    <w:name w:val="正文1"/>
    <w:basedOn w:val="32"/>
    <w:autoRedefine/>
    <w:qFormat/>
    <w:uiPriority w:val="0"/>
    <w:pPr>
      <w:adjustRightInd w:val="0"/>
      <w:spacing w:line="360" w:lineRule="atLeast"/>
    </w:pPr>
    <w:rPr>
      <w:rFonts w:ascii="宋体"/>
      <w:sz w:val="24"/>
    </w:rPr>
  </w:style>
  <w:style w:type="paragraph" w:customStyle="1" w:styleId="64">
    <w:name w:val="正文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65">
    <w:name w:val="【表头】"/>
    <w:basedOn w:val="1"/>
    <w:next w:val="1"/>
    <w:autoRedefine/>
    <w:qFormat/>
    <w:uiPriority w:val="0"/>
    <w:pPr>
      <w:spacing w:line="460" w:lineRule="exact"/>
      <w:jc w:val="center"/>
    </w:pPr>
    <w:rPr>
      <w:b/>
      <w:kern w:val="0"/>
      <w:sz w:val="24"/>
      <w:szCs w:val="20"/>
    </w:rPr>
  </w:style>
  <w:style w:type="paragraph" w:customStyle="1" w:styleId="66">
    <w:name w:val="内容"/>
    <w:basedOn w:val="1"/>
    <w:autoRedefine/>
    <w:qFormat/>
    <w:uiPriority w:val="0"/>
    <w:pPr>
      <w:spacing w:beforeLines="50" w:afterLines="50"/>
      <w:ind w:firstLine="200" w:firstLineChars="200"/>
    </w:pPr>
    <w:rPr>
      <w:color w:val="000000"/>
      <w:sz w:val="24"/>
    </w:rPr>
  </w:style>
  <w:style w:type="paragraph" w:customStyle="1" w:styleId="67">
    <w:name w:val="正文00"/>
    <w:basedOn w:val="1"/>
    <w:next w:val="1"/>
    <w:autoRedefine/>
    <w:qFormat/>
    <w:uiPriority w:val="0"/>
    <w:pPr>
      <w:spacing w:line="360" w:lineRule="auto"/>
      <w:ind w:firstLine="480" w:firstLineChars="200"/>
    </w:pPr>
    <w:rPr>
      <w:sz w:val="24"/>
    </w:rPr>
  </w:style>
  <w:style w:type="paragraph" w:customStyle="1" w:styleId="68">
    <w:name w:val="样式 Times New Roman 五号 居中1"/>
    <w:basedOn w:val="1"/>
    <w:next w:val="61"/>
    <w:autoRedefine/>
    <w:qFormat/>
    <w:uiPriority w:val="0"/>
    <w:pPr>
      <w:jc w:val="center"/>
    </w:pPr>
    <w:rPr>
      <w:rFonts w:cs="宋体"/>
    </w:rPr>
  </w:style>
  <w:style w:type="paragraph" w:customStyle="1" w:styleId="69">
    <w:name w:val="表中文字"/>
    <w:basedOn w:val="61"/>
    <w:autoRedefine/>
    <w:qFormat/>
    <w:uiPriority w:val="0"/>
    <w:pPr>
      <w:adjustRightInd w:val="0"/>
      <w:snapToGrid w:val="0"/>
      <w:jc w:val="center"/>
    </w:pPr>
    <w:rPr>
      <w:szCs w:val="22"/>
    </w:rPr>
  </w:style>
  <w:style w:type="character" w:customStyle="1" w:styleId="70">
    <w:name w:val="【正文】 Char"/>
    <w:link w:val="56"/>
    <w:autoRedefine/>
    <w:qFormat/>
    <w:uiPriority w:val="0"/>
    <w:rPr>
      <w:kern w:val="0"/>
      <w:sz w:val="24"/>
      <w:szCs w:val="20"/>
    </w:rPr>
  </w:style>
  <w:style w:type="paragraph" w:customStyle="1" w:styleId="71">
    <w:name w:val="巴彦正文"/>
    <w:basedOn w:val="1"/>
    <w:autoRedefine/>
    <w:qFormat/>
    <w:uiPriority w:val="0"/>
    <w:pPr>
      <w:spacing w:line="360" w:lineRule="auto"/>
      <w:ind w:firstLine="200" w:firstLineChars="200"/>
    </w:pPr>
    <w:rPr>
      <w:sz w:val="28"/>
    </w:rPr>
  </w:style>
  <w:style w:type="paragraph" w:customStyle="1" w:styleId="72">
    <w:name w:val="北京正文2"/>
    <w:basedOn w:val="1"/>
    <w:autoRedefine/>
    <w:qFormat/>
    <w:uiPriority w:val="0"/>
    <w:pPr>
      <w:adjustRightInd w:val="0"/>
      <w:snapToGrid w:val="0"/>
      <w:spacing w:line="360" w:lineRule="auto"/>
      <w:ind w:firstLine="200" w:firstLineChars="200"/>
    </w:pPr>
    <w:rPr>
      <w:snapToGrid w:val="0"/>
      <w:color w:val="0070C0"/>
      <w:kern w:val="0"/>
      <w:sz w:val="24"/>
    </w:rPr>
  </w:style>
  <w:style w:type="paragraph" w:customStyle="1" w:styleId="73">
    <w:name w:val="cucd-0"/>
    <w:autoRedefine/>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74">
    <w:name w:val="表内文字-lgf"/>
    <w:basedOn w:val="1"/>
    <w:autoRedefine/>
    <w:qFormat/>
    <w:uiPriority w:val="0"/>
    <w:pPr>
      <w:adjustRightInd w:val="0"/>
      <w:snapToGrid w:val="0"/>
      <w:jc w:val="center"/>
    </w:pPr>
    <w:rPr>
      <w:bCs/>
      <w:spacing w:val="-2"/>
      <w:kern w:val="0"/>
      <w:szCs w:val="21"/>
    </w:rPr>
  </w:style>
  <w:style w:type="paragraph" w:customStyle="1" w:styleId="75">
    <w:name w:val="表格文字居中"/>
    <w:basedOn w:val="1"/>
    <w:next w:val="1"/>
    <w:autoRedefine/>
    <w:qFormat/>
    <w:uiPriority w:val="0"/>
    <w:pPr>
      <w:keepNext/>
      <w:adjustRightInd w:val="0"/>
      <w:snapToGrid w:val="0"/>
      <w:spacing w:line="0" w:lineRule="atLeast"/>
      <w:jc w:val="center"/>
    </w:pPr>
    <w:rPr>
      <w:rFonts w:hAnsi="宋体"/>
      <w:color w:val="FF0000"/>
      <w:szCs w:val="21"/>
    </w:rPr>
  </w:style>
  <w:style w:type="character" w:customStyle="1" w:styleId="76">
    <w:name w:val="before4"/>
    <w:basedOn w:val="37"/>
    <w:autoRedefine/>
    <w:qFormat/>
    <w:uiPriority w:val="0"/>
    <w:rPr>
      <w:color w:val="FF6600"/>
      <w:bdr w:val="single" w:color="237C96" w:sz="36" w:space="0"/>
    </w:rPr>
  </w:style>
  <w:style w:type="character" w:customStyle="1" w:styleId="77">
    <w:name w:val="hover15"/>
    <w:basedOn w:val="37"/>
    <w:autoRedefine/>
    <w:qFormat/>
    <w:uiPriority w:val="0"/>
    <w:rPr>
      <w:color w:val="FF6600"/>
    </w:rPr>
  </w:style>
  <w:style w:type="character" w:customStyle="1" w:styleId="78">
    <w:name w:val="before8"/>
    <w:basedOn w:val="37"/>
    <w:autoRedefine/>
    <w:qFormat/>
    <w:uiPriority w:val="0"/>
    <w:rPr>
      <w:color w:val="FF6600"/>
      <w:bdr w:val="single" w:color="237C96" w:sz="36" w:space="0"/>
    </w:rPr>
  </w:style>
  <w:style w:type="character" w:customStyle="1" w:styleId="79">
    <w:name w:val="hover14"/>
    <w:basedOn w:val="37"/>
    <w:autoRedefine/>
    <w:qFormat/>
    <w:uiPriority w:val="0"/>
    <w:rPr>
      <w:color w:val="FF6600"/>
    </w:rPr>
  </w:style>
  <w:style w:type="paragraph" w:customStyle="1" w:styleId="80">
    <w:name w:val="表内字"/>
    <w:autoRedefine/>
    <w:qFormat/>
    <w:uiPriority w:val="0"/>
    <w:pPr>
      <w:spacing w:line="312" w:lineRule="auto"/>
      <w:jc w:val="center"/>
    </w:pPr>
    <w:rPr>
      <w:rFonts w:ascii="Times New Roman" w:hAnsi="Times New Roman" w:eastAsia="宋体" w:cs="Times New Roman"/>
      <w:color w:val="000000"/>
      <w:sz w:val="21"/>
      <w:lang w:val="en-US" w:eastAsia="zh-CN" w:bidi="ar-SA"/>
    </w:rPr>
  </w:style>
  <w:style w:type="paragraph" w:customStyle="1" w:styleId="81">
    <w:name w:val="表文"/>
    <w:basedOn w:val="19"/>
    <w:next w:val="1"/>
    <w:autoRedefine/>
    <w:qFormat/>
    <w:uiPriority w:val="0"/>
    <w:pPr>
      <w:tabs>
        <w:tab w:val="left" w:pos="1021"/>
      </w:tabs>
      <w:spacing w:line="360" w:lineRule="auto"/>
      <w:jc w:val="center"/>
    </w:pPr>
    <w:rPr>
      <w:kern w:val="0"/>
      <w:position w:val="-24"/>
      <w:szCs w:val="21"/>
    </w:rPr>
  </w:style>
  <w:style w:type="paragraph" w:customStyle="1" w:styleId="82">
    <w:name w:val="Table Paragraph"/>
    <w:basedOn w:val="1"/>
    <w:autoRedefine/>
    <w:qFormat/>
    <w:uiPriority w:val="0"/>
    <w:pPr>
      <w:jc w:val="left"/>
    </w:pPr>
    <w:rPr>
      <w:rFonts w:ascii="Calibri" w:hAnsi="Calibri"/>
      <w:kern w:val="0"/>
      <w:sz w:val="22"/>
      <w:lang w:eastAsia="en-US"/>
    </w:rPr>
  </w:style>
  <w:style w:type="paragraph" w:customStyle="1" w:styleId="83">
    <w:name w:val="表格题目"/>
    <w:basedOn w:val="1"/>
    <w:autoRedefine/>
    <w:qFormat/>
    <w:uiPriority w:val="0"/>
    <w:pPr>
      <w:spacing w:line="240" w:lineRule="atLeast"/>
      <w:jc w:val="center"/>
    </w:pPr>
    <w:rPr>
      <w:rFonts w:ascii="黑体" w:hAnsi="宋体" w:eastAsia="黑体"/>
      <w:sz w:val="24"/>
    </w:rPr>
  </w:style>
  <w:style w:type="paragraph" w:customStyle="1" w:styleId="84">
    <w:name w:val="【表中文字】-"/>
    <w:basedOn w:val="1"/>
    <w:autoRedefine/>
    <w:qFormat/>
    <w:uiPriority w:val="0"/>
    <w:pPr>
      <w:widowControl/>
      <w:jc w:val="center"/>
    </w:pPr>
    <w:rPr>
      <w:kern w:val="0"/>
      <w:sz w:val="20"/>
      <w:szCs w:val="20"/>
    </w:rPr>
  </w:style>
  <w:style w:type="paragraph" w:customStyle="1" w:styleId="85">
    <w:name w:val="正文2"/>
    <w:autoRedefine/>
    <w:qFormat/>
    <w:uiPriority w:val="0"/>
    <w:pPr>
      <w:widowControl w:val="0"/>
      <w:adjustRightInd w:val="0"/>
      <w:spacing w:line="360" w:lineRule="atLeast"/>
    </w:pPr>
    <w:rPr>
      <w:rFonts w:ascii="宋体" w:hAnsi="Times New Roman" w:eastAsia="宋体" w:cs="Times New Roman"/>
      <w:sz w:val="24"/>
      <w:lang w:val="en-US" w:eastAsia="zh-CN" w:bidi="ar-SA"/>
    </w:rPr>
  </w:style>
  <w:style w:type="paragraph" w:customStyle="1" w:styleId="86">
    <w:name w:val="正文小标题"/>
    <w:basedOn w:val="1"/>
    <w:next w:val="1"/>
    <w:autoRedefine/>
    <w:qFormat/>
    <w:uiPriority w:val="0"/>
    <w:pPr>
      <w:jc w:val="center"/>
    </w:pPr>
    <w:rPr>
      <w:b/>
      <w:kern w:val="0"/>
      <w:szCs w:val="18"/>
    </w:rPr>
  </w:style>
  <w:style w:type="paragraph" w:customStyle="1" w:styleId="87">
    <w:name w:val="正文 表格  居中"/>
    <w:basedOn w:val="1"/>
    <w:next w:val="1"/>
    <w:autoRedefine/>
    <w:qFormat/>
    <w:uiPriority w:val="0"/>
    <w:pPr>
      <w:jc w:val="center"/>
    </w:pPr>
  </w:style>
  <w:style w:type="table" w:customStyle="1" w:styleId="88">
    <w:name w:val="Table Normal"/>
    <w:autoRedefine/>
    <w:unhideWhenUsed/>
    <w:qFormat/>
    <w:uiPriority w:val="0"/>
    <w:tblPr>
      <w:tblCellMar>
        <w:top w:w="0" w:type="dxa"/>
        <w:left w:w="0" w:type="dxa"/>
        <w:bottom w:w="0" w:type="dxa"/>
        <w:right w:w="0" w:type="dxa"/>
      </w:tblCellMar>
    </w:tblPr>
  </w:style>
  <w:style w:type="paragraph" w:customStyle="1" w:styleId="89">
    <w:name w:val="表格正文"/>
    <w:autoRedefine/>
    <w:qFormat/>
    <w:uiPriority w:val="0"/>
    <w:pPr>
      <w:adjustRightInd w:val="0"/>
      <w:snapToGrid w:val="0"/>
      <w:jc w:val="center"/>
    </w:pPr>
    <w:rPr>
      <w:rFonts w:ascii="Times New Roman" w:hAnsi="Times New Roman" w:eastAsia="宋体" w:cs="Times New Roman"/>
      <w:color w:val="FF0000"/>
      <w:kern w:val="2"/>
      <w:sz w:val="21"/>
      <w:szCs w:val="21"/>
      <w:lang w:val="en-US" w:eastAsia="zh-CN" w:bidi="ar-SA"/>
    </w:rPr>
  </w:style>
  <w:style w:type="paragraph" w:customStyle="1" w:styleId="90">
    <w:name w:val="a正文"/>
    <w:basedOn w:val="91"/>
    <w:autoRedefine/>
    <w:qFormat/>
    <w:uiPriority w:val="0"/>
    <w:pPr>
      <w:spacing w:line="520" w:lineRule="exact"/>
      <w:ind w:firstLine="200"/>
    </w:pPr>
    <w:rPr>
      <w:sz w:val="24"/>
    </w:rPr>
  </w:style>
  <w:style w:type="paragraph" w:customStyle="1" w:styleId="91">
    <w:name w:val="正文格式"/>
    <w:basedOn w:val="1"/>
    <w:autoRedefine/>
    <w:qFormat/>
    <w:uiPriority w:val="0"/>
    <w:pPr>
      <w:spacing w:line="360" w:lineRule="auto"/>
      <w:ind w:firstLine="420" w:firstLineChars="200"/>
    </w:pPr>
    <w:rPr>
      <w:kern w:val="0"/>
      <w:szCs w:val="21"/>
    </w:rPr>
  </w:style>
  <w:style w:type="paragraph" w:customStyle="1" w:styleId="92">
    <w:name w:val="表中的文字"/>
    <w:basedOn w:val="30"/>
    <w:autoRedefine/>
    <w:qFormat/>
    <w:uiPriority w:val="0"/>
    <w:pPr>
      <w:spacing w:before="0" w:after="0"/>
      <w:outlineLvl w:val="9"/>
    </w:pPr>
    <w:rPr>
      <w:rFonts w:ascii="Times New Roman" w:hAnsi="Times New Roman"/>
      <w:b w:val="0"/>
      <w:sz w:val="21"/>
      <w:szCs w:val="21"/>
    </w:rPr>
  </w:style>
  <w:style w:type="paragraph" w:customStyle="1" w:styleId="93">
    <w:name w:val="表格内文字"/>
    <w:basedOn w:val="1"/>
    <w:next w:val="1"/>
    <w:autoRedefine/>
    <w:qFormat/>
    <w:uiPriority w:val="0"/>
    <w:pPr>
      <w:widowControl/>
      <w:tabs>
        <w:tab w:val="left" w:pos="3345"/>
      </w:tabs>
      <w:adjustRightInd w:val="0"/>
      <w:snapToGrid w:val="0"/>
      <w:jc w:val="center"/>
    </w:pPr>
    <w:rPr>
      <w:iCs/>
      <w:kern w:val="0"/>
      <w:szCs w:val="18"/>
    </w:rPr>
  </w:style>
  <w:style w:type="paragraph" w:customStyle="1" w:styleId="94">
    <w:name w:val="C首行缩进正文"/>
    <w:basedOn w:val="56"/>
    <w:autoRedefine/>
    <w:qFormat/>
    <w:uiPriority w:val="0"/>
  </w:style>
  <w:style w:type="paragraph" w:customStyle="1" w:styleId="95">
    <w:name w:val="C【表头】"/>
    <w:basedOn w:val="1"/>
    <w:autoRedefine/>
    <w:qFormat/>
    <w:uiPriority w:val="0"/>
    <w:pPr>
      <w:widowControl/>
      <w:adjustRightInd w:val="0"/>
      <w:snapToGrid w:val="0"/>
      <w:jc w:val="center"/>
    </w:pPr>
    <w:rPr>
      <w:rFonts w:eastAsia="黑体" w:cs="宋体"/>
      <w:kern w:val="0"/>
      <w:sz w:val="24"/>
      <w:szCs w:val="20"/>
    </w:rPr>
  </w:style>
  <w:style w:type="paragraph" w:customStyle="1" w:styleId="96">
    <w:name w:val="C【表中文字】-"/>
    <w:basedOn w:val="1"/>
    <w:autoRedefine/>
    <w:qFormat/>
    <w:uiPriority w:val="0"/>
    <w:pPr>
      <w:adjustRightInd w:val="0"/>
      <w:snapToGrid w:val="0"/>
      <w:jc w:val="center"/>
    </w:pPr>
    <w:rPr>
      <w:kern w:val="0"/>
      <w:szCs w:val="20"/>
    </w:rPr>
  </w:style>
  <w:style w:type="character" w:customStyle="1" w:styleId="97">
    <w:name w:val="【正文】 Char1"/>
    <w:link w:val="56"/>
    <w:autoRedefine/>
    <w:qFormat/>
    <w:uiPriority w:val="0"/>
    <w:rPr>
      <w:rFonts w:ascii="Times New Roman" w:hAnsi="Times New Roman" w:eastAsia="宋体"/>
      <w:sz w:val="24"/>
    </w:rPr>
  </w:style>
  <w:style w:type="paragraph" w:customStyle="1" w:styleId="98">
    <w:name w:val="C表两端"/>
    <w:basedOn w:val="1"/>
    <w:autoRedefine/>
    <w:qFormat/>
    <w:uiPriority w:val="0"/>
    <w:pPr>
      <w:adjustRightInd w:val="0"/>
      <w:snapToGrid w:val="0"/>
    </w:pPr>
    <w:rPr>
      <w:kern w:val="0"/>
      <w:szCs w:val="20"/>
    </w:rPr>
  </w:style>
  <w:style w:type="paragraph" w:customStyle="1" w:styleId="99">
    <w:name w:val="首行缩进正文"/>
    <w:basedOn w:val="56"/>
    <w:autoRedefine/>
    <w:qFormat/>
    <w:uiPriority w:val="0"/>
    <w:pPr>
      <w:spacing w:line="240" w:lineRule="auto"/>
    </w:pPr>
    <w:rPr>
      <w:sz w:val="21"/>
    </w:rPr>
  </w:style>
  <w:style w:type="paragraph" w:customStyle="1" w:styleId="100">
    <w:name w:val="标准正文"/>
    <w:basedOn w:val="1"/>
    <w:autoRedefine/>
    <w:qFormat/>
    <w:uiPriority w:val="0"/>
    <w:pPr>
      <w:widowControl/>
      <w:spacing w:before="60" w:after="60" w:line="360" w:lineRule="auto"/>
      <w:ind w:firstLine="482"/>
      <w:jc w:val="left"/>
    </w:pPr>
    <w:rPr>
      <w:rFonts w:ascii="Arial" w:hAnsi="Arial"/>
      <w:sz w:val="24"/>
      <w:szCs w:val="21"/>
      <w:lang w:eastAsia="en-US" w:bidi="en-US"/>
    </w:rPr>
  </w:style>
  <w:style w:type="character" w:customStyle="1" w:styleId="101">
    <w:name w:val="批注文字 字符"/>
    <w:basedOn w:val="37"/>
    <w:link w:val="9"/>
    <w:autoRedefine/>
    <w:qFormat/>
    <w:uiPriority w:val="0"/>
    <w:rPr>
      <w:kern w:val="2"/>
      <w:sz w:val="21"/>
      <w:szCs w:val="24"/>
    </w:rPr>
  </w:style>
  <w:style w:type="character" w:customStyle="1" w:styleId="102">
    <w:name w:val="批注主题 字符"/>
    <w:basedOn w:val="101"/>
    <w:link w:val="31"/>
    <w:autoRedefine/>
    <w:qFormat/>
    <w:uiPriority w:val="0"/>
    <w:rPr>
      <w:b/>
      <w:bCs/>
      <w:kern w:val="2"/>
      <w:sz w:val="21"/>
      <w:szCs w:val="24"/>
    </w:rPr>
  </w:style>
  <w:style w:type="paragraph" w:customStyle="1" w:styleId="103">
    <w:name w:val="WPSOffice手动目录 1"/>
    <w:autoRedefine/>
    <w:qFormat/>
    <w:uiPriority w:val="0"/>
    <w:pPr>
      <w:ind w:leftChars="0"/>
    </w:pPr>
    <w:rPr>
      <w:rFonts w:ascii="Times New Roman" w:hAnsi="Times New Roman" w:eastAsia="宋体" w:cs="Times New Roman"/>
      <w:sz w:val="20"/>
      <w:szCs w:val="20"/>
    </w:rPr>
  </w:style>
  <w:style w:type="paragraph" w:customStyle="1" w:styleId="104">
    <w:name w:val="报告书正文"/>
    <w:basedOn w:val="1"/>
    <w:autoRedefine/>
    <w:qFormat/>
    <w:uiPriority w:val="0"/>
    <w:pPr>
      <w:adjustRightInd w:val="0"/>
      <w:snapToGrid w:val="0"/>
      <w:spacing w:line="360" w:lineRule="auto"/>
      <w:ind w:firstLine="425"/>
      <w:textAlignment w:val="baseline"/>
    </w:pPr>
    <w:rPr>
      <w:rFonts w:ascii="Arial" w:hAnsi="Arial" w:cs="Times New Roman"/>
      <w:kern w:val="0"/>
      <w:sz w:val="24"/>
      <w:szCs w:val="24"/>
    </w:rPr>
  </w:style>
  <w:style w:type="paragraph" w:customStyle="1" w:styleId="105">
    <w:name w:val="填表样式"/>
    <w:basedOn w:val="1"/>
    <w:autoRedefine/>
    <w:qFormat/>
    <w:uiPriority w:val="0"/>
    <w:pPr>
      <w:adjustRightInd w:val="0"/>
      <w:snapToGrid w:val="0"/>
      <w:spacing w:line="360" w:lineRule="auto"/>
      <w:ind w:firstLine="720" w:firstLineChars="200"/>
    </w:pPr>
  </w:style>
  <w:style w:type="paragraph" w:customStyle="1" w:styleId="106">
    <w:name w:val="文本"/>
    <w:basedOn w:val="1"/>
    <w:autoRedefine/>
    <w:qFormat/>
    <w:uiPriority w:val="0"/>
    <w:pPr>
      <w:adjustRightInd w:val="0"/>
      <w:jc w:val="left"/>
      <w:textAlignment w:val="baseline"/>
    </w:pPr>
    <w:rPr>
      <w:rFonts w:ascii="宋体"/>
      <w:kern w:val="0"/>
      <w:sz w:val="28"/>
      <w:szCs w:val="20"/>
    </w:rPr>
  </w:style>
  <w:style w:type="paragraph" w:customStyle="1" w:styleId="107">
    <w:name w:val="表中字"/>
    <w:basedOn w:val="1"/>
    <w:autoRedefine/>
    <w:qFormat/>
    <w:uiPriority w:val="0"/>
    <w:pPr>
      <w:spacing w:line="240" w:lineRule="atLeast"/>
      <w:jc w:val="center"/>
    </w:pPr>
    <w:rPr>
      <w:szCs w:val="22"/>
      <w:lang w:val="zh-CN"/>
    </w:rPr>
  </w:style>
  <w:style w:type="paragraph" w:customStyle="1" w:styleId="108">
    <w:name w:val="Table Text"/>
    <w:basedOn w:val="1"/>
    <w:autoRedefine/>
    <w:semiHidden/>
    <w:qFormat/>
    <w:uiPriority w:val="0"/>
    <w:rPr>
      <w:rFonts w:ascii="宋体" w:hAnsi="宋体" w:eastAsia="宋体" w:cs="宋体"/>
      <w:sz w:val="20"/>
      <w:szCs w:val="20"/>
      <w:lang w:val="en-US" w:eastAsia="en-US" w:bidi="ar-SA"/>
    </w:rPr>
  </w:style>
  <w:style w:type="paragraph" w:customStyle="1" w:styleId="109">
    <w:name w:val="首行缩进表格正文"/>
    <w:basedOn w:val="1"/>
    <w:autoRedefine/>
    <w:qFormat/>
    <w:uiPriority w:val="0"/>
    <w:pPr>
      <w:spacing w:line="360" w:lineRule="auto"/>
      <w:ind w:firstLine="720" w:firstLineChars="200"/>
      <w:jc w:val="left"/>
    </w:pPr>
    <w:rPr>
      <w:sz w:val="24"/>
    </w:rPr>
  </w:style>
  <w:style w:type="paragraph" w:customStyle="1" w:styleId="110">
    <w:name w:val="正文样式1"/>
    <w:basedOn w:val="1"/>
    <w:qFormat/>
    <w:uiPriority w:val="0"/>
    <w:pPr>
      <w:adjustRightInd w:val="0"/>
      <w:spacing w:line="288" w:lineRule="auto"/>
      <w:ind w:firstLine="360" w:firstLineChars="150"/>
      <w:textAlignment w:val="baseline"/>
    </w:pPr>
    <w:rPr>
      <w:rFonts w:ascii="Calibri" w:hAnsi="Calibri"/>
      <w:kern w:val="0"/>
      <w:sz w:val="24"/>
      <w:szCs w:val="20"/>
    </w:rPr>
  </w:style>
  <w:style w:type="character" w:customStyle="1" w:styleId="111">
    <w:name w:val="正文文本 字符"/>
    <w:basedOn w:val="37"/>
    <w:link w:val="10"/>
    <w:qFormat/>
    <w:uiPriority w:val="0"/>
  </w:style>
  <w:style w:type="character" w:customStyle="1" w:styleId="112">
    <w:name w:val="正文首行缩进 字符"/>
    <w:basedOn w:val="111"/>
    <w:link w:val="32"/>
    <w:qFormat/>
    <w:uiPriority w:val="0"/>
  </w:style>
  <w:style w:type="paragraph" w:customStyle="1" w:styleId="113">
    <w:name w:val="设计表格"/>
    <w:basedOn w:val="1"/>
    <w:qFormat/>
    <w:uiPriority w:val="0"/>
    <w:pPr>
      <w:adjustRightInd w:val="0"/>
      <w:jc w:val="center"/>
    </w:pPr>
    <w:rPr>
      <w:kern w:val="0"/>
      <w:sz w:val="24"/>
    </w:rPr>
  </w:style>
  <w:style w:type="paragraph" w:customStyle="1" w:styleId="114">
    <w:name w:val="表中表-居中"/>
    <w:basedOn w:val="1"/>
    <w:qFormat/>
    <w:uiPriority w:val="0"/>
    <w:pPr>
      <w:autoSpaceDE w:val="0"/>
      <w:autoSpaceDN w:val="0"/>
      <w:adjustRightInd w:val="0"/>
      <w:snapToGrid w:val="0"/>
      <w:jc w:val="center"/>
    </w:pPr>
    <w:rPr>
      <w:rFonts w:eastAsia="仿宋"/>
      <w:szCs w:val="21"/>
    </w:rPr>
  </w:style>
  <w:style w:type="paragraph" w:customStyle="1" w:styleId="115">
    <w:name w:val="表头和图片"/>
    <w:basedOn w:val="19"/>
    <w:next w:val="1"/>
    <w:autoRedefine/>
    <w:qFormat/>
    <w:uiPriority w:val="0"/>
    <w:pPr>
      <w:spacing w:line="480" w:lineRule="exact"/>
      <w:jc w:val="center"/>
    </w:pPr>
    <w:rPr>
      <w:rFonts w:ascii="Times New Roman" w:hAnsi="Times New Roman" w:eastAsia="黑体"/>
      <w:b/>
    </w:rPr>
  </w:style>
  <w:style w:type="paragraph" w:customStyle="1" w:styleId="116">
    <w:name w:val="WW-纯文本"/>
    <w:basedOn w:val="1"/>
    <w:autoRedefine/>
    <w:qFormat/>
    <w:uiPriority w:val="0"/>
    <w:pPr>
      <w:suppressAutoHyphens/>
      <w:spacing w:line="312" w:lineRule="atLeast"/>
      <w:textAlignment w:val="baseline"/>
    </w:pPr>
    <w:rPr>
      <w:rFonts w:ascii="宋体" w:hAnsi="宋体" w:eastAsia="楷体_GB2312" w:cs="Courier New"/>
      <w:szCs w:val="21"/>
    </w:rPr>
  </w:style>
  <w:style w:type="paragraph" w:customStyle="1" w:styleId="117">
    <w:name w:val="Char Char Char Char Char Char Char2"/>
    <w:basedOn w:val="1"/>
    <w:qFormat/>
    <w:uiPriority w:val="0"/>
    <w:pPr>
      <w:snapToGrid w:val="0"/>
      <w:spacing w:line="360" w:lineRule="auto"/>
      <w:ind w:firstLine="529" w:firstLineChars="200"/>
    </w:pPr>
    <w:rPr>
      <w:rFonts w:ascii="Times New Roman" w:hAnsi="Times New Roman" w:cs="Times New Roman"/>
      <w:szCs w:val="24"/>
    </w:rPr>
  </w:style>
  <w:style w:type="paragraph" w:customStyle="1" w:styleId="118">
    <w:name w:val="我的正文"/>
    <w:basedOn w:val="1"/>
    <w:autoRedefine/>
    <w:qFormat/>
    <w:uiPriority w:val="0"/>
    <w:pPr>
      <w:adjustRightInd w:val="0"/>
      <w:snapToGrid w:val="0"/>
      <w:spacing w:line="480" w:lineRule="exact"/>
      <w:ind w:firstLine="720" w:firstLineChars="200"/>
      <w:jc w:val="left"/>
    </w:pPr>
    <w:rPr>
      <w:rFonts w:ascii="Times New Roman" w:hAnsi="Times New Roman" w:eastAsia="宋体" w:cs="宋体"/>
      <w:bCs/>
      <w:szCs w:val="21"/>
    </w:rPr>
  </w:style>
  <w:style w:type="paragraph" w:customStyle="1" w:styleId="119">
    <w:name w:val="首行缩进2字符"/>
    <w:basedOn w:val="120"/>
    <w:qFormat/>
    <w:uiPriority w:val="0"/>
    <w:pPr>
      <w:ind w:firstLine="480"/>
    </w:pPr>
    <w:rPr>
      <w:color w:val="auto"/>
    </w:rPr>
  </w:style>
  <w:style w:type="paragraph" w:customStyle="1" w:styleId="120">
    <w:name w:val="AAA首行缩进2字符正文"/>
    <w:basedOn w:val="99"/>
    <w:qFormat/>
    <w:uiPriority w:val="0"/>
    <w:pPr>
      <w:adjustRightInd w:val="0"/>
      <w:snapToGrid w:val="0"/>
      <w:spacing w:line="500" w:lineRule="exact"/>
    </w:pPr>
    <w:rPr>
      <w:rFonts w:ascii="Times New Roman" w:hAnsi="Times New Roman" w:eastAsia="仿宋"/>
      <w:color w:val="4472C4" w:themeColor="accent5"/>
      <w:sz w:val="24"/>
      <w14:textFill>
        <w14:solidFill>
          <w14:schemeClr w14:val="accent5"/>
        </w14:solidFill>
      </w14:textFill>
    </w:rPr>
  </w:style>
  <w:style w:type="paragraph" w:customStyle="1" w:styleId="121">
    <w:name w:val="- 页码 -"/>
    <w:qFormat/>
    <w:uiPriority w:val="0"/>
    <w:pPr>
      <w:widowControl w:val="0"/>
      <w:spacing w:line="360" w:lineRule="auto"/>
      <w:ind w:firstLine="200" w:firstLineChars="200"/>
      <w:jc w:val="both"/>
    </w:pPr>
    <w:rPr>
      <w:rFonts w:ascii="Calibri" w:hAnsi="Calibri" w:eastAsia="宋体" w:cs="Times New Roman"/>
      <w:kern w:val="2"/>
      <w:sz w:val="24"/>
      <w:lang w:val="en-US" w:eastAsia="zh-CN" w:bidi="ar-SA"/>
    </w:rPr>
  </w:style>
  <w:style w:type="paragraph" w:customStyle="1" w:styleId="122">
    <w:name w:val="雪表头"/>
    <w:basedOn w:val="1"/>
    <w:next w:val="1"/>
    <w:qFormat/>
    <w:uiPriority w:val="0"/>
    <w:pPr>
      <w:keepNext/>
      <w:spacing w:line="500" w:lineRule="exact"/>
      <w:jc w:val="center"/>
    </w:pPr>
    <w:rPr>
      <w:rFonts w:eastAsia="黑体"/>
    </w:rPr>
  </w:style>
  <w:style w:type="paragraph" w:customStyle="1" w:styleId="123">
    <w:name w:val="表格中文字"/>
    <w:basedOn w:val="1"/>
    <w:qFormat/>
    <w:uiPriority w:val="0"/>
    <w:pPr>
      <w:spacing w:line="360" w:lineRule="exact"/>
      <w:ind w:firstLine="0" w:firstLineChars="0"/>
      <w:jc w:val="center"/>
    </w:pPr>
    <w:rPr>
      <w:kern w:val="0"/>
      <w:sz w:val="21"/>
      <w:szCs w:val="21"/>
    </w:rPr>
  </w:style>
  <w:style w:type="paragraph" w:customStyle="1" w:styleId="124">
    <w:name w:val="表表头"/>
    <w:basedOn w:val="1"/>
    <w:qFormat/>
    <w:uiPriority w:val="0"/>
    <w:pPr>
      <w:ind w:firstLine="0" w:firstLineChars="0"/>
      <w:jc w:val="center"/>
    </w:pPr>
    <w:rPr>
      <w:rFonts w:eastAsia="黑体"/>
    </w:rPr>
  </w:style>
  <w:style w:type="paragraph" w:customStyle="1" w:styleId="125">
    <w:name w:val="居中表格内容"/>
    <w:basedOn w:val="1"/>
    <w:autoRedefine/>
    <w:qFormat/>
    <w:uiPriority w:val="0"/>
    <w:pPr>
      <w:jc w:val="center"/>
    </w:pPr>
    <w:rPr>
      <w:rFonts w:hint="eastAsia" w:eastAsia="宋体"/>
      <w:szCs w:val="20"/>
    </w:rPr>
  </w:style>
  <w:style w:type="paragraph" w:customStyle="1" w:styleId="126">
    <w:name w:val="《正文》"/>
    <w:basedOn w:val="1"/>
    <w:qFormat/>
    <w:uiPriority w:val="0"/>
    <w:pPr>
      <w:spacing w:line="360" w:lineRule="auto"/>
      <w:ind w:firstLine="200" w:firstLineChars="200"/>
    </w:pPr>
    <w:rPr>
      <w:sz w:val="24"/>
    </w:rPr>
  </w:style>
  <w:style w:type="paragraph" w:customStyle="1" w:styleId="127">
    <w:name w:val="报告表正文"/>
    <w:basedOn w:val="1"/>
    <w:qFormat/>
    <w:uiPriority w:val="0"/>
    <w:pPr>
      <w:spacing w:line="360" w:lineRule="auto"/>
      <w:ind w:firstLine="720" w:firstLineChars="200"/>
    </w:pPr>
    <w:rPr>
      <w:rFonts w:hint="eastAsia" w:ascii="Times New Roman" w:hAnsi="Times New Roman" w:eastAsia="宋体"/>
      <w:sz w:val="24"/>
    </w:rPr>
  </w:style>
  <w:style w:type="paragraph" w:customStyle="1" w:styleId="128">
    <w:name w:val="表格里"/>
    <w:basedOn w:val="63"/>
    <w:next w:val="63"/>
    <w:qFormat/>
    <w:uiPriority w:val="0"/>
    <w:pPr>
      <w:spacing w:line="240" w:lineRule="auto"/>
      <w:ind w:firstLine="0" w:firstLineChars="0"/>
      <w:jc w:val="center"/>
    </w:pPr>
    <w:rPr>
      <w:rFonts w:ascii="Times New Roman" w:hAnsi="Times New Roman" w:cs="Times New Roman"/>
      <w:snapToGrid w:val="0"/>
    </w:rPr>
  </w:style>
  <w:style w:type="paragraph" w:customStyle="1" w:styleId="129">
    <w:name w:val="报告正文"/>
    <w:basedOn w:val="1"/>
    <w:qFormat/>
    <w:uiPriority w:val="0"/>
    <w:pPr>
      <w:spacing w:line="360" w:lineRule="auto"/>
      <w:ind w:firstLine="720" w:firstLineChars="200"/>
    </w:pPr>
    <w:rPr>
      <w:rFonts w:ascii="Times New Roman" w:hAnsi="Times New Roman" w:eastAsia="宋体" w:cs="Times New Roman"/>
      <w:sz w:val="24"/>
      <w:szCs w:val="24"/>
    </w:rPr>
  </w:style>
  <w:style w:type="paragraph" w:customStyle="1" w:styleId="130">
    <w:name w:val="JM正文 表格  居中"/>
    <w:basedOn w:val="1"/>
    <w:next w:val="1"/>
    <w:autoRedefine/>
    <w:qFormat/>
    <w:uiPriority w:val="0"/>
    <w:pPr>
      <w:jc w:val="center"/>
    </w:pPr>
  </w:style>
  <w:style w:type="paragraph" w:customStyle="1" w:styleId="131">
    <w:name w:val="【表中文字+左对齐】"/>
    <w:basedOn w:val="58"/>
    <w:qFormat/>
    <w:uiPriority w:val="0"/>
    <w:pPr>
      <w:jc w:val="both"/>
    </w:pPr>
  </w:style>
</w:styles>
</file>

<file path=word/_rels/document.xml.rels><?xml version="1.0" encoding="UTF-8" standalone="yes"?>
<Relationships xmlns="http://schemas.openxmlformats.org/package/2006/relationships"><Relationship Id="rId98" Type="http://schemas.openxmlformats.org/officeDocument/2006/relationships/fontTable" Target="fontTable.xml"/><Relationship Id="rId97" Type="http://schemas.openxmlformats.org/officeDocument/2006/relationships/numbering" Target="numbering.xml"/><Relationship Id="rId96" Type="http://schemas.openxmlformats.org/officeDocument/2006/relationships/customXml" Target="../customXml/item1.xml"/><Relationship Id="rId95" Type="http://schemas.openxmlformats.org/officeDocument/2006/relationships/image" Target="media/image76.png"/><Relationship Id="rId94" Type="http://schemas.openxmlformats.org/officeDocument/2006/relationships/image" Target="media/image75.png"/><Relationship Id="rId93" Type="http://schemas.openxmlformats.org/officeDocument/2006/relationships/image" Target="media/image74.png"/><Relationship Id="rId92" Type="http://schemas.openxmlformats.org/officeDocument/2006/relationships/image" Target="media/image73.png"/><Relationship Id="rId91" Type="http://schemas.openxmlformats.org/officeDocument/2006/relationships/image" Target="media/image72.png"/><Relationship Id="rId90" Type="http://schemas.openxmlformats.org/officeDocument/2006/relationships/image" Target="media/image71.png"/><Relationship Id="rId9" Type="http://schemas.openxmlformats.org/officeDocument/2006/relationships/footer" Target="footer7.xml"/><Relationship Id="rId89" Type="http://schemas.openxmlformats.org/officeDocument/2006/relationships/image" Target="media/image70.png"/><Relationship Id="rId88" Type="http://schemas.openxmlformats.org/officeDocument/2006/relationships/image" Target="media/image69.png"/><Relationship Id="rId87" Type="http://schemas.openxmlformats.org/officeDocument/2006/relationships/image" Target="media/image68.png"/><Relationship Id="rId86" Type="http://schemas.openxmlformats.org/officeDocument/2006/relationships/image" Target="media/image67.png"/><Relationship Id="rId85" Type="http://schemas.openxmlformats.org/officeDocument/2006/relationships/image" Target="media/image66.png"/><Relationship Id="rId84" Type="http://schemas.openxmlformats.org/officeDocument/2006/relationships/image" Target="media/image65.png"/><Relationship Id="rId83" Type="http://schemas.openxmlformats.org/officeDocument/2006/relationships/image" Target="media/image64.jpeg"/><Relationship Id="rId82" Type="http://schemas.openxmlformats.org/officeDocument/2006/relationships/image" Target="media/image63.jpeg"/><Relationship Id="rId81" Type="http://schemas.openxmlformats.org/officeDocument/2006/relationships/image" Target="media/image62.jpeg"/><Relationship Id="rId80" Type="http://schemas.openxmlformats.org/officeDocument/2006/relationships/image" Target="media/image61.jpeg"/><Relationship Id="rId8" Type="http://schemas.openxmlformats.org/officeDocument/2006/relationships/footer" Target="footer6.xml"/><Relationship Id="rId79" Type="http://schemas.openxmlformats.org/officeDocument/2006/relationships/image" Target="media/image60.jpeg"/><Relationship Id="rId78" Type="http://schemas.openxmlformats.org/officeDocument/2006/relationships/image" Target="media/image59.jpeg"/><Relationship Id="rId77" Type="http://schemas.openxmlformats.org/officeDocument/2006/relationships/image" Target="media/image58.jpeg"/><Relationship Id="rId76" Type="http://schemas.openxmlformats.org/officeDocument/2006/relationships/image" Target="media/image57.jpeg"/><Relationship Id="rId75" Type="http://schemas.openxmlformats.org/officeDocument/2006/relationships/image" Target="media/image56.jpeg"/><Relationship Id="rId74" Type="http://schemas.openxmlformats.org/officeDocument/2006/relationships/image" Target="media/image55.png"/><Relationship Id="rId73" Type="http://schemas.openxmlformats.org/officeDocument/2006/relationships/image" Target="media/image54.png"/><Relationship Id="rId72" Type="http://schemas.openxmlformats.org/officeDocument/2006/relationships/image" Target="media/image53.png"/><Relationship Id="rId71" Type="http://schemas.openxmlformats.org/officeDocument/2006/relationships/image" Target="media/image52.png"/><Relationship Id="rId70" Type="http://schemas.openxmlformats.org/officeDocument/2006/relationships/image" Target="media/image51.png"/><Relationship Id="rId7" Type="http://schemas.openxmlformats.org/officeDocument/2006/relationships/footer" Target="footer5.xml"/><Relationship Id="rId69" Type="http://schemas.openxmlformats.org/officeDocument/2006/relationships/image" Target="media/image50.png"/><Relationship Id="rId68" Type="http://schemas.openxmlformats.org/officeDocument/2006/relationships/image" Target="media/image49.png"/><Relationship Id="rId67" Type="http://schemas.openxmlformats.org/officeDocument/2006/relationships/image" Target="media/image48.png"/><Relationship Id="rId66" Type="http://schemas.openxmlformats.org/officeDocument/2006/relationships/image" Target="media/image47.png"/><Relationship Id="rId65" Type="http://schemas.openxmlformats.org/officeDocument/2006/relationships/image" Target="media/image46.png"/><Relationship Id="rId64" Type="http://schemas.openxmlformats.org/officeDocument/2006/relationships/image" Target="media/image45.png"/><Relationship Id="rId63" Type="http://schemas.openxmlformats.org/officeDocument/2006/relationships/image" Target="media/image44.png"/><Relationship Id="rId62" Type="http://schemas.openxmlformats.org/officeDocument/2006/relationships/image" Target="media/image43.png"/><Relationship Id="rId61" Type="http://schemas.openxmlformats.org/officeDocument/2006/relationships/image" Target="media/image42.png"/><Relationship Id="rId60" Type="http://schemas.openxmlformats.org/officeDocument/2006/relationships/image" Target="media/image41.png"/><Relationship Id="rId6" Type="http://schemas.openxmlformats.org/officeDocument/2006/relationships/footer" Target="footer4.xml"/><Relationship Id="rId59" Type="http://schemas.openxmlformats.org/officeDocument/2006/relationships/image" Target="media/image40.png"/><Relationship Id="rId58" Type="http://schemas.openxmlformats.org/officeDocument/2006/relationships/image" Target="media/image39.png"/><Relationship Id="rId57" Type="http://schemas.openxmlformats.org/officeDocument/2006/relationships/image" Target="media/image38.png"/><Relationship Id="rId56" Type="http://schemas.openxmlformats.org/officeDocument/2006/relationships/image" Target="media/image37.png"/><Relationship Id="rId55" Type="http://schemas.openxmlformats.org/officeDocument/2006/relationships/image" Target="media/image36.png"/><Relationship Id="rId54" Type="http://schemas.openxmlformats.org/officeDocument/2006/relationships/image" Target="media/image35.png"/><Relationship Id="rId53" Type="http://schemas.openxmlformats.org/officeDocument/2006/relationships/image" Target="media/image34.png"/><Relationship Id="rId52" Type="http://schemas.openxmlformats.org/officeDocument/2006/relationships/image" Target="media/image33.jpeg"/><Relationship Id="rId51" Type="http://schemas.openxmlformats.org/officeDocument/2006/relationships/image" Target="media/image32.jpeg"/><Relationship Id="rId50" Type="http://schemas.openxmlformats.org/officeDocument/2006/relationships/image" Target="media/image31.jpeg"/><Relationship Id="rId5" Type="http://schemas.openxmlformats.org/officeDocument/2006/relationships/footer" Target="footer3.xml"/><Relationship Id="rId49" Type="http://schemas.openxmlformats.org/officeDocument/2006/relationships/image" Target="media/image30.jpeg"/><Relationship Id="rId48" Type="http://schemas.openxmlformats.org/officeDocument/2006/relationships/image" Target="media/image29.png"/><Relationship Id="rId47" Type="http://schemas.openxmlformats.org/officeDocument/2006/relationships/image" Target="media/image28.png"/><Relationship Id="rId46" Type="http://schemas.openxmlformats.org/officeDocument/2006/relationships/image" Target="media/image27.png"/><Relationship Id="rId45" Type="http://schemas.openxmlformats.org/officeDocument/2006/relationships/image" Target="media/image26.wmf"/><Relationship Id="rId44" Type="http://schemas.openxmlformats.org/officeDocument/2006/relationships/oleObject" Target="embeddings/oleObject8.bin"/><Relationship Id="rId43" Type="http://schemas.openxmlformats.org/officeDocument/2006/relationships/image" Target="media/image25.wmf"/><Relationship Id="rId42" Type="http://schemas.openxmlformats.org/officeDocument/2006/relationships/oleObject" Target="embeddings/oleObject7.bin"/><Relationship Id="rId41" Type="http://schemas.openxmlformats.org/officeDocument/2006/relationships/image" Target="media/image24.wmf"/><Relationship Id="rId40" Type="http://schemas.openxmlformats.org/officeDocument/2006/relationships/oleObject" Target="embeddings/oleObject6.bin"/><Relationship Id="rId4" Type="http://schemas.openxmlformats.org/officeDocument/2006/relationships/footer" Target="footer2.xml"/><Relationship Id="rId39" Type="http://schemas.openxmlformats.org/officeDocument/2006/relationships/image" Target="media/image23.wmf"/><Relationship Id="rId38" Type="http://schemas.openxmlformats.org/officeDocument/2006/relationships/oleObject" Target="embeddings/oleObject5.bin"/><Relationship Id="rId37" Type="http://schemas.openxmlformats.org/officeDocument/2006/relationships/image" Target="media/image22.wmf"/><Relationship Id="rId36" Type="http://schemas.openxmlformats.org/officeDocument/2006/relationships/oleObject" Target="embeddings/oleObject4.bin"/><Relationship Id="rId35" Type="http://schemas.openxmlformats.org/officeDocument/2006/relationships/image" Target="media/image21.wmf"/><Relationship Id="rId34" Type="http://schemas.openxmlformats.org/officeDocument/2006/relationships/oleObject" Target="embeddings/oleObject3.bin"/><Relationship Id="rId33" Type="http://schemas.openxmlformats.org/officeDocument/2006/relationships/image" Target="media/image20.wmf"/><Relationship Id="rId32" Type="http://schemas.openxmlformats.org/officeDocument/2006/relationships/oleObject" Target="embeddings/oleObject2.bin"/><Relationship Id="rId31" Type="http://schemas.openxmlformats.org/officeDocument/2006/relationships/image" Target="media/image19.wmf"/><Relationship Id="rId30" Type="http://schemas.openxmlformats.org/officeDocument/2006/relationships/image" Target="media/image18.png"/><Relationship Id="rId3" Type="http://schemas.openxmlformats.org/officeDocument/2006/relationships/footer" Target="footer1.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jpeg"/><Relationship Id="rId20" Type="http://schemas.openxmlformats.org/officeDocument/2006/relationships/image" Target="media/image8.jpeg"/><Relationship Id="rId2" Type="http://schemas.openxmlformats.org/officeDocument/2006/relationships/settings" Target="settings.xml"/><Relationship Id="rId19" Type="http://schemas.openxmlformats.org/officeDocument/2006/relationships/image" Target="media/image7.jpeg"/><Relationship Id="rId18" Type="http://schemas.openxmlformats.org/officeDocument/2006/relationships/image" Target="media/image6.emf"/><Relationship Id="rId17" Type="http://schemas.openxmlformats.org/officeDocument/2006/relationships/oleObject" Target="embeddings/oleObject1.bin"/><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115</Pages>
  <Words>15565</Words>
  <Characters>16746</Characters>
  <Lines>188</Lines>
  <Paragraphs>53</Paragraphs>
  <TotalTime>22</TotalTime>
  <ScaleCrop>false</ScaleCrop>
  <LinksUpToDate>false</LinksUpToDate>
  <CharactersWithSpaces>16893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2021-03-10T16:40:00Z</dcterms:created>
  <dc:creator>嘤萦影映</dc:creator>
  <cp:lastModifiedBy>维维豆奶❤️</cp:lastModifiedBy>
  <cp:lastPrinted>2024-10-17T06:21:00Z</cp:lastPrinted>
  <dcterms:modified xsi:type="dcterms:W3CDTF">2026-09-08T02:53:59Z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A58A3F5327AB401FA06E4F2150AD99D4_13</vt:lpwstr>
  </property>
  <property fmtid="{D5CDD505-2E9C-101B-9397-08002B2CF9AE}" pid="4" name="KSOTemplateDocerSaveRecord">
    <vt:lpwstr>eyJoZGlkIjoiZTRhNGNkZDhlMTA2ODdkMTVkMjljNDYwZWM5NmE1NzciLCJ1c2VySWQiOiIyMzIyMDEwNDQifQ==</vt:lpwstr>
  </property>
</Properties>
</file>