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CEFF2">
      <w:pPr>
        <w:rPr>
          <w:rFonts w:hint="default" w:ascii="Times New Roman" w:hAnsi="Times New Roman" w:eastAsia="宋体" w:cs="Times New Roman"/>
          <w:color w:val="auto"/>
          <w:sz w:val="36"/>
          <w:szCs w:val="36"/>
          <w:highlight w:val="none"/>
          <w:lang w:val="en-US" w:eastAsia="zh-CN"/>
        </w:rPr>
      </w:pPr>
    </w:p>
    <w:p w14:paraId="26EEA7F4">
      <w:pPr>
        <w:rPr>
          <w:rFonts w:hint="default" w:ascii="Times New Roman" w:hAnsi="Times New Roman" w:eastAsia="宋体" w:cs="Times New Roman"/>
          <w:color w:val="auto"/>
          <w:sz w:val="36"/>
          <w:szCs w:val="36"/>
          <w:highlight w:val="none"/>
        </w:rPr>
      </w:pPr>
    </w:p>
    <w:p w14:paraId="6306BBD7">
      <w:pPr>
        <w:rPr>
          <w:rFonts w:hint="default" w:ascii="Times New Roman" w:hAnsi="Times New Roman" w:eastAsia="宋体" w:cs="Times New Roman"/>
          <w:color w:val="auto"/>
          <w:sz w:val="36"/>
          <w:szCs w:val="36"/>
          <w:highlight w:val="none"/>
        </w:rPr>
      </w:pPr>
    </w:p>
    <w:p w14:paraId="4C86EA11">
      <w:pPr>
        <w:rPr>
          <w:rFonts w:hint="default" w:ascii="Times New Roman" w:hAnsi="Times New Roman" w:eastAsia="宋体" w:cs="Times New Roman"/>
          <w:color w:val="auto"/>
          <w:sz w:val="36"/>
          <w:szCs w:val="36"/>
          <w:highlight w:val="none"/>
        </w:rPr>
      </w:pPr>
    </w:p>
    <w:p w14:paraId="7B1AABFB">
      <w:pPr>
        <w:rPr>
          <w:rFonts w:hint="default" w:ascii="Times New Roman" w:hAnsi="Times New Roman" w:eastAsia="宋体" w:cs="Times New Roman"/>
          <w:color w:val="auto"/>
          <w:sz w:val="36"/>
          <w:szCs w:val="36"/>
          <w:highlight w:val="none"/>
        </w:rPr>
      </w:pPr>
    </w:p>
    <w:p w14:paraId="3260ACCD">
      <w:pPr>
        <w:adjustRightInd w:val="0"/>
        <w:snapToGrid w:val="0"/>
        <w:jc w:val="center"/>
        <w:outlineLvl w:val="9"/>
        <w:rPr>
          <w:rFonts w:hint="default" w:ascii="Times New Roman" w:hAnsi="Times New Roman" w:eastAsia="宋体" w:cs="Times New Roman"/>
          <w:bCs/>
          <w:color w:val="auto"/>
          <w:sz w:val="52"/>
          <w:szCs w:val="52"/>
          <w:highlight w:val="none"/>
        </w:rPr>
      </w:pPr>
      <w:bookmarkStart w:id="0" w:name="_Toc31172"/>
      <w:r>
        <w:rPr>
          <w:rFonts w:hint="default" w:ascii="Times New Roman" w:hAnsi="Times New Roman" w:eastAsia="宋体" w:cs="Times New Roman"/>
          <w:bCs/>
          <w:color w:val="auto"/>
          <w:sz w:val="52"/>
          <w:szCs w:val="52"/>
          <w:highlight w:val="none"/>
        </w:rPr>
        <w:t>建设项目</w:t>
      </w:r>
      <w:r>
        <w:rPr>
          <w:rFonts w:hint="eastAsia" w:cs="Times New Roman"/>
          <w:bCs/>
          <w:color w:val="auto"/>
          <w:sz w:val="52"/>
          <w:szCs w:val="52"/>
          <w:highlight w:val="none"/>
          <w:lang w:val="en-US" w:eastAsia="zh-CN"/>
        </w:rPr>
        <w:t>生态</w:t>
      </w:r>
      <w:r>
        <w:rPr>
          <w:rFonts w:hint="default" w:ascii="Times New Roman" w:hAnsi="Times New Roman" w:eastAsia="宋体" w:cs="Times New Roman"/>
          <w:bCs/>
          <w:color w:val="auto"/>
          <w:sz w:val="52"/>
          <w:szCs w:val="52"/>
          <w:highlight w:val="none"/>
        </w:rPr>
        <w:t>环境影响报告表</w:t>
      </w:r>
      <w:bookmarkEnd w:id="0"/>
    </w:p>
    <w:p w14:paraId="7DB44F0A">
      <w:pPr>
        <w:adjustRightInd w:val="0"/>
        <w:snapToGrid w:val="0"/>
        <w:spacing w:before="192" w:beforeLines="80"/>
        <w:jc w:val="center"/>
        <w:rPr>
          <w:rFonts w:hint="default" w:ascii="Times New Roman" w:hAnsi="Times New Roman" w:eastAsia="宋体" w:cs="Times New Roman"/>
          <w:bCs/>
          <w:color w:val="auto"/>
          <w:sz w:val="48"/>
          <w:szCs w:val="48"/>
          <w:highlight w:val="none"/>
        </w:rPr>
      </w:pPr>
      <w:r>
        <w:rPr>
          <w:rFonts w:hint="default" w:ascii="Times New Roman" w:hAnsi="Times New Roman" w:eastAsia="宋体" w:cs="Times New Roman"/>
          <w:bCs/>
          <w:color w:val="auto"/>
          <w:sz w:val="48"/>
          <w:szCs w:val="48"/>
          <w:highlight w:val="none"/>
        </w:rPr>
        <w:t>（污染影响类）</w:t>
      </w:r>
    </w:p>
    <w:p w14:paraId="3FCFFA5A">
      <w:pPr>
        <w:adjustRightInd w:val="0"/>
        <w:snapToGrid w:val="0"/>
        <w:spacing w:line="288" w:lineRule="auto"/>
        <w:jc w:val="center"/>
        <w:outlineLvl w:val="9"/>
        <w:rPr>
          <w:rFonts w:hint="default" w:ascii="Times New Roman" w:hAnsi="Times New Roman" w:eastAsia="宋体" w:cs="Times New Roman"/>
          <w:color w:val="auto"/>
          <w:kern w:val="44"/>
          <w:sz w:val="44"/>
          <w:szCs w:val="44"/>
          <w:highlight w:val="none"/>
        </w:rPr>
      </w:pPr>
    </w:p>
    <w:p w14:paraId="1DD43CB4">
      <w:pPr>
        <w:tabs>
          <w:tab w:val="left" w:pos="5997"/>
        </w:tabs>
        <w:jc w:val="left"/>
        <w:rPr>
          <w:rFonts w:hint="default" w:ascii="Times New Roman" w:hAnsi="Times New Roman" w:eastAsia="宋体" w:cs="Times New Roman"/>
          <w:color w:val="auto"/>
          <w:sz w:val="52"/>
          <w:szCs w:val="52"/>
          <w:highlight w:val="none"/>
        </w:rPr>
      </w:pPr>
      <w:r>
        <w:rPr>
          <w:rFonts w:hint="default" w:ascii="Times New Roman" w:hAnsi="Times New Roman" w:eastAsia="宋体" w:cs="Times New Roman"/>
          <w:color w:val="auto"/>
          <w:sz w:val="52"/>
          <w:szCs w:val="52"/>
          <w:highlight w:val="none"/>
        </w:rPr>
        <w:tab/>
      </w:r>
    </w:p>
    <w:p w14:paraId="157F0F81">
      <w:pPr>
        <w:ind w:firstLine="1040"/>
        <w:rPr>
          <w:rFonts w:hint="default" w:ascii="Times New Roman" w:hAnsi="Times New Roman" w:eastAsia="宋体" w:cs="Times New Roman"/>
          <w:color w:val="auto"/>
          <w:sz w:val="44"/>
          <w:szCs w:val="44"/>
          <w:highlight w:val="none"/>
        </w:rPr>
      </w:pPr>
    </w:p>
    <w:p w14:paraId="16739343">
      <w:pPr>
        <w:ind w:firstLine="1040"/>
        <w:rPr>
          <w:rFonts w:hint="default" w:ascii="Times New Roman" w:hAnsi="Times New Roman" w:eastAsia="宋体" w:cs="Times New Roman"/>
          <w:color w:val="auto"/>
          <w:sz w:val="44"/>
          <w:szCs w:val="44"/>
          <w:highlight w:val="none"/>
        </w:rPr>
      </w:pPr>
    </w:p>
    <w:p w14:paraId="6842310A">
      <w:pPr>
        <w:ind w:firstLine="1040"/>
        <w:rPr>
          <w:rFonts w:hint="default" w:ascii="Times New Roman" w:hAnsi="Times New Roman" w:eastAsia="宋体" w:cs="Times New Roman"/>
          <w:color w:val="auto"/>
          <w:sz w:val="44"/>
          <w:szCs w:val="44"/>
          <w:highlight w:val="none"/>
        </w:rPr>
      </w:pPr>
    </w:p>
    <w:p w14:paraId="527A4DBD">
      <w:pPr>
        <w:ind w:firstLine="1040"/>
        <w:rPr>
          <w:rFonts w:hint="default" w:ascii="Times New Roman" w:hAnsi="Times New Roman" w:eastAsia="宋体" w:cs="Times New Roman"/>
          <w:color w:val="auto"/>
          <w:sz w:val="44"/>
          <w:szCs w:val="44"/>
          <w:highlight w:val="none"/>
        </w:rPr>
      </w:pPr>
    </w:p>
    <w:p w14:paraId="46406824">
      <w:pPr>
        <w:adjustRightInd w:val="0"/>
        <w:snapToGrid w:val="0"/>
        <w:spacing w:line="288" w:lineRule="auto"/>
        <w:ind w:left="1918" w:leftChars="304" w:hanging="1280" w:hangingChars="400"/>
        <w:rPr>
          <w:rFonts w:hint="default" w:ascii="Times New Roman" w:hAnsi="Times New Roman" w:eastAsia="宋体" w:cs="Times New Roman"/>
          <w:color w:val="auto"/>
          <w:sz w:val="32"/>
          <w:szCs w:val="32"/>
          <w:highlight w:val="none"/>
          <w:u w:val="single"/>
        </w:rPr>
      </w:pPr>
      <w:r>
        <w:rPr>
          <w:rFonts w:hint="default" w:ascii="Times New Roman" w:hAnsi="Times New Roman" w:eastAsia="宋体" w:cs="Times New Roman"/>
          <w:color w:val="auto"/>
          <w:sz w:val="32"/>
          <w:szCs w:val="32"/>
          <w:highlight w:val="none"/>
        </w:rPr>
        <w:t>项目名称：</w:t>
      </w:r>
      <w:r>
        <w:rPr>
          <w:rFonts w:hint="eastAsia" w:cs="Times New Roman"/>
          <w:color w:val="auto"/>
          <w:sz w:val="32"/>
          <w:szCs w:val="32"/>
          <w:highlight w:val="none"/>
          <w:u w:val="single"/>
          <w:lang w:val="en-US" w:eastAsia="zh-CN"/>
        </w:rPr>
        <w:t>黑龙江省锦畴粮食贸易有限公司建设项目</w:t>
      </w:r>
    </w:p>
    <w:p w14:paraId="14353479">
      <w:pPr>
        <w:adjustRightInd w:val="0"/>
        <w:snapToGrid w:val="0"/>
        <w:spacing w:line="288" w:lineRule="auto"/>
        <w:ind w:firstLine="640" w:firstLineChars="200"/>
        <w:rPr>
          <w:rFonts w:hint="default" w:ascii="Times New Roman" w:hAnsi="Times New Roman" w:eastAsia="宋体" w:cs="Times New Roman"/>
          <w:color w:val="auto"/>
          <w:sz w:val="32"/>
          <w:szCs w:val="32"/>
          <w:highlight w:val="none"/>
          <w:u w:val="single"/>
          <w:lang w:val="en-US"/>
        </w:rPr>
      </w:pPr>
      <w:r>
        <w:rPr>
          <w:rFonts w:hint="default" w:ascii="Times New Roman" w:hAnsi="Times New Roman" w:eastAsia="宋体" w:cs="Times New Roman"/>
          <w:color w:val="auto"/>
          <w:sz w:val="32"/>
          <w:szCs w:val="32"/>
          <w:highlight w:val="none"/>
        </w:rPr>
        <w:t>建设单位（盖章）：</w:t>
      </w:r>
      <w:r>
        <w:rPr>
          <w:rFonts w:hint="eastAsia" w:cs="Times New Roman"/>
          <w:color w:val="auto"/>
          <w:sz w:val="32"/>
          <w:szCs w:val="32"/>
          <w:highlight w:val="none"/>
          <w:u w:val="single"/>
          <w:lang w:val="en-US" w:eastAsia="zh-CN"/>
        </w:rPr>
        <w:t>黑龙江省锦畴粮食贸易有限公司</w:t>
      </w:r>
    </w:p>
    <w:p w14:paraId="050CDD4C">
      <w:pPr>
        <w:adjustRightInd w:val="0"/>
        <w:snapToGrid w:val="0"/>
        <w:spacing w:line="288" w:lineRule="auto"/>
        <w:ind w:firstLine="640" w:firstLineChars="200"/>
        <w:rPr>
          <w:rFonts w:hint="default" w:ascii="Times New Roman" w:hAnsi="Times New Roman" w:eastAsia="宋体" w:cs="Times New Roman"/>
          <w:color w:val="auto"/>
          <w:sz w:val="32"/>
          <w:szCs w:val="32"/>
          <w:highlight w:val="none"/>
          <w:u w:val="single"/>
          <w:lang w:val="en-US" w:eastAsia="zh-CN"/>
        </w:rPr>
      </w:pPr>
      <w:r>
        <w:rPr>
          <w:rFonts w:hint="default" w:ascii="Times New Roman" w:hAnsi="Times New Roman" w:eastAsia="宋体" w:cs="Times New Roman"/>
          <w:color w:val="auto"/>
          <w:sz w:val="32"/>
          <w:szCs w:val="32"/>
          <w:highlight w:val="none"/>
        </w:rPr>
        <w:t>编制日期：</w:t>
      </w:r>
      <w:r>
        <w:rPr>
          <w:rFonts w:hint="default" w:ascii="Times New Roman" w:hAnsi="Times New Roman" w:eastAsia="宋体" w:cs="Times New Roman"/>
          <w:color w:val="auto"/>
          <w:sz w:val="32"/>
          <w:szCs w:val="32"/>
          <w:highlight w:val="none"/>
          <w:u w:val="single"/>
        </w:rPr>
        <w:t>202</w:t>
      </w:r>
      <w:r>
        <w:rPr>
          <w:rFonts w:hint="eastAsia" w:cs="Times New Roman"/>
          <w:color w:val="auto"/>
          <w:sz w:val="32"/>
          <w:szCs w:val="32"/>
          <w:highlight w:val="none"/>
          <w:u w:val="single"/>
          <w:lang w:val="en-US" w:eastAsia="zh-CN"/>
        </w:rPr>
        <w:t>6</w:t>
      </w:r>
      <w:r>
        <w:rPr>
          <w:rFonts w:hint="default" w:ascii="Times New Roman" w:hAnsi="Times New Roman" w:eastAsia="宋体" w:cs="Times New Roman"/>
          <w:color w:val="auto"/>
          <w:sz w:val="32"/>
          <w:szCs w:val="32"/>
          <w:highlight w:val="none"/>
          <w:u w:val="single"/>
        </w:rPr>
        <w:t>年</w:t>
      </w:r>
      <w:r>
        <w:rPr>
          <w:rFonts w:hint="eastAsia" w:cs="Times New Roman"/>
          <w:color w:val="auto"/>
          <w:sz w:val="32"/>
          <w:szCs w:val="32"/>
          <w:highlight w:val="none"/>
          <w:u w:val="single"/>
          <w:lang w:val="en-US" w:eastAsia="zh-CN"/>
        </w:rPr>
        <w:t>9</w:t>
      </w:r>
      <w:r>
        <w:rPr>
          <w:rFonts w:hint="default" w:ascii="Times New Roman" w:hAnsi="Times New Roman" w:eastAsia="宋体" w:cs="Times New Roman"/>
          <w:color w:val="auto"/>
          <w:sz w:val="32"/>
          <w:szCs w:val="32"/>
          <w:highlight w:val="none"/>
          <w:u w:val="single"/>
        </w:rPr>
        <w:t>月</w:t>
      </w:r>
    </w:p>
    <w:p w14:paraId="2C4E6F0D">
      <w:pPr>
        <w:adjustRightInd w:val="0"/>
        <w:snapToGrid w:val="0"/>
        <w:spacing w:line="288" w:lineRule="auto"/>
        <w:ind w:firstLine="1040"/>
        <w:rPr>
          <w:rFonts w:hint="default" w:ascii="Times New Roman" w:hAnsi="Times New Roman" w:eastAsia="宋体" w:cs="Times New Roman"/>
          <w:color w:val="auto"/>
          <w:sz w:val="36"/>
          <w:szCs w:val="36"/>
          <w:highlight w:val="none"/>
          <w:u w:val="single"/>
        </w:rPr>
      </w:pPr>
      <w:bookmarkStart w:id="1" w:name="_Hlk57884087"/>
    </w:p>
    <w:p w14:paraId="01FE13DD">
      <w:pPr>
        <w:adjustRightInd w:val="0"/>
        <w:snapToGrid w:val="0"/>
        <w:spacing w:line="288" w:lineRule="auto"/>
        <w:ind w:firstLine="1040"/>
        <w:rPr>
          <w:rFonts w:hint="default" w:ascii="Times New Roman" w:hAnsi="Times New Roman" w:eastAsia="宋体" w:cs="Times New Roman"/>
          <w:color w:val="auto"/>
          <w:sz w:val="36"/>
          <w:szCs w:val="36"/>
          <w:highlight w:val="none"/>
        </w:rPr>
      </w:pPr>
    </w:p>
    <w:p w14:paraId="01DB8866">
      <w:pPr>
        <w:adjustRightInd w:val="0"/>
        <w:snapToGrid w:val="0"/>
        <w:spacing w:line="288" w:lineRule="auto"/>
        <w:ind w:firstLine="1040"/>
        <w:rPr>
          <w:rFonts w:hint="default" w:ascii="Times New Roman" w:hAnsi="Times New Roman" w:eastAsia="宋体" w:cs="Times New Roman"/>
          <w:color w:val="auto"/>
          <w:sz w:val="36"/>
          <w:szCs w:val="36"/>
          <w:highlight w:val="none"/>
        </w:rPr>
      </w:pPr>
    </w:p>
    <w:p w14:paraId="6BC12794">
      <w:pPr>
        <w:adjustRightInd w:val="0"/>
        <w:snapToGrid w:val="0"/>
        <w:spacing w:line="288" w:lineRule="auto"/>
        <w:ind w:firstLine="1040"/>
        <w:rPr>
          <w:rFonts w:hint="default" w:ascii="Times New Roman" w:hAnsi="Times New Roman" w:eastAsia="宋体" w:cs="Times New Roman"/>
          <w:color w:val="auto"/>
          <w:sz w:val="36"/>
          <w:szCs w:val="36"/>
          <w:highlight w:val="none"/>
        </w:rPr>
      </w:pPr>
    </w:p>
    <w:bookmarkEnd w:id="1"/>
    <w:p w14:paraId="47D1373E">
      <w:pPr>
        <w:adjustRightInd w:val="0"/>
        <w:snapToGrid w:val="0"/>
        <w:spacing w:line="288" w:lineRule="auto"/>
        <w:jc w:val="center"/>
        <w:outlineLvl w:val="9"/>
        <w:rPr>
          <w:rFonts w:hint="default" w:ascii="Times New Roman" w:hAnsi="Times New Roman" w:eastAsia="宋体" w:cs="Times New Roman"/>
          <w:color w:val="auto"/>
          <w:sz w:val="36"/>
          <w:szCs w:val="36"/>
          <w:highlight w:val="none"/>
        </w:rPr>
      </w:pPr>
      <w:bookmarkStart w:id="2" w:name="_Toc4772"/>
      <w:r>
        <w:rPr>
          <w:rFonts w:hint="default" w:ascii="Times New Roman" w:hAnsi="Times New Roman" w:eastAsia="宋体" w:cs="Times New Roman"/>
          <w:color w:val="auto"/>
          <w:sz w:val="36"/>
          <w:szCs w:val="36"/>
          <w:highlight w:val="none"/>
        </w:rPr>
        <w:t>中华人民共和国生态环境部制</w:t>
      </w:r>
      <w:bookmarkEnd w:id="2"/>
    </w:p>
    <w:p w14:paraId="0263234C">
      <w:pPr>
        <w:spacing w:line="360" w:lineRule="auto"/>
        <w:jc w:val="left"/>
        <w:rPr>
          <w:rFonts w:hint="default" w:ascii="Times New Roman" w:hAnsi="Times New Roman" w:eastAsia="宋体" w:cs="Times New Roman"/>
          <w:color w:val="auto"/>
          <w:highlight w:val="none"/>
          <w:lang w:val="en-US" w:eastAsia="zh-CN"/>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77A8A73C">
      <w:pPr>
        <w:spacing w:line="360" w:lineRule="auto"/>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5598795" cy="8343900"/>
            <wp:effectExtent l="0" t="0" r="1905" b="0"/>
            <wp:docPr id="17" name="图片 17" descr="aa81c4ee2d94c95f30f0f69040f28f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a81c4ee2d94c95f30f0f69040f28fb5"/>
                    <pic:cNvPicPr>
                      <a:picLocks noChangeAspect="1"/>
                    </pic:cNvPicPr>
                  </pic:nvPicPr>
                  <pic:blipFill>
                    <a:blip r:embed="rId11"/>
                    <a:stretch>
                      <a:fillRect/>
                    </a:stretch>
                  </pic:blipFill>
                  <pic:spPr>
                    <a:xfrm>
                      <a:off x="0" y="0"/>
                      <a:ext cx="5598795" cy="8343900"/>
                    </a:xfrm>
                    <a:prstGeom prst="rect">
                      <a:avLst/>
                    </a:prstGeom>
                  </pic:spPr>
                </pic:pic>
              </a:graphicData>
            </a:graphic>
          </wp:inline>
        </w:drawing>
      </w:r>
      <w:bookmarkStart w:id="53" w:name="_GoBack"/>
      <w:bookmarkEnd w:id="53"/>
    </w:p>
    <w:sdt>
      <w:sdtPr>
        <w:rPr>
          <w:rFonts w:hint="default" w:ascii="Times New Roman" w:hAnsi="Times New Roman" w:eastAsia="宋体" w:cs="Times New Roman"/>
          <w:color w:val="auto"/>
          <w:kern w:val="2"/>
          <w:sz w:val="36"/>
          <w:szCs w:val="36"/>
          <w:highlight w:val="none"/>
          <w:lang w:val="en-US" w:eastAsia="zh-CN" w:bidi="ar-SA"/>
        </w:rPr>
        <w:id w:val="147461361"/>
        <w15:color w:val="DBDBDB"/>
        <w:docPartObj>
          <w:docPartGallery w:val="Table of Contents"/>
          <w:docPartUnique/>
        </w:docPartObj>
      </w:sdtPr>
      <w:sdtEndPr>
        <w:rPr>
          <w:rFonts w:hint="default" w:ascii="Times New Roman" w:hAnsi="Times New Roman" w:eastAsia="宋体" w:cs="Times New Roman"/>
          <w:color w:val="auto"/>
          <w:kern w:val="2"/>
          <w:sz w:val="28"/>
          <w:szCs w:val="28"/>
          <w:highlight w:val="none"/>
          <w:lang w:val="en-US" w:eastAsia="zh-CN" w:bidi="ar-SA"/>
        </w:rPr>
      </w:sdtEndPr>
      <w:sdtContent>
        <w:p w14:paraId="1C9166A8">
          <w:pPr>
            <w:keepNext w:val="0"/>
            <w:keepLines w:val="0"/>
            <w:pageBreakBefore/>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36"/>
              <w:szCs w:val="36"/>
              <w:highlight w:val="none"/>
            </w:rPr>
          </w:pPr>
          <w:r>
            <w:rPr>
              <w:rFonts w:hint="default" w:ascii="Times New Roman" w:hAnsi="Times New Roman" w:eastAsia="宋体" w:cs="Times New Roman"/>
              <w:color w:val="auto"/>
              <w:sz w:val="36"/>
              <w:szCs w:val="36"/>
              <w:highlight w:val="none"/>
            </w:rPr>
            <w:t>目录</w:t>
          </w:r>
        </w:p>
        <w:p w14:paraId="53448625">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eastAsia" w:ascii="宋体" w:hAnsi="宋体" w:eastAsia="宋体" w:cs="宋体"/>
              <w:color w:val="auto"/>
              <w:sz w:val="28"/>
              <w:szCs w:val="28"/>
              <w:highlight w:val="none"/>
              <w:lang w:val="en-US" w:eastAsia="zh-CN"/>
            </w:rPr>
            <w:fldChar w:fldCharType="begin"/>
          </w:r>
          <w:r>
            <w:rPr>
              <w:rFonts w:hint="eastAsia" w:ascii="宋体" w:hAnsi="宋体" w:eastAsia="宋体" w:cs="宋体"/>
              <w:color w:val="auto"/>
              <w:sz w:val="28"/>
              <w:szCs w:val="28"/>
              <w:highlight w:val="none"/>
              <w:lang w:val="en-US" w:eastAsia="zh-CN"/>
            </w:rPr>
            <w:instrText xml:space="preserve">TOC \o "1-1" \h \u </w:instrText>
          </w:r>
          <w:r>
            <w:rPr>
              <w:rFonts w:hint="eastAsia" w:ascii="宋体" w:hAnsi="宋体" w:eastAsia="宋体" w:cs="宋体"/>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_Toc12980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一、建设项目基本情况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_Toc12980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2C626C5C">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_Toc648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二、建设项目工程分析</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_Toc648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4CD280AC">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_Toc6932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三、区域环境质量现状、环境保护目标及评价标准</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_Toc6932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25</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7E25F40E">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_Toc5453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四、主要环境影响和保护措施</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_Toc5453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30</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0CD6727A">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_Toc1848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五、环境保护措施监督检查清单</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_Toc1848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4021A237">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_Toc19231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六、结论</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_Toc19231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60</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79AC56D0">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_Toc16420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附表</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_Toc16420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69A8607E">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_Toc13785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snapToGrid w:val="0"/>
              <w:color w:val="auto"/>
              <w:sz w:val="28"/>
              <w:szCs w:val="28"/>
              <w:highlight w:val="none"/>
            </w:rPr>
            <w:t>建设项目污染物排放量汇总表</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_Toc13785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65555A70">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_Toc20892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rPr>
            <w:t>附图</w:t>
          </w:r>
          <w:r>
            <w:rPr>
              <w:rFonts w:hint="default" w:ascii="Times New Roman" w:hAnsi="Times New Roman" w:eastAsia="宋体"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rPr>
            <w:t>地理位置图</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_Toc20892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66403E65">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_Toc22049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bCs/>
              <w:color w:val="auto"/>
              <w:sz w:val="28"/>
              <w:szCs w:val="28"/>
              <w:highlight w:val="none"/>
            </w:rPr>
            <w:t>附图</w:t>
          </w:r>
          <w:r>
            <w:rPr>
              <w:rFonts w:hint="default" w:ascii="Times New Roman" w:hAnsi="Times New Roman" w:eastAsia="宋体" w:cs="Times New Roman"/>
              <w:bCs/>
              <w:color w:val="auto"/>
              <w:sz w:val="28"/>
              <w:szCs w:val="28"/>
              <w:highlight w:val="none"/>
              <w:lang w:val="en-US" w:eastAsia="zh-CN"/>
            </w:rPr>
            <w:t>2</w:t>
          </w:r>
          <w:r>
            <w:rPr>
              <w:rFonts w:hint="default" w:ascii="Times New Roman" w:hAnsi="Times New Roman" w:eastAsia="宋体" w:cs="Times New Roman"/>
              <w:bCs/>
              <w:color w:val="auto"/>
              <w:sz w:val="28"/>
              <w:szCs w:val="28"/>
              <w:highlight w:val="none"/>
            </w:rPr>
            <w:t>本项目平面布置图</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_Toc22049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63</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1973B8D9">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_Toc5594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bCs/>
              <w:color w:val="auto"/>
              <w:sz w:val="28"/>
              <w:szCs w:val="28"/>
              <w:highlight w:val="none"/>
            </w:rPr>
            <w:t>附图</w:t>
          </w:r>
          <w:r>
            <w:rPr>
              <w:rFonts w:hint="default" w:ascii="Times New Roman" w:hAnsi="Times New Roman" w:eastAsia="宋体" w:cs="Times New Roman"/>
              <w:bCs/>
              <w:color w:val="auto"/>
              <w:sz w:val="28"/>
              <w:szCs w:val="28"/>
              <w:highlight w:val="none"/>
              <w:lang w:val="en-US" w:eastAsia="zh-CN"/>
            </w:rPr>
            <w:t>3</w:t>
          </w:r>
          <w:r>
            <w:rPr>
              <w:rFonts w:hint="default" w:ascii="Times New Roman" w:hAnsi="Times New Roman" w:eastAsia="宋体" w:cs="Times New Roman"/>
              <w:bCs/>
              <w:color w:val="auto"/>
              <w:sz w:val="28"/>
              <w:szCs w:val="28"/>
              <w:highlight w:val="none"/>
            </w:rPr>
            <w:t>环境保护目标分布图</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_Toc5594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64</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3F66116C">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_Toc19429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rPr>
            <w:t>附图</w:t>
          </w:r>
          <w:r>
            <w:rPr>
              <w:rFonts w:hint="default" w:ascii="Times New Roman" w:hAnsi="Times New Roman" w:eastAsia="宋体" w:cs="Times New Roman"/>
              <w:color w:val="auto"/>
              <w:sz w:val="28"/>
              <w:szCs w:val="28"/>
              <w:highlight w:val="none"/>
              <w:lang w:val="en-US" w:eastAsia="zh-CN"/>
            </w:rPr>
            <w:t>4</w:t>
          </w:r>
          <w:r>
            <w:rPr>
              <w:rFonts w:hint="default" w:ascii="Times New Roman" w:hAnsi="Times New Roman" w:eastAsia="宋体" w:cs="Times New Roman"/>
              <w:color w:val="auto"/>
              <w:sz w:val="28"/>
              <w:szCs w:val="28"/>
              <w:highlight w:val="none"/>
            </w:rPr>
            <w:t>厂区</w:t>
          </w:r>
          <w:r>
            <w:rPr>
              <w:rFonts w:hint="default" w:ascii="Times New Roman" w:hAnsi="Times New Roman" w:eastAsia="宋体" w:cs="Times New Roman"/>
              <w:color w:val="auto"/>
              <w:sz w:val="28"/>
              <w:szCs w:val="28"/>
              <w:highlight w:val="none"/>
              <w:lang w:val="en-US" w:eastAsia="zh-CN"/>
            </w:rPr>
            <w:t>四周</w:t>
          </w:r>
          <w:r>
            <w:rPr>
              <w:rFonts w:hint="default" w:ascii="Times New Roman" w:hAnsi="Times New Roman" w:eastAsia="宋体" w:cs="Times New Roman"/>
              <w:color w:val="auto"/>
              <w:sz w:val="28"/>
              <w:szCs w:val="28"/>
              <w:highlight w:val="none"/>
            </w:rPr>
            <w:t>环境现状</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_Toc19429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65</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1F117B4F">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_Toc2122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bCs/>
              <w:color w:val="auto"/>
              <w:kern w:val="0"/>
              <w:sz w:val="28"/>
              <w:szCs w:val="28"/>
              <w:highlight w:val="none"/>
            </w:rPr>
            <w:t>附件1营业执照</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_Toc2122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66</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4E281C80">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_Toc9049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rPr>
            <w:t>附件</w:t>
          </w:r>
          <w:r>
            <w:rPr>
              <w:rFonts w:hint="eastAsia" w:ascii="Times New Roman" w:hAnsi="Times New Roman" w:cs="Times New Roman"/>
              <w:color w:val="auto"/>
              <w:sz w:val="28"/>
              <w:szCs w:val="28"/>
              <w:highlight w:val="none"/>
              <w:lang w:val="en-US" w:eastAsia="zh-CN"/>
            </w:rPr>
            <w:t>2</w:t>
          </w:r>
          <w:r>
            <w:rPr>
              <w:rFonts w:hint="default" w:ascii="Times New Roman" w:hAnsi="Times New Roman" w:eastAsia="宋体" w:cs="Times New Roman"/>
              <w:color w:val="auto"/>
              <w:sz w:val="28"/>
              <w:szCs w:val="28"/>
              <w:highlight w:val="none"/>
              <w:lang w:val="en-US" w:eastAsia="zh-CN"/>
            </w:rPr>
            <w:t>检测报告</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_Toc9049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7FACD63C">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_Toc25183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sz w:val="28"/>
              <w:szCs w:val="28"/>
              <w:highlight w:val="none"/>
            </w:rPr>
            <w:t>附件</w:t>
          </w:r>
          <w:r>
            <w:rPr>
              <w:rFonts w:hint="eastAsia" w:ascii="Times New Roman" w:hAnsi="Times New Roman" w:cs="Times New Roman"/>
              <w:color w:val="auto"/>
              <w:sz w:val="28"/>
              <w:szCs w:val="28"/>
              <w:highlight w:val="none"/>
              <w:lang w:val="en-US" w:eastAsia="zh-CN"/>
            </w:rPr>
            <w:t>3</w:t>
          </w:r>
          <w:r>
            <w:rPr>
              <w:rFonts w:hint="default" w:ascii="Times New Roman" w:hAnsi="Times New Roman" w:eastAsia="宋体" w:cs="Times New Roman"/>
              <w:color w:val="auto"/>
              <w:sz w:val="28"/>
              <w:szCs w:val="28"/>
              <w:highlight w:val="none"/>
            </w:rPr>
            <w:t>燃料检测报告</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_Toc25183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168E4B69">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_Toc4234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kern w:val="2"/>
              <w:sz w:val="28"/>
              <w:szCs w:val="28"/>
              <w:highlight w:val="none"/>
              <w:lang w:val="en-US" w:eastAsia="zh-CN" w:bidi="ar-SA"/>
            </w:rPr>
            <w:t>附件</w:t>
          </w:r>
          <w:r>
            <w:rPr>
              <w:rFonts w:hint="eastAsia" w:ascii="Times New Roman" w:hAnsi="Times New Roman" w:cs="Times New Roman"/>
              <w:color w:val="auto"/>
              <w:kern w:val="2"/>
              <w:sz w:val="28"/>
              <w:szCs w:val="28"/>
              <w:highlight w:val="none"/>
              <w:lang w:val="en-US" w:eastAsia="zh-CN" w:bidi="ar-SA"/>
            </w:rPr>
            <w:t>4</w:t>
          </w:r>
          <w:r>
            <w:rPr>
              <w:rFonts w:hint="default" w:ascii="Times New Roman" w:hAnsi="Times New Roman" w:eastAsia="宋体" w:cs="Times New Roman"/>
              <w:color w:val="auto"/>
              <w:kern w:val="2"/>
              <w:sz w:val="28"/>
              <w:szCs w:val="28"/>
              <w:highlight w:val="none"/>
              <w:lang w:val="en-US" w:eastAsia="zh-CN" w:bidi="ar-SA"/>
            </w:rPr>
            <w:t>生态环境分区管控分析报告</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_Toc4234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73</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0A6D0A53">
          <w:pPr>
            <w:pStyle w:val="23"/>
            <w:tabs>
              <w:tab w:val="right" w:leader="dot" w:pos="8844"/>
              <w:tab w:val="clear" w:pos="9060"/>
            </w:tabs>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_Toc14082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kern w:val="2"/>
              <w:sz w:val="28"/>
              <w:szCs w:val="28"/>
              <w:highlight w:val="none"/>
              <w:lang w:val="en-US" w:eastAsia="zh-CN" w:bidi="ar-SA"/>
            </w:rPr>
            <w:t>附件</w:t>
          </w:r>
          <w:r>
            <w:rPr>
              <w:rFonts w:hint="eastAsia" w:ascii="Times New Roman" w:hAnsi="Times New Roman" w:cs="Times New Roman"/>
              <w:color w:val="auto"/>
              <w:kern w:val="2"/>
              <w:sz w:val="28"/>
              <w:szCs w:val="28"/>
              <w:highlight w:val="none"/>
              <w:lang w:val="en-US" w:eastAsia="zh-CN" w:bidi="ar-SA"/>
            </w:rPr>
            <w:t>5</w:t>
          </w:r>
          <w:r>
            <w:rPr>
              <w:rFonts w:hint="default" w:ascii="Times New Roman" w:hAnsi="Times New Roman" w:eastAsia="宋体" w:cs="Times New Roman"/>
              <w:color w:val="auto"/>
              <w:kern w:val="2"/>
              <w:sz w:val="28"/>
              <w:szCs w:val="28"/>
              <w:highlight w:val="none"/>
              <w:lang w:val="en-US" w:eastAsia="zh-CN" w:bidi="ar-SA"/>
            </w:rPr>
            <w:t>土地手续</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_Toc14082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78</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1E17AA78">
          <w:pPr>
            <w:pStyle w:val="23"/>
            <w:tabs>
              <w:tab w:val="right" w:leader="dot" w:pos="8844"/>
              <w:tab w:val="clear" w:pos="9060"/>
            </w:tabs>
            <w:spacing w:line="360" w:lineRule="auto"/>
            <w:rPr>
              <w:rFonts w:hint="eastAsia" w:ascii="宋体" w:hAnsi="宋体" w:eastAsia="宋体" w:cs="宋体"/>
              <w:color w:val="auto"/>
              <w:sz w:val="28"/>
              <w:szCs w:val="28"/>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 HYPERLINK \l _Toc31981 </w:instrText>
          </w:r>
          <w:r>
            <w:rPr>
              <w:rFonts w:hint="default" w:ascii="Times New Roman" w:hAnsi="Times New Roman" w:eastAsia="宋体" w:cs="Times New Roman"/>
              <w:color w:val="auto"/>
              <w:sz w:val="28"/>
              <w:szCs w:val="28"/>
              <w:highlight w:val="none"/>
              <w:lang w:val="en-US" w:eastAsia="zh-CN"/>
            </w:rPr>
            <w:fldChar w:fldCharType="separate"/>
          </w:r>
          <w:r>
            <w:rPr>
              <w:rFonts w:hint="default" w:ascii="Times New Roman" w:hAnsi="Times New Roman" w:eastAsia="宋体" w:cs="Times New Roman"/>
              <w:color w:val="auto"/>
              <w:kern w:val="2"/>
              <w:sz w:val="28"/>
              <w:szCs w:val="28"/>
              <w:highlight w:val="none"/>
              <w:lang w:val="en-US" w:eastAsia="zh-CN" w:bidi="ar-SA"/>
            </w:rPr>
            <w:t>附件</w:t>
          </w:r>
          <w:r>
            <w:rPr>
              <w:rFonts w:hint="eastAsia" w:ascii="Times New Roman" w:hAnsi="Times New Roman" w:cs="Times New Roman"/>
              <w:color w:val="auto"/>
              <w:kern w:val="2"/>
              <w:sz w:val="28"/>
              <w:szCs w:val="28"/>
              <w:highlight w:val="none"/>
              <w:lang w:val="en-US" w:eastAsia="zh-CN" w:bidi="ar-SA"/>
            </w:rPr>
            <w:t>6</w:t>
          </w:r>
          <w:r>
            <w:rPr>
              <w:rFonts w:hint="default" w:ascii="Times New Roman" w:hAnsi="Times New Roman" w:eastAsia="宋体" w:cs="Times New Roman"/>
              <w:color w:val="auto"/>
              <w:kern w:val="2"/>
              <w:sz w:val="28"/>
              <w:szCs w:val="28"/>
              <w:highlight w:val="none"/>
              <w:lang w:val="en-US" w:eastAsia="zh-CN" w:bidi="ar-SA"/>
            </w:rPr>
            <w:t>公示截图</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_Toc31981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80</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lang w:val="en-US" w:eastAsia="zh-CN"/>
            </w:rPr>
            <w:fldChar w:fldCharType="end"/>
          </w:r>
        </w:p>
        <w:p w14:paraId="45152F21">
          <w:pPr>
            <w:spacing w:line="360" w:lineRule="auto"/>
            <w:jc w:val="left"/>
            <w:rPr>
              <w:rFonts w:hint="default" w:ascii="Times New Roman" w:hAnsi="Times New Roman" w:eastAsia="宋体" w:cs="Times New Roman"/>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fldChar w:fldCharType="end"/>
          </w:r>
        </w:p>
      </w:sdtContent>
    </w:sdt>
    <w:p w14:paraId="35C658B8">
      <w:pPr>
        <w:spacing w:line="360" w:lineRule="auto"/>
        <w:jc w:val="left"/>
        <w:rPr>
          <w:rFonts w:hint="default" w:ascii="Times New Roman" w:hAnsi="Times New Roman" w:eastAsia="宋体" w:cs="Times New Roman"/>
          <w:color w:val="auto"/>
          <w:kern w:val="2"/>
          <w:sz w:val="21"/>
          <w:szCs w:val="24"/>
          <w:highlight w:val="none"/>
          <w:lang w:val="en-US" w:eastAsia="zh-CN" w:bidi="ar-SA"/>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DF9A446">
      <w:pPr>
        <w:pStyle w:val="28"/>
        <w:jc w:val="center"/>
        <w:outlineLvl w:val="0"/>
        <w:rPr>
          <w:rFonts w:hint="default" w:ascii="Times New Roman" w:hAnsi="Times New Roman" w:eastAsia="宋体" w:cs="Times New Roman"/>
          <w:snapToGrid w:val="0"/>
          <w:color w:val="auto"/>
          <w:sz w:val="30"/>
          <w:szCs w:val="30"/>
          <w:highlight w:val="none"/>
        </w:rPr>
      </w:pPr>
      <w:bookmarkStart w:id="3" w:name="_Toc12980"/>
      <w:bookmarkStart w:id="4" w:name="_Toc28515"/>
      <w:r>
        <w:rPr>
          <w:rFonts w:hint="default" w:ascii="Times New Roman" w:hAnsi="Times New Roman" w:eastAsia="宋体" w:cs="Times New Roman"/>
          <w:snapToGrid w:val="0"/>
          <w:color w:val="auto"/>
          <w:sz w:val="30"/>
          <w:szCs w:val="30"/>
          <w:highlight w:val="none"/>
        </w:rPr>
        <w:t>一、建设项目基本情况</w:t>
      </w:r>
      <w:bookmarkEnd w:id="3"/>
      <w:bookmarkEnd w:id="4"/>
    </w:p>
    <w:tbl>
      <w:tblPr>
        <w:tblStyle w:val="3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069"/>
        <w:gridCol w:w="1852"/>
        <w:gridCol w:w="2002"/>
        <w:gridCol w:w="2947"/>
      </w:tblGrid>
      <w:tr w14:paraId="18206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069" w:type="dxa"/>
            <w:tcMar>
              <w:top w:w="16" w:type="dxa"/>
              <w:left w:w="16" w:type="dxa"/>
              <w:right w:w="16" w:type="dxa"/>
            </w:tcMar>
            <w:vAlign w:val="center"/>
          </w:tcPr>
          <w:p w14:paraId="4DD50F1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建设项目名称</w:t>
            </w:r>
          </w:p>
        </w:tc>
        <w:tc>
          <w:tcPr>
            <w:tcW w:w="6801" w:type="dxa"/>
            <w:gridSpan w:val="3"/>
            <w:vAlign w:val="center"/>
          </w:tcPr>
          <w:p w14:paraId="6C8A5CF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黑龙江省锦畴粮食贸易有限公司建设项目</w:t>
            </w:r>
          </w:p>
        </w:tc>
      </w:tr>
      <w:tr w14:paraId="798D76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2069" w:type="dxa"/>
            <w:tcMar>
              <w:top w:w="16" w:type="dxa"/>
              <w:left w:w="16" w:type="dxa"/>
              <w:right w:w="16" w:type="dxa"/>
            </w:tcMar>
            <w:vAlign w:val="center"/>
          </w:tcPr>
          <w:p w14:paraId="59E6ECA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项目代码</w:t>
            </w:r>
          </w:p>
        </w:tc>
        <w:tc>
          <w:tcPr>
            <w:tcW w:w="6801" w:type="dxa"/>
            <w:gridSpan w:val="3"/>
            <w:vAlign w:val="center"/>
          </w:tcPr>
          <w:p w14:paraId="53D8B09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无</w:t>
            </w:r>
          </w:p>
        </w:tc>
      </w:tr>
      <w:tr w14:paraId="54EDBB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069" w:type="dxa"/>
            <w:tcMar>
              <w:top w:w="16" w:type="dxa"/>
              <w:left w:w="16" w:type="dxa"/>
              <w:right w:w="16" w:type="dxa"/>
            </w:tcMar>
            <w:vAlign w:val="center"/>
          </w:tcPr>
          <w:p w14:paraId="7131EC4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建设单位联系人</w:t>
            </w:r>
          </w:p>
        </w:tc>
        <w:tc>
          <w:tcPr>
            <w:tcW w:w="1852" w:type="dxa"/>
            <w:vAlign w:val="center"/>
          </w:tcPr>
          <w:p w14:paraId="29F2BA5F">
            <w:pPr>
              <w:pStyle w:val="10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唐小龙</w:t>
            </w:r>
          </w:p>
        </w:tc>
        <w:tc>
          <w:tcPr>
            <w:tcW w:w="2002" w:type="dxa"/>
            <w:vAlign w:val="center"/>
          </w:tcPr>
          <w:p w14:paraId="55A38345">
            <w:pPr>
              <w:pStyle w:val="10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联系电话</w:t>
            </w:r>
          </w:p>
        </w:tc>
        <w:tc>
          <w:tcPr>
            <w:tcW w:w="2947" w:type="dxa"/>
            <w:vAlign w:val="center"/>
          </w:tcPr>
          <w:p w14:paraId="335361E9">
            <w:pPr>
              <w:pStyle w:val="10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13166928477</w:t>
            </w:r>
          </w:p>
        </w:tc>
      </w:tr>
      <w:tr w14:paraId="0F3A7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69" w:type="dxa"/>
            <w:tcMar>
              <w:top w:w="16" w:type="dxa"/>
              <w:left w:w="16" w:type="dxa"/>
              <w:right w:w="16" w:type="dxa"/>
            </w:tcMar>
            <w:vAlign w:val="center"/>
          </w:tcPr>
          <w:p w14:paraId="530D435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6801" w:type="dxa"/>
            <w:gridSpan w:val="3"/>
            <w:vAlign w:val="center"/>
          </w:tcPr>
          <w:p w14:paraId="0998AC31">
            <w:pPr>
              <w:pStyle w:val="10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lang w:val="en-US" w:eastAsia="zh-CN"/>
              </w:rPr>
              <w:t>黑龙江省鸡西市虎林市850农场东部园区静泽街1-3号</w:t>
            </w:r>
          </w:p>
        </w:tc>
      </w:tr>
      <w:tr w14:paraId="34054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69" w:type="dxa"/>
            <w:tcMar>
              <w:top w:w="16" w:type="dxa"/>
              <w:left w:w="16" w:type="dxa"/>
              <w:right w:w="16" w:type="dxa"/>
            </w:tcMar>
            <w:vAlign w:val="center"/>
          </w:tcPr>
          <w:p w14:paraId="34C06AA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地理坐标</w:t>
            </w:r>
          </w:p>
        </w:tc>
        <w:tc>
          <w:tcPr>
            <w:tcW w:w="6801" w:type="dxa"/>
            <w:gridSpan w:val="3"/>
            <w:vAlign w:val="center"/>
          </w:tcPr>
          <w:p w14:paraId="20D9FE3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132°30'47.72</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lang w:eastAsia="zh-CN"/>
              </w:rPr>
              <w:t>"，45°43'35.773"</w:t>
            </w:r>
            <w:r>
              <w:rPr>
                <w:rFonts w:hint="default" w:ascii="Times New Roman" w:hAnsi="Times New Roman" w:eastAsia="宋体" w:cs="Times New Roman"/>
                <w:color w:val="auto"/>
                <w:sz w:val="24"/>
                <w:highlight w:val="none"/>
              </w:rPr>
              <w:t>）</w:t>
            </w:r>
          </w:p>
        </w:tc>
      </w:tr>
      <w:tr w14:paraId="40C98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069" w:type="dxa"/>
            <w:tcMar>
              <w:top w:w="16" w:type="dxa"/>
              <w:left w:w="16" w:type="dxa"/>
              <w:right w:w="16" w:type="dxa"/>
            </w:tcMar>
            <w:vAlign w:val="center"/>
          </w:tcPr>
          <w:p w14:paraId="42B66E0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国民经济</w:t>
            </w:r>
          </w:p>
          <w:p w14:paraId="5E33BE5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p>
        </w:tc>
        <w:tc>
          <w:tcPr>
            <w:tcW w:w="1852" w:type="dxa"/>
            <w:vAlign w:val="center"/>
          </w:tcPr>
          <w:p w14:paraId="3DA156F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A0514农产品初加工活动；D4430热力生产和供应</w:t>
            </w:r>
          </w:p>
        </w:tc>
        <w:tc>
          <w:tcPr>
            <w:tcW w:w="2002" w:type="dxa"/>
            <w:vAlign w:val="center"/>
          </w:tcPr>
          <w:p w14:paraId="3A3D0EB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w:t>
            </w:r>
          </w:p>
          <w:p w14:paraId="48B0C82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p>
        </w:tc>
        <w:tc>
          <w:tcPr>
            <w:tcW w:w="2947" w:type="dxa"/>
            <w:vAlign w:val="center"/>
          </w:tcPr>
          <w:p w14:paraId="35364FD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四十一、电力、热力生产和供应业91热力生产和供应工程</w:t>
            </w:r>
          </w:p>
        </w:tc>
      </w:tr>
      <w:tr w14:paraId="65C370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069" w:type="dxa"/>
            <w:tcMar>
              <w:top w:w="16" w:type="dxa"/>
              <w:left w:w="16" w:type="dxa"/>
              <w:right w:w="16" w:type="dxa"/>
            </w:tcMar>
            <w:vAlign w:val="center"/>
          </w:tcPr>
          <w:p w14:paraId="3B2528D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建设性质</w:t>
            </w:r>
          </w:p>
        </w:tc>
        <w:tc>
          <w:tcPr>
            <w:tcW w:w="1852" w:type="dxa"/>
            <w:vAlign w:val="center"/>
          </w:tcPr>
          <w:p w14:paraId="0F094515">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新建（迁建）</w:t>
            </w:r>
          </w:p>
          <w:p w14:paraId="13FD4CFC">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改建</w:t>
            </w:r>
          </w:p>
          <w:p w14:paraId="3CE8F250">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扩建</w:t>
            </w:r>
          </w:p>
          <w:p w14:paraId="00EC8E4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技术改造</w:t>
            </w:r>
          </w:p>
        </w:tc>
        <w:tc>
          <w:tcPr>
            <w:tcW w:w="2002" w:type="dxa"/>
            <w:vAlign w:val="center"/>
          </w:tcPr>
          <w:p w14:paraId="73E33D0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w:t>
            </w:r>
          </w:p>
          <w:p w14:paraId="333165C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申报情形</w:t>
            </w:r>
          </w:p>
        </w:tc>
        <w:tc>
          <w:tcPr>
            <w:tcW w:w="2947" w:type="dxa"/>
            <w:vAlign w:val="center"/>
          </w:tcPr>
          <w:p w14:paraId="0EA529F2">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sym w:font="Wingdings 2" w:char="0052"/>
            </w:r>
            <w:r>
              <w:rPr>
                <w:rFonts w:hint="default" w:ascii="Times New Roman" w:hAnsi="Times New Roman" w:eastAsia="宋体" w:cs="Times New Roman"/>
                <w:color w:val="auto"/>
                <w:sz w:val="24"/>
                <w:highlight w:val="none"/>
              </w:rPr>
              <w:t>首次申报项目</w:t>
            </w:r>
          </w:p>
          <w:p w14:paraId="3564A7FD">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□不予批准后再次申报项目</w:t>
            </w:r>
          </w:p>
          <w:p w14:paraId="51E8D45B">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□超五年重新审核项目</w:t>
            </w:r>
          </w:p>
          <w:p w14:paraId="7BCAA9FC">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□重大变动重新报批项目</w:t>
            </w:r>
          </w:p>
        </w:tc>
      </w:tr>
      <w:tr w14:paraId="04958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069" w:type="dxa"/>
            <w:tcMar>
              <w:top w:w="16" w:type="dxa"/>
              <w:left w:w="16" w:type="dxa"/>
              <w:right w:w="16" w:type="dxa"/>
            </w:tcMar>
            <w:vAlign w:val="center"/>
          </w:tcPr>
          <w:p w14:paraId="07D15F2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488E77B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备案）部门（选填）</w:t>
            </w:r>
          </w:p>
        </w:tc>
        <w:tc>
          <w:tcPr>
            <w:tcW w:w="1852" w:type="dxa"/>
            <w:vAlign w:val="center"/>
          </w:tcPr>
          <w:p w14:paraId="588E20F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w:t>
            </w:r>
          </w:p>
        </w:tc>
        <w:tc>
          <w:tcPr>
            <w:tcW w:w="2002" w:type="dxa"/>
            <w:vAlign w:val="center"/>
          </w:tcPr>
          <w:p w14:paraId="2B51FAF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516234B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备案）文号（选填）</w:t>
            </w:r>
          </w:p>
        </w:tc>
        <w:tc>
          <w:tcPr>
            <w:tcW w:w="2947" w:type="dxa"/>
            <w:vAlign w:val="center"/>
          </w:tcPr>
          <w:p w14:paraId="74B40C1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w:t>
            </w:r>
          </w:p>
        </w:tc>
      </w:tr>
      <w:tr w14:paraId="3C6FD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69" w:type="dxa"/>
            <w:shd w:val="clear" w:color="auto" w:fill="FFFFFF" w:themeFill="background1"/>
            <w:tcMar>
              <w:top w:w="16" w:type="dxa"/>
              <w:left w:w="16" w:type="dxa"/>
              <w:right w:w="16" w:type="dxa"/>
            </w:tcMar>
            <w:vAlign w:val="center"/>
          </w:tcPr>
          <w:p w14:paraId="6FA1FA1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总投资（万元）</w:t>
            </w:r>
          </w:p>
        </w:tc>
        <w:tc>
          <w:tcPr>
            <w:tcW w:w="1852" w:type="dxa"/>
            <w:shd w:val="clear" w:color="auto" w:fill="FFFFFF" w:themeFill="background1"/>
            <w:vAlign w:val="center"/>
          </w:tcPr>
          <w:p w14:paraId="442452C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800</w:t>
            </w:r>
          </w:p>
        </w:tc>
        <w:tc>
          <w:tcPr>
            <w:tcW w:w="2002" w:type="dxa"/>
            <w:tcMar>
              <w:top w:w="16" w:type="dxa"/>
              <w:left w:w="16" w:type="dxa"/>
              <w:right w:w="16" w:type="dxa"/>
            </w:tcMar>
            <w:vAlign w:val="center"/>
          </w:tcPr>
          <w:p w14:paraId="1E3A511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环保投资（万元）</w:t>
            </w:r>
          </w:p>
        </w:tc>
        <w:tc>
          <w:tcPr>
            <w:tcW w:w="2947" w:type="dxa"/>
            <w:vAlign w:val="center"/>
          </w:tcPr>
          <w:p w14:paraId="1A42065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19</w:t>
            </w:r>
          </w:p>
        </w:tc>
      </w:tr>
      <w:tr w14:paraId="575A22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069" w:type="dxa"/>
            <w:tcMar>
              <w:top w:w="16" w:type="dxa"/>
              <w:left w:w="16" w:type="dxa"/>
              <w:right w:w="16" w:type="dxa"/>
            </w:tcMar>
            <w:vAlign w:val="center"/>
          </w:tcPr>
          <w:p w14:paraId="447464A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环保投资占比（%）</w:t>
            </w:r>
          </w:p>
        </w:tc>
        <w:tc>
          <w:tcPr>
            <w:tcW w:w="1852" w:type="dxa"/>
            <w:vAlign w:val="center"/>
          </w:tcPr>
          <w:p w14:paraId="0DD5F77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2.38</w:t>
            </w:r>
          </w:p>
        </w:tc>
        <w:tc>
          <w:tcPr>
            <w:tcW w:w="2002" w:type="dxa"/>
            <w:tcMar>
              <w:top w:w="16" w:type="dxa"/>
              <w:left w:w="16" w:type="dxa"/>
              <w:right w:w="16" w:type="dxa"/>
            </w:tcMar>
            <w:vAlign w:val="center"/>
          </w:tcPr>
          <w:p w14:paraId="5FB39F9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施工工期</w:t>
            </w:r>
          </w:p>
        </w:tc>
        <w:tc>
          <w:tcPr>
            <w:tcW w:w="2947" w:type="dxa"/>
            <w:vAlign w:val="center"/>
          </w:tcPr>
          <w:p w14:paraId="4492785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val="en-US" w:eastAsia="zh-CN"/>
              </w:rPr>
              <w:t>年</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lang w:val="en-US" w:eastAsia="zh-CN"/>
              </w:rPr>
              <w:t>月-202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val="en-US" w:eastAsia="zh-CN"/>
              </w:rPr>
              <w:t>年</w:t>
            </w:r>
            <w:r>
              <w:rPr>
                <w:rFonts w:hint="eastAsia" w:cs="Times New Roman"/>
                <w:color w:val="auto"/>
                <w:sz w:val="24"/>
                <w:highlight w:val="none"/>
                <w:lang w:val="en-US" w:eastAsia="zh-CN"/>
              </w:rPr>
              <w:t>10</w:t>
            </w:r>
            <w:r>
              <w:rPr>
                <w:rFonts w:hint="default" w:ascii="Times New Roman" w:hAnsi="Times New Roman" w:eastAsia="宋体" w:cs="Times New Roman"/>
                <w:color w:val="auto"/>
                <w:sz w:val="24"/>
                <w:highlight w:val="none"/>
                <w:lang w:val="en-US" w:eastAsia="zh-CN"/>
              </w:rPr>
              <w:t>月</w:t>
            </w:r>
          </w:p>
        </w:tc>
      </w:tr>
      <w:tr w14:paraId="1C94AA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69" w:type="dxa"/>
            <w:tcMar>
              <w:top w:w="16" w:type="dxa"/>
              <w:left w:w="16" w:type="dxa"/>
              <w:right w:w="16" w:type="dxa"/>
            </w:tcMar>
            <w:vAlign w:val="center"/>
          </w:tcPr>
          <w:p w14:paraId="2DCEFE9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是否开工建设</w:t>
            </w:r>
          </w:p>
        </w:tc>
        <w:tc>
          <w:tcPr>
            <w:tcW w:w="1852" w:type="dxa"/>
            <w:vAlign w:val="center"/>
          </w:tcPr>
          <w:p w14:paraId="509C150E">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否</w:t>
            </w:r>
          </w:p>
          <w:p w14:paraId="48F819F9">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是</w:t>
            </w:r>
            <w:r>
              <w:rPr>
                <w:rFonts w:hint="eastAsia" w:ascii="Times New Roman" w:hAnsi="Times New Roman" w:eastAsia="宋体" w:cs="Times New Roman"/>
                <w:color w:val="auto"/>
                <w:sz w:val="24"/>
                <w:highlight w:val="none"/>
                <w:lang w:val="en-US" w:eastAsia="zh-CN"/>
              </w:rPr>
              <w:t>：</w:t>
            </w:r>
          </w:p>
        </w:tc>
        <w:tc>
          <w:tcPr>
            <w:tcW w:w="2002" w:type="dxa"/>
            <w:shd w:val="clear" w:color="auto" w:fill="auto"/>
            <w:tcMar>
              <w:top w:w="16" w:type="dxa"/>
              <w:left w:w="16" w:type="dxa"/>
              <w:right w:w="16" w:type="dxa"/>
            </w:tcMar>
            <w:vAlign w:val="center"/>
          </w:tcPr>
          <w:p w14:paraId="7AFB10E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4"/>
                <w:highlight w:val="none"/>
              </w:rPr>
            </w:pPr>
            <w:r>
              <w:rPr>
                <w:rFonts w:hint="default" w:ascii="Times New Roman" w:hAnsi="Times New Roman" w:eastAsia="宋体" w:cs="Times New Roman"/>
                <w:color w:val="auto"/>
                <w:spacing w:val="-6"/>
                <w:sz w:val="24"/>
                <w:highlight w:val="none"/>
              </w:rPr>
              <w:t>用地（用海）</w:t>
            </w:r>
          </w:p>
          <w:p w14:paraId="0AC44FC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pacing w:val="-6"/>
                <w:sz w:val="24"/>
                <w:highlight w:val="none"/>
              </w:rPr>
              <w:t>面积（m</w:t>
            </w:r>
            <w:r>
              <w:rPr>
                <w:rFonts w:hint="default" w:ascii="Times New Roman" w:hAnsi="Times New Roman" w:eastAsia="宋体" w:cs="Times New Roman"/>
                <w:color w:val="auto"/>
                <w:spacing w:val="-6"/>
                <w:sz w:val="24"/>
                <w:highlight w:val="none"/>
                <w:vertAlign w:val="superscript"/>
              </w:rPr>
              <w:t>2</w:t>
            </w:r>
            <w:r>
              <w:rPr>
                <w:rFonts w:hint="default" w:ascii="Times New Roman" w:hAnsi="Times New Roman" w:eastAsia="宋体" w:cs="Times New Roman"/>
                <w:color w:val="auto"/>
                <w:spacing w:val="-6"/>
                <w:sz w:val="24"/>
                <w:highlight w:val="none"/>
              </w:rPr>
              <w:t>）</w:t>
            </w:r>
          </w:p>
        </w:tc>
        <w:tc>
          <w:tcPr>
            <w:tcW w:w="2947" w:type="dxa"/>
            <w:shd w:val="clear" w:color="auto" w:fill="auto"/>
            <w:vAlign w:val="center"/>
          </w:tcPr>
          <w:p w14:paraId="40F9BE3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4000</w:t>
            </w:r>
          </w:p>
        </w:tc>
      </w:tr>
      <w:tr w14:paraId="40839D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6" w:hRule="atLeast"/>
          <w:jc w:val="center"/>
        </w:trPr>
        <w:tc>
          <w:tcPr>
            <w:tcW w:w="2069" w:type="dxa"/>
            <w:vAlign w:val="center"/>
          </w:tcPr>
          <w:p w14:paraId="1DB575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专项评价设置情况</w:t>
            </w:r>
          </w:p>
        </w:tc>
        <w:tc>
          <w:tcPr>
            <w:tcW w:w="6801" w:type="dxa"/>
            <w:gridSpan w:val="3"/>
            <w:shd w:val="clear" w:color="auto" w:fill="auto"/>
            <w:vAlign w:val="center"/>
          </w:tcPr>
          <w:p w14:paraId="0EA21DCD">
            <w:pPr>
              <w:pStyle w:val="12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建设项目环境影响报告表编制技术指南（污染影响类）（试行）》，土壤、声环境不开展专项评价，地下水原则上不开展专项评价，涉及集中式饮用水水源和热水、矿泉水、温泉等特殊地下水资源保护区的开展地下水专项评价工作。本项目不涉及集中式饮用水水源和热水、矿泉水、温泉等特殊地下水资源保护区，项目专项设置情况参照下表。</w:t>
            </w:r>
          </w:p>
          <w:p w14:paraId="4D21C0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表1-1专项评价设置情况一览表</w:t>
            </w:r>
          </w:p>
          <w:tbl>
            <w:tblPr>
              <w:tblStyle w:val="3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132"/>
              <w:gridCol w:w="3755"/>
            </w:tblGrid>
            <w:tr w14:paraId="3CDFFC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530" w:type="pct"/>
                  <w:tcBorders>
                    <w:tl2br w:val="nil"/>
                    <w:tr2bl w:val="nil"/>
                  </w:tcBorders>
                  <w:noWrap w:val="0"/>
                  <w:vAlign w:val="center"/>
                </w:tcPr>
                <w:p w14:paraId="447FFD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专项评价类别</w:t>
                  </w:r>
                </w:p>
              </w:tc>
              <w:tc>
                <w:tcPr>
                  <w:tcW w:w="1619" w:type="pct"/>
                  <w:tcBorders>
                    <w:tl2br w:val="nil"/>
                    <w:tr2bl w:val="nil"/>
                  </w:tcBorders>
                  <w:noWrap w:val="0"/>
                  <w:vAlign w:val="center"/>
                </w:tcPr>
                <w:p w14:paraId="381E5D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设置原则</w:t>
                  </w:r>
                </w:p>
              </w:tc>
              <w:tc>
                <w:tcPr>
                  <w:tcW w:w="2850" w:type="pct"/>
                  <w:tcBorders>
                    <w:tl2br w:val="nil"/>
                    <w:tr2bl w:val="nil"/>
                  </w:tcBorders>
                  <w:noWrap w:val="0"/>
                  <w:vAlign w:val="center"/>
                </w:tcPr>
                <w:p w14:paraId="45D0E1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本项目设置情况</w:t>
                  </w:r>
                </w:p>
              </w:tc>
            </w:tr>
            <w:tr w14:paraId="271A3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530" w:type="pct"/>
                  <w:tcBorders>
                    <w:tl2br w:val="nil"/>
                    <w:tr2bl w:val="nil"/>
                  </w:tcBorders>
                  <w:noWrap w:val="0"/>
                  <w:vAlign w:val="center"/>
                </w:tcPr>
                <w:p w14:paraId="252AD9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w:t>
                  </w:r>
                </w:p>
              </w:tc>
              <w:tc>
                <w:tcPr>
                  <w:tcW w:w="1619" w:type="pct"/>
                  <w:tcBorders>
                    <w:tl2br w:val="nil"/>
                    <w:tr2bl w:val="nil"/>
                  </w:tcBorders>
                  <w:noWrap w:val="0"/>
                  <w:vAlign w:val="center"/>
                </w:tcPr>
                <w:p w14:paraId="2F11F0D1">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排放废气含有毒有害污染物</w:t>
                  </w:r>
                  <w:r>
                    <w:rPr>
                      <w:rFonts w:hint="default" w:ascii="Times New Roman" w:hAnsi="Times New Roman" w:eastAsia="宋体" w:cs="Times New Roman"/>
                      <w:color w:val="auto"/>
                      <w:sz w:val="21"/>
                      <w:szCs w:val="21"/>
                      <w:highlight w:val="none"/>
                      <w:vertAlign w:val="superscript"/>
                    </w:rPr>
                    <w:t>①</w:t>
                  </w:r>
                  <w:r>
                    <w:rPr>
                      <w:rFonts w:hint="default" w:ascii="Times New Roman" w:hAnsi="Times New Roman" w:eastAsia="宋体" w:cs="Times New Roman"/>
                      <w:color w:val="auto"/>
                      <w:sz w:val="21"/>
                      <w:szCs w:val="21"/>
                      <w:highlight w:val="none"/>
                    </w:rPr>
                    <w:t>、二噁英、苯并[a]芘、氰化物、氯气且厂界外500米范围内有环境空气保护目标</w:t>
                  </w:r>
                  <w:r>
                    <w:rPr>
                      <w:rFonts w:hint="default" w:ascii="Times New Roman" w:hAnsi="Times New Roman" w:eastAsia="宋体" w:cs="Times New Roman"/>
                      <w:color w:val="auto"/>
                      <w:sz w:val="21"/>
                      <w:szCs w:val="21"/>
                      <w:highlight w:val="none"/>
                      <w:vertAlign w:val="superscript"/>
                    </w:rPr>
                    <w:t>②</w:t>
                  </w:r>
                  <w:r>
                    <w:rPr>
                      <w:rFonts w:hint="default" w:ascii="Times New Roman" w:hAnsi="Times New Roman" w:eastAsia="宋体" w:cs="Times New Roman"/>
                      <w:color w:val="auto"/>
                      <w:sz w:val="21"/>
                      <w:szCs w:val="21"/>
                      <w:highlight w:val="none"/>
                    </w:rPr>
                    <w:t>的建设项目</w:t>
                  </w:r>
                </w:p>
              </w:tc>
              <w:tc>
                <w:tcPr>
                  <w:tcW w:w="2850" w:type="pct"/>
                  <w:tcBorders>
                    <w:tl2br w:val="nil"/>
                    <w:tr2bl w:val="nil"/>
                  </w:tcBorders>
                  <w:noWrap w:val="0"/>
                  <w:vAlign w:val="center"/>
                </w:tcPr>
                <w:p w14:paraId="65D6EE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排污许可申请与核发技术规范工业窑炉》（HJ1121-2020）中主要污染物项目中汞适用于以煤为燃料的工业窑炉，本项目燃料为生物质，燃料元素分析无汞含量数据，根据《直接法测定固体生物质燃料中汞的试验研究》（煤质技术，2020年）可知，生物质汞含量为15.47ng/g。由于生物质燃料汞含量极低的特点，本项目不进行汞及其化合物的污染源强核算。废气污染物主要为颗粒物，烟尘、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和NOx，不涉及有毒有害污染物、二噁英、苯并芘、氰化物、氯气，所以不需要设置大气专项评价。</w:t>
                  </w:r>
                </w:p>
              </w:tc>
            </w:tr>
            <w:tr w14:paraId="4B3E6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530" w:type="pct"/>
                  <w:tcBorders>
                    <w:tl2br w:val="nil"/>
                    <w:tr2bl w:val="nil"/>
                  </w:tcBorders>
                  <w:noWrap w:val="0"/>
                  <w:vAlign w:val="center"/>
                </w:tcPr>
                <w:p w14:paraId="69D43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p>
              </w:tc>
              <w:tc>
                <w:tcPr>
                  <w:tcW w:w="1619" w:type="pct"/>
                  <w:tcBorders>
                    <w:tl2br w:val="nil"/>
                    <w:tr2bl w:val="nil"/>
                  </w:tcBorders>
                  <w:noWrap w:val="0"/>
                  <w:vAlign w:val="center"/>
                </w:tcPr>
                <w:p w14:paraId="6610F92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新增工业废水直排建设项目（槽罐车外送污水处理厂的除外）；新增废水直排的污水集中处理厂</w:t>
                  </w:r>
                </w:p>
              </w:tc>
              <w:tc>
                <w:tcPr>
                  <w:tcW w:w="2850" w:type="pct"/>
                  <w:tcBorders>
                    <w:tl2br w:val="nil"/>
                    <w:tr2bl w:val="nil"/>
                  </w:tcBorders>
                  <w:noWrap w:val="0"/>
                  <w:vAlign w:val="center"/>
                </w:tcPr>
                <w:p w14:paraId="520465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本项目废水为生活污水，生活污水排入厂区防渗旱厕，定期清掏，外运堆肥，不需设置地表水专项评价。</w:t>
                  </w:r>
                </w:p>
              </w:tc>
            </w:tr>
            <w:tr w14:paraId="09A5F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530" w:type="pct"/>
                  <w:tcBorders>
                    <w:tl2br w:val="nil"/>
                    <w:tr2bl w:val="nil"/>
                  </w:tcBorders>
                  <w:noWrap w:val="0"/>
                  <w:vAlign w:val="center"/>
                </w:tcPr>
                <w:p w14:paraId="5793C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tc>
              <w:tc>
                <w:tcPr>
                  <w:tcW w:w="1619" w:type="pct"/>
                  <w:tcBorders>
                    <w:tl2br w:val="nil"/>
                    <w:tr2bl w:val="nil"/>
                  </w:tcBorders>
                  <w:noWrap w:val="0"/>
                  <w:vAlign w:val="center"/>
                </w:tcPr>
                <w:p w14:paraId="15ACA3B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有毒有害和易燃易爆危险物质存储量超过临界量</w:t>
                  </w:r>
                  <w:r>
                    <w:rPr>
                      <w:rFonts w:hint="default" w:ascii="Times New Roman" w:hAnsi="Times New Roman" w:eastAsia="宋体" w:cs="Times New Roman"/>
                      <w:color w:val="auto"/>
                      <w:sz w:val="21"/>
                      <w:szCs w:val="21"/>
                      <w:highlight w:val="none"/>
                      <w:vertAlign w:val="superscript"/>
                    </w:rPr>
                    <w:t>③</w:t>
                  </w:r>
                  <w:r>
                    <w:rPr>
                      <w:rFonts w:hint="default" w:ascii="Times New Roman" w:hAnsi="Times New Roman" w:eastAsia="宋体" w:cs="Times New Roman"/>
                      <w:color w:val="auto"/>
                      <w:sz w:val="21"/>
                      <w:szCs w:val="21"/>
                      <w:highlight w:val="none"/>
                    </w:rPr>
                    <w:t>的建设项目</w:t>
                  </w:r>
                </w:p>
              </w:tc>
              <w:tc>
                <w:tcPr>
                  <w:tcW w:w="2850" w:type="pct"/>
                  <w:tcBorders>
                    <w:tl2br w:val="nil"/>
                    <w:tr2bl w:val="nil"/>
                  </w:tcBorders>
                  <w:noWrap w:val="0"/>
                  <w:vAlign w:val="center"/>
                </w:tcPr>
                <w:p w14:paraId="33ECE7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本项目不属于有毒有害和易燃易爆危险物质存储量超过临界量的建设项目</w:t>
                  </w:r>
                </w:p>
              </w:tc>
            </w:tr>
            <w:tr w14:paraId="22CC2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59" w:hRule="atLeast"/>
              </w:trPr>
              <w:tc>
                <w:tcPr>
                  <w:tcW w:w="530" w:type="pct"/>
                  <w:tcBorders>
                    <w:tl2br w:val="nil"/>
                    <w:tr2bl w:val="nil"/>
                  </w:tcBorders>
                  <w:noWrap w:val="0"/>
                  <w:vAlign w:val="center"/>
                </w:tcPr>
                <w:p w14:paraId="1BD23F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w:t>
                  </w:r>
                </w:p>
              </w:tc>
              <w:tc>
                <w:tcPr>
                  <w:tcW w:w="1619" w:type="pct"/>
                  <w:tcBorders>
                    <w:tl2br w:val="nil"/>
                    <w:tr2bl w:val="nil"/>
                  </w:tcBorders>
                  <w:noWrap w:val="0"/>
                  <w:vAlign w:val="center"/>
                </w:tcPr>
                <w:p w14:paraId="02C2144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取水口下游500米范围内有重要水生生物的自然产卵场、索饵场、越冬场和洄游通道的新增河道取水的污染类建设项目</w:t>
                  </w:r>
                </w:p>
              </w:tc>
              <w:tc>
                <w:tcPr>
                  <w:tcW w:w="2850" w:type="pct"/>
                  <w:tcBorders>
                    <w:tl2br w:val="nil"/>
                    <w:tr2bl w:val="nil"/>
                  </w:tcBorders>
                  <w:noWrap w:val="0"/>
                  <w:vAlign w:val="center"/>
                </w:tcPr>
                <w:p w14:paraId="501745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本项目不涉及河道取水，不需设置</w:t>
                  </w:r>
                  <w:r>
                    <w:rPr>
                      <w:rFonts w:hint="default" w:ascii="Times New Roman" w:hAnsi="Times New Roman" w:eastAsia="宋体" w:cs="Times New Roman"/>
                      <w:color w:val="auto"/>
                      <w:sz w:val="21"/>
                      <w:szCs w:val="21"/>
                      <w:highlight w:val="none"/>
                      <w:lang w:val="en-US" w:eastAsia="zh-CN"/>
                    </w:rPr>
                    <w:t>生态专项评价</w:t>
                  </w:r>
                  <w:r>
                    <w:rPr>
                      <w:rFonts w:hint="default" w:ascii="Times New Roman" w:hAnsi="Times New Roman" w:eastAsia="宋体" w:cs="Times New Roman"/>
                      <w:color w:val="auto"/>
                      <w:sz w:val="21"/>
                      <w:szCs w:val="21"/>
                      <w:highlight w:val="none"/>
                    </w:rPr>
                    <w:t>。</w:t>
                  </w:r>
                </w:p>
              </w:tc>
            </w:tr>
            <w:tr w14:paraId="434CF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530" w:type="pct"/>
                  <w:tcBorders>
                    <w:tl2br w:val="nil"/>
                    <w:tr2bl w:val="nil"/>
                  </w:tcBorders>
                  <w:noWrap w:val="0"/>
                  <w:vAlign w:val="center"/>
                </w:tcPr>
                <w:p w14:paraId="6EEE75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海洋</w:t>
                  </w:r>
                </w:p>
              </w:tc>
              <w:tc>
                <w:tcPr>
                  <w:tcW w:w="1619" w:type="pct"/>
                  <w:tcBorders>
                    <w:tl2br w:val="nil"/>
                    <w:tr2bl w:val="nil"/>
                  </w:tcBorders>
                  <w:noWrap w:val="0"/>
                  <w:vAlign w:val="center"/>
                </w:tcPr>
                <w:p w14:paraId="36AA301F">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直接向海排放污染物的海洋工程建设项目</w:t>
                  </w:r>
                </w:p>
              </w:tc>
              <w:tc>
                <w:tcPr>
                  <w:tcW w:w="2850" w:type="pct"/>
                  <w:tcBorders>
                    <w:tl2br w:val="nil"/>
                    <w:tr2bl w:val="nil"/>
                  </w:tcBorders>
                  <w:noWrap w:val="0"/>
                  <w:vAlign w:val="center"/>
                </w:tcPr>
                <w:p w14:paraId="2676C0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本项目不涉及海洋，不需设置海洋</w:t>
                  </w:r>
                  <w:r>
                    <w:rPr>
                      <w:rFonts w:hint="default" w:ascii="Times New Roman" w:hAnsi="Times New Roman" w:eastAsia="宋体" w:cs="Times New Roman"/>
                      <w:color w:val="auto"/>
                      <w:sz w:val="21"/>
                      <w:szCs w:val="21"/>
                      <w:highlight w:val="none"/>
                      <w:lang w:val="en-US" w:eastAsia="zh-CN"/>
                    </w:rPr>
                    <w:t>专项评价</w:t>
                  </w:r>
                  <w:r>
                    <w:rPr>
                      <w:rFonts w:hint="default" w:ascii="Times New Roman" w:hAnsi="Times New Roman" w:eastAsia="宋体" w:cs="Times New Roman"/>
                      <w:color w:val="auto"/>
                      <w:sz w:val="21"/>
                      <w:szCs w:val="21"/>
                      <w:highlight w:val="none"/>
                    </w:rPr>
                    <w:t>。</w:t>
                  </w:r>
                </w:p>
              </w:tc>
            </w:tr>
            <w:tr w14:paraId="7301A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5000" w:type="pct"/>
                  <w:gridSpan w:val="3"/>
                  <w:tcBorders>
                    <w:tl2br w:val="nil"/>
                    <w:tr2bl w:val="nil"/>
                  </w:tcBorders>
                  <w:noWrap w:val="0"/>
                  <w:vAlign w:val="center"/>
                </w:tcPr>
                <w:p w14:paraId="030F4CE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注：①废气中有毒有害污染物指纳入《有毒有害大气污染物名录》的污染物（不包括物排放标准的污染物）。</w:t>
                  </w:r>
                </w:p>
                <w:p w14:paraId="7C05745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②环境空气保护目标指自然保护区、风景名胜区、居住区、文化区和农村地区中人群较集中的区域。</w:t>
                  </w:r>
                </w:p>
                <w:p w14:paraId="3FC521A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③临界量及其计算方法参考《建设项目环境风险评价技术导则》（HJ169）附录B、附录C。</w:t>
                  </w:r>
                </w:p>
              </w:tc>
            </w:tr>
          </w:tbl>
          <w:p w14:paraId="69F2BAC8">
            <w:pPr>
              <w:keepNext w:val="0"/>
              <w:keepLines w:val="0"/>
              <w:suppressLineNumbers w:val="0"/>
              <w:spacing w:before="0" w:beforeAutospacing="0" w:after="0" w:afterAutospacing="0" w:line="500" w:lineRule="exact"/>
              <w:ind w:left="0" w:right="0" w:firstLine="420" w:firstLineChars="20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根据上表分析可知，本项目无需开展专项评价工作。</w:t>
            </w:r>
          </w:p>
        </w:tc>
      </w:tr>
      <w:tr w14:paraId="0E7F6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069" w:type="dxa"/>
            <w:vAlign w:val="center"/>
          </w:tcPr>
          <w:p w14:paraId="6072054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规划情况</w:t>
            </w:r>
          </w:p>
        </w:tc>
        <w:tc>
          <w:tcPr>
            <w:tcW w:w="6801" w:type="dxa"/>
            <w:gridSpan w:val="3"/>
            <w:vAlign w:val="center"/>
          </w:tcPr>
          <w:p w14:paraId="054A65F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无</w:t>
            </w:r>
          </w:p>
        </w:tc>
      </w:tr>
      <w:tr w14:paraId="1F7C9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069" w:type="dxa"/>
            <w:vAlign w:val="center"/>
          </w:tcPr>
          <w:p w14:paraId="60B822F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规划环境影响</w:t>
            </w:r>
          </w:p>
          <w:p w14:paraId="03668D5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评价情况</w:t>
            </w:r>
          </w:p>
        </w:tc>
        <w:tc>
          <w:tcPr>
            <w:tcW w:w="6801" w:type="dxa"/>
            <w:gridSpan w:val="3"/>
            <w:vAlign w:val="center"/>
          </w:tcPr>
          <w:p w14:paraId="12FF268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无</w:t>
            </w:r>
          </w:p>
        </w:tc>
      </w:tr>
      <w:tr w14:paraId="55359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9" w:type="dxa"/>
            <w:vAlign w:val="center"/>
          </w:tcPr>
          <w:p w14:paraId="582A3F7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规划及规划环境影响评价符合性分析</w:t>
            </w:r>
          </w:p>
        </w:tc>
        <w:tc>
          <w:tcPr>
            <w:tcW w:w="6801" w:type="dxa"/>
            <w:gridSpan w:val="3"/>
            <w:vAlign w:val="center"/>
          </w:tcPr>
          <w:p w14:paraId="5EC55E5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无</w:t>
            </w:r>
          </w:p>
        </w:tc>
      </w:tr>
      <w:tr w14:paraId="234DE6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14" w:hRule="atLeast"/>
          <w:jc w:val="center"/>
        </w:trPr>
        <w:tc>
          <w:tcPr>
            <w:tcW w:w="2069" w:type="dxa"/>
            <w:vAlign w:val="center"/>
          </w:tcPr>
          <w:p w14:paraId="576561C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其他符合性分析</w:t>
            </w:r>
          </w:p>
        </w:tc>
        <w:tc>
          <w:tcPr>
            <w:tcW w:w="6801" w:type="dxa"/>
            <w:gridSpan w:val="3"/>
            <w:vAlign w:val="center"/>
          </w:tcPr>
          <w:p w14:paraId="4B6710D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rPr>
              <w:t>、产业政策相符性</w:t>
            </w:r>
          </w:p>
          <w:p w14:paraId="46E8B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highlight w:val="none"/>
              </w:rPr>
              <w:t>本项目属于农产品初加工及热力生产和供应项目，本项目建设1台</w:t>
            </w:r>
            <w:r>
              <w:rPr>
                <w:rFonts w:hint="eastAsia" w:cs="Times New Roman"/>
                <w:color w:val="auto"/>
                <w:sz w:val="24"/>
                <w:highlight w:val="none"/>
                <w:lang w:eastAsia="zh-CN"/>
              </w:rPr>
              <w:t>900万kcal/h</w:t>
            </w:r>
            <w:r>
              <w:rPr>
                <w:rFonts w:hint="default" w:ascii="Times New Roman" w:hAnsi="Times New Roman" w:eastAsia="宋体" w:cs="Times New Roman"/>
                <w:color w:val="auto"/>
                <w:sz w:val="24"/>
                <w:highlight w:val="none"/>
              </w:rPr>
              <w:t>的燃生物质热风炉，本项目不属于《产业结构调整指导目录（2024年本）》中的“鼓励类”、“限制类”和“淘汰类”项目。项目所用设备无《产业结构调整指导目录(2024年本)》中限制、淘汰类设备。项目符合国家产业政策及有关部门的相关行业规定，项目实施后可以促进当地的经济发展。因此</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本项目的建设符合国家产业政策要求</w:t>
            </w:r>
            <w:r>
              <w:rPr>
                <w:rFonts w:hint="default" w:ascii="Times New Roman" w:hAnsi="Times New Roman" w:eastAsia="宋体" w:cs="Times New Roman"/>
                <w:color w:val="auto"/>
                <w:kern w:val="0"/>
                <w:sz w:val="24"/>
                <w:highlight w:val="none"/>
              </w:rPr>
              <w:t>。</w:t>
            </w:r>
          </w:p>
          <w:p w14:paraId="2210BA89">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rPr>
              <w:t>与生态环境分区管控要求符合性分析</w:t>
            </w:r>
          </w:p>
          <w:p w14:paraId="7C8D77E3">
            <w:pPr>
              <w:pStyle w:val="122"/>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0"/>
                <w:highlight w:val="none"/>
                <w:lang w:val="en-US" w:eastAsia="zh-CN" w:bidi="ar"/>
              </w:rPr>
            </w:pPr>
            <w:r>
              <w:rPr>
                <w:rFonts w:hint="default" w:ascii="Times New Roman" w:hAnsi="Times New Roman" w:eastAsia="宋体" w:cs="Times New Roman"/>
                <w:color w:val="auto"/>
                <w:sz w:val="24"/>
                <w:szCs w:val="20"/>
                <w:highlight w:val="none"/>
                <w:lang w:bidi="ar"/>
              </w:rPr>
              <w:t>本项目位于</w:t>
            </w:r>
            <w:r>
              <w:rPr>
                <w:rFonts w:hint="eastAsia" w:cs="Times New Roman"/>
                <w:color w:val="auto"/>
                <w:sz w:val="24"/>
                <w:szCs w:val="20"/>
                <w:highlight w:val="none"/>
                <w:lang w:val="en-US" w:eastAsia="zh-CN" w:bidi="ar"/>
              </w:rPr>
              <w:t>黑龙江省鸡西市虎林市850农场东部园区静泽街1-3号</w:t>
            </w:r>
            <w:r>
              <w:rPr>
                <w:rFonts w:hint="default" w:ascii="Times New Roman" w:hAnsi="Times New Roman" w:eastAsia="宋体" w:cs="Times New Roman"/>
                <w:snapToGrid w:val="0"/>
                <w:color w:val="auto"/>
                <w:kern w:val="0"/>
                <w:sz w:val="24"/>
                <w:szCs w:val="21"/>
                <w:highlight w:val="none"/>
                <w:lang w:eastAsia="zh-CN"/>
              </w:rPr>
              <w:t>。</w:t>
            </w:r>
            <w:r>
              <w:rPr>
                <w:rFonts w:hint="default" w:ascii="Times New Roman" w:hAnsi="Times New Roman" w:eastAsia="宋体" w:cs="Times New Roman"/>
                <w:color w:val="auto"/>
                <w:sz w:val="24"/>
                <w:szCs w:val="20"/>
                <w:highlight w:val="none"/>
                <w:lang w:bidi="ar"/>
              </w:rPr>
              <w:t>根据《黑龙江省人民政府关于实施“三线一单”生态环境分区管控的意见》（黑政发〔2020〕14号）</w:t>
            </w:r>
            <w:r>
              <w:rPr>
                <w:rFonts w:hint="eastAsia" w:ascii="Times New Roman" w:hAnsi="Times New Roman" w:cs="Times New Roman"/>
                <w:color w:val="auto"/>
                <w:sz w:val="24"/>
                <w:szCs w:val="20"/>
                <w:highlight w:val="none"/>
                <w:lang w:eastAsia="zh-CN" w:bidi="ar"/>
              </w:rPr>
              <w:t>、</w:t>
            </w:r>
            <w:r>
              <w:rPr>
                <w:rFonts w:hint="default" w:ascii="Times New Roman" w:hAnsi="Times New Roman" w:eastAsia="宋体" w:cs="Times New Roman"/>
                <w:color w:val="auto"/>
                <w:sz w:val="24"/>
                <w:szCs w:val="20"/>
                <w:highlight w:val="none"/>
                <w:lang w:bidi="ar"/>
              </w:rPr>
              <w:t>《</w:t>
            </w:r>
            <w:r>
              <w:rPr>
                <w:rFonts w:hint="default" w:ascii="Times New Roman" w:hAnsi="Times New Roman" w:eastAsia="宋体" w:cs="Times New Roman"/>
                <w:color w:val="auto"/>
                <w:sz w:val="24"/>
                <w:szCs w:val="20"/>
                <w:highlight w:val="none"/>
                <w:lang w:val="en-US" w:eastAsia="zh-CN" w:bidi="ar"/>
              </w:rPr>
              <w:t>鸡西</w:t>
            </w:r>
            <w:r>
              <w:rPr>
                <w:rFonts w:hint="default" w:ascii="Times New Roman" w:hAnsi="Times New Roman" w:eastAsia="宋体" w:cs="Times New Roman"/>
                <w:color w:val="auto"/>
                <w:sz w:val="24"/>
                <w:szCs w:val="20"/>
                <w:highlight w:val="none"/>
                <w:lang w:bidi="ar"/>
              </w:rPr>
              <w:t>市人民政府关于实施“三线一单”生态环境分区管控的意见》（</w:t>
            </w:r>
            <w:r>
              <w:rPr>
                <w:rFonts w:hint="default" w:ascii="Times New Roman" w:hAnsi="Times New Roman" w:eastAsia="宋体" w:cs="Times New Roman"/>
                <w:color w:val="auto"/>
                <w:sz w:val="24"/>
                <w:szCs w:val="20"/>
                <w:highlight w:val="none"/>
                <w:lang w:val="en-US" w:eastAsia="zh-CN" w:bidi="ar"/>
              </w:rPr>
              <w:t>鸡政发</w:t>
            </w:r>
            <w:r>
              <w:rPr>
                <w:rFonts w:hint="default" w:ascii="Times New Roman" w:hAnsi="Times New Roman" w:eastAsia="宋体" w:cs="Times New Roman"/>
                <w:color w:val="auto"/>
                <w:sz w:val="24"/>
                <w:szCs w:val="20"/>
                <w:highlight w:val="none"/>
                <w:lang w:bidi="ar"/>
              </w:rPr>
              <w:t>〔2021〕</w:t>
            </w:r>
            <w:r>
              <w:rPr>
                <w:rFonts w:hint="default" w:ascii="Times New Roman" w:hAnsi="Times New Roman" w:eastAsia="宋体" w:cs="Times New Roman"/>
                <w:color w:val="auto"/>
                <w:sz w:val="24"/>
                <w:szCs w:val="20"/>
                <w:highlight w:val="none"/>
                <w:lang w:val="en-US" w:eastAsia="zh-CN" w:bidi="ar"/>
              </w:rPr>
              <w:t>7</w:t>
            </w:r>
            <w:r>
              <w:rPr>
                <w:rFonts w:hint="default" w:ascii="Times New Roman" w:hAnsi="Times New Roman" w:eastAsia="宋体" w:cs="Times New Roman"/>
                <w:color w:val="auto"/>
                <w:sz w:val="24"/>
                <w:szCs w:val="20"/>
                <w:highlight w:val="none"/>
                <w:lang w:bidi="ar"/>
              </w:rPr>
              <w:t>号）</w:t>
            </w:r>
            <w:r>
              <w:rPr>
                <w:rFonts w:hint="eastAsia" w:ascii="Times New Roman" w:hAnsi="Times New Roman" w:eastAsia="宋体" w:cs="Times New Roman"/>
                <w:color w:val="auto"/>
                <w:sz w:val="24"/>
                <w:szCs w:val="20"/>
                <w:highlight w:val="none"/>
                <w:lang w:eastAsia="zh-CN" w:bidi="ar"/>
              </w:rPr>
              <w:t>、</w:t>
            </w:r>
            <w:r>
              <w:rPr>
                <w:rFonts w:hint="eastAsia" w:ascii="Times New Roman" w:hAnsi="Times New Roman" w:cs="Times New Roman"/>
                <w:color w:val="auto"/>
                <w:sz w:val="24"/>
                <w:szCs w:val="20"/>
                <w:highlight w:val="none"/>
                <w:lang w:val="en-US" w:eastAsia="zh-CN" w:bidi="ar"/>
              </w:rPr>
              <w:t>《鸡西市生态环境准入清单》（2023年版）及</w:t>
            </w:r>
            <w:r>
              <w:rPr>
                <w:rFonts w:hint="default" w:ascii="Times New Roman" w:hAnsi="Times New Roman" w:eastAsia="宋体" w:cs="Times New Roman"/>
                <w:color w:val="auto"/>
                <w:sz w:val="24"/>
                <w:szCs w:val="20"/>
                <w:highlight w:val="none"/>
                <w:lang w:val="en-US" w:eastAsia="zh-CN" w:bidi="ar"/>
              </w:rPr>
              <w:t>《</w:t>
            </w:r>
            <w:r>
              <w:rPr>
                <w:rFonts w:hint="eastAsia" w:ascii="Times New Roman" w:hAnsi="Times New Roman" w:cs="Times New Roman"/>
                <w:color w:val="auto"/>
                <w:sz w:val="24"/>
                <w:szCs w:val="20"/>
                <w:highlight w:val="none"/>
                <w:lang w:val="en-US" w:eastAsia="zh-CN" w:bidi="ar"/>
              </w:rPr>
              <w:t>黑龙江省锦畴粮食贸易有限公司建设项目</w:t>
            </w:r>
            <w:r>
              <w:rPr>
                <w:rFonts w:hint="default" w:ascii="Times New Roman" w:hAnsi="Times New Roman" w:eastAsia="宋体" w:cs="Times New Roman"/>
                <w:color w:val="auto"/>
                <w:sz w:val="24"/>
                <w:szCs w:val="20"/>
                <w:highlight w:val="none"/>
                <w:lang w:val="en-US" w:eastAsia="zh-CN" w:bidi="ar"/>
              </w:rPr>
              <w:t>生态环境分区管控分析报告》可知，本项目属于</w:t>
            </w:r>
            <w:r>
              <w:rPr>
                <w:rFonts w:hint="eastAsia" w:ascii="Times New Roman" w:hAnsi="Times New Roman" w:eastAsia="宋体" w:cs="Times New Roman"/>
                <w:color w:val="auto"/>
                <w:sz w:val="24"/>
                <w:szCs w:val="20"/>
                <w:highlight w:val="none"/>
                <w:lang w:val="en-US" w:eastAsia="zh-CN" w:bidi="ar"/>
              </w:rPr>
              <w:t>虎林市其他区域</w:t>
            </w:r>
            <w:r>
              <w:rPr>
                <w:rFonts w:hint="default" w:ascii="Times New Roman" w:hAnsi="Times New Roman" w:eastAsia="宋体" w:cs="Times New Roman"/>
                <w:color w:val="auto"/>
                <w:sz w:val="24"/>
                <w:szCs w:val="20"/>
                <w:highlight w:val="none"/>
                <w:lang w:val="en-US" w:eastAsia="zh-CN" w:bidi="ar"/>
              </w:rPr>
              <w:t>，环境管控编码为“ZH23038130002”，属于“</w:t>
            </w:r>
            <w:r>
              <w:rPr>
                <w:rFonts w:hint="eastAsia" w:ascii="Times New Roman" w:hAnsi="Times New Roman" w:cs="Times New Roman"/>
                <w:color w:val="auto"/>
                <w:sz w:val="24"/>
                <w:szCs w:val="20"/>
                <w:highlight w:val="none"/>
                <w:lang w:val="en-US" w:eastAsia="zh-CN" w:bidi="ar"/>
              </w:rPr>
              <w:t>一般</w:t>
            </w:r>
            <w:r>
              <w:rPr>
                <w:rFonts w:hint="default" w:ascii="Times New Roman" w:hAnsi="Times New Roman" w:eastAsia="宋体" w:cs="Times New Roman"/>
                <w:color w:val="auto"/>
                <w:sz w:val="24"/>
                <w:szCs w:val="20"/>
                <w:highlight w:val="none"/>
                <w:lang w:val="en-US" w:eastAsia="zh-CN" w:bidi="ar"/>
              </w:rPr>
              <w:t>管控单元”。</w:t>
            </w:r>
          </w:p>
          <w:p w14:paraId="374BC43C">
            <w:pPr>
              <w:pStyle w:val="122"/>
              <w:keepNext w:val="0"/>
              <w:keepLines w:val="0"/>
              <w:numPr>
                <w:ilvl w:val="0"/>
                <w:numId w:val="0"/>
              </w:numPr>
              <w:suppressLineNumbers w:val="0"/>
              <w:spacing w:before="0" w:beforeAutospacing="0" w:after="0" w:afterAutospacing="0"/>
              <w:ind w:left="0" w:right="0" w:firstLine="480" w:firstLineChars="200"/>
              <w:rPr>
                <w:rFonts w:hint="eastAsia" w:ascii="Times New Roman" w:hAnsi="Times New Roman" w:cs="Times New Roman"/>
                <w:color w:val="auto"/>
                <w:sz w:val="24"/>
                <w:szCs w:val="20"/>
                <w:highlight w:val="none"/>
                <w:lang w:val="en-US" w:eastAsia="zh-CN" w:bidi="ar"/>
              </w:rPr>
            </w:pPr>
            <w:r>
              <w:rPr>
                <w:rFonts w:hint="eastAsia" w:ascii="Times New Roman" w:hAnsi="Times New Roman" w:cs="Times New Roman"/>
                <w:color w:val="auto"/>
                <w:sz w:val="24"/>
                <w:szCs w:val="20"/>
                <w:highlight w:val="none"/>
                <w:lang w:val="en-US" w:eastAsia="zh-CN" w:bidi="ar"/>
              </w:rPr>
              <w:t>（1）</w:t>
            </w:r>
            <w:r>
              <w:rPr>
                <w:rFonts w:hint="eastAsia"/>
                <w:b w:val="0"/>
                <w:bCs w:val="0"/>
                <w:color w:val="auto"/>
                <w:sz w:val="24"/>
                <w:szCs w:val="24"/>
                <w:highlight w:val="none"/>
                <w:lang w:eastAsia="zh-CN"/>
              </w:rPr>
              <w:t>“一图”</w:t>
            </w:r>
          </w:p>
          <w:p w14:paraId="2680EAC6">
            <w:pPr>
              <w:pStyle w:val="122"/>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0"/>
                <w:highlight w:val="none"/>
                <w:lang w:val="en-US" w:eastAsia="zh-CN" w:bidi="ar"/>
              </w:rPr>
            </w:pPr>
            <w:r>
              <w:rPr>
                <w:rFonts w:hint="default" w:ascii="Times New Roman" w:hAnsi="Times New Roman" w:eastAsia="宋体" w:cs="Times New Roman"/>
                <w:color w:val="auto"/>
                <w:sz w:val="24"/>
                <w:szCs w:val="20"/>
                <w:highlight w:val="none"/>
                <w:lang w:val="en-US" w:eastAsia="zh-CN" w:bidi="ar"/>
              </w:rPr>
              <w:t>根据黑龙江省生态分区管控数据应用平台出具的《</w:t>
            </w:r>
            <w:r>
              <w:rPr>
                <w:rFonts w:hint="eastAsia" w:ascii="Times New Roman" w:hAnsi="Times New Roman" w:cs="Times New Roman"/>
                <w:color w:val="auto"/>
                <w:sz w:val="24"/>
                <w:szCs w:val="20"/>
                <w:highlight w:val="none"/>
                <w:lang w:val="en-US" w:eastAsia="zh-CN" w:bidi="ar"/>
              </w:rPr>
              <w:t>黑龙江省锦畴粮食贸易有限公司建设项目</w:t>
            </w:r>
            <w:r>
              <w:rPr>
                <w:rFonts w:hint="default" w:ascii="Times New Roman" w:hAnsi="Times New Roman" w:eastAsia="宋体" w:cs="Times New Roman"/>
                <w:color w:val="auto"/>
                <w:sz w:val="24"/>
                <w:szCs w:val="20"/>
                <w:highlight w:val="none"/>
                <w:lang w:val="en-US" w:eastAsia="zh-CN" w:bidi="ar"/>
              </w:rPr>
              <w:t>生态环境分区管控分析报告》可知</w:t>
            </w:r>
            <w:r>
              <w:rPr>
                <w:rFonts w:hint="eastAsia" w:ascii="Times New Roman" w:hAnsi="Times New Roman" w:eastAsia="宋体" w:cs="Times New Roman"/>
                <w:color w:val="auto"/>
                <w:sz w:val="24"/>
                <w:szCs w:val="20"/>
                <w:highlight w:val="none"/>
                <w:lang w:val="en-US" w:eastAsia="zh-CN" w:bidi="ar"/>
              </w:rPr>
              <w:t>，</w:t>
            </w:r>
            <w:r>
              <w:rPr>
                <w:rFonts w:hint="default" w:ascii="Times New Roman" w:hAnsi="Times New Roman" w:eastAsia="宋体" w:cs="Times New Roman"/>
                <w:color w:val="auto"/>
                <w:sz w:val="24"/>
                <w:szCs w:val="20"/>
                <w:highlight w:val="none"/>
                <w:lang w:val="en-US" w:eastAsia="zh-CN" w:bidi="ar"/>
              </w:rPr>
              <w:t>本项目与环境管控单元叠加情况见</w:t>
            </w:r>
            <w:r>
              <w:rPr>
                <w:rFonts w:hint="default" w:ascii="Times New Roman" w:hAnsi="Times New Roman" w:eastAsia="宋体" w:cs="Times New Roman"/>
                <w:color w:val="auto"/>
                <w:sz w:val="24"/>
                <w:szCs w:val="20"/>
                <w:highlight w:val="none"/>
                <w:lang w:val="en-US" w:eastAsia="zh-CN" w:bidi="ar"/>
              </w:rPr>
              <w:fldChar w:fldCharType="begin"/>
            </w:r>
            <w:r>
              <w:rPr>
                <w:rFonts w:hint="default"/>
                <w:color w:val="auto"/>
                <w:szCs w:val="20"/>
                <w:highlight w:val="none"/>
              </w:rPr>
              <w:instrText xml:space="preserve"> REF _Ref28136 \h  \* MERGEFORMAT</w:instrText>
            </w:r>
            <w:r>
              <w:rPr>
                <w:rFonts w:hint="default" w:ascii="Times New Roman" w:hAnsi="Times New Roman" w:eastAsia="宋体" w:cs="Times New Roman"/>
                <w:color w:val="auto"/>
                <w:sz w:val="24"/>
                <w:szCs w:val="20"/>
                <w:highlight w:val="none"/>
                <w:lang w:val="en-US" w:eastAsia="zh-CN" w:bidi="ar"/>
              </w:rPr>
              <w:fldChar w:fldCharType="separate"/>
            </w:r>
            <w:r>
              <w:rPr>
                <w:rFonts w:hint="default" w:ascii="Times New Roman" w:hAnsi="Times New Roman" w:eastAsia="宋体" w:cs="Times New Roman"/>
                <w:color w:val="auto"/>
                <w:sz w:val="24"/>
                <w:szCs w:val="20"/>
                <w:highlight w:val="none"/>
                <w:lang w:val="en-US" w:eastAsia="zh-CN" w:bidi="ar"/>
              </w:rPr>
              <w:fldChar w:fldCharType="end"/>
            </w:r>
            <w:r>
              <w:rPr>
                <w:rFonts w:hint="default" w:ascii="Times New Roman" w:hAnsi="Times New Roman" w:eastAsia="宋体" w:cs="Times New Roman"/>
                <w:color w:val="auto"/>
                <w:sz w:val="24"/>
                <w:szCs w:val="20"/>
                <w:highlight w:val="none"/>
                <w:lang w:val="en-US" w:eastAsia="zh-CN" w:bidi="ar"/>
              </w:rPr>
              <w:t>图1-1图1-2。</w:t>
            </w:r>
          </w:p>
          <w:p w14:paraId="0A437D47">
            <w:pPr>
              <w:pStyle w:val="122"/>
              <w:keepNext w:val="0"/>
              <w:keepLines w:val="0"/>
              <w:numPr>
                <w:ilvl w:val="0"/>
                <w:numId w:val="0"/>
              </w:numPr>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drawing>
                <wp:inline distT="0" distB="0" distL="114300" distR="114300">
                  <wp:extent cx="3500755" cy="1835785"/>
                  <wp:effectExtent l="0" t="0" r="4445" b="12065"/>
                  <wp:docPr id="43" name="图片 43" descr="黑龙江省锦畴粮食贸易有限公司建设_2026年08月13日153841_分析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黑龙江省锦畴粮食贸易有限公司建设_2026年08月13日153841_分析报告_07"/>
                          <pic:cNvPicPr>
                            <a:picLocks noChangeAspect="1"/>
                          </pic:cNvPicPr>
                        </pic:nvPicPr>
                        <pic:blipFill>
                          <a:blip r:embed="rId12"/>
                          <a:srcRect l="9597" t="13636" r="9368" b="26277"/>
                          <a:stretch>
                            <a:fillRect/>
                          </a:stretch>
                        </pic:blipFill>
                        <pic:spPr>
                          <a:xfrm>
                            <a:off x="0" y="0"/>
                            <a:ext cx="3500755" cy="1835785"/>
                          </a:xfrm>
                          <a:prstGeom prst="rect">
                            <a:avLst/>
                          </a:prstGeom>
                        </pic:spPr>
                      </pic:pic>
                    </a:graphicData>
                  </a:graphic>
                </wp:inline>
              </w:drawing>
            </w:r>
          </w:p>
          <w:p w14:paraId="15A49716">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图1-</w:t>
            </w:r>
            <w:r>
              <w:rPr>
                <w:rFonts w:hint="default" w:ascii="Times New Roman" w:hAnsi="Times New Roman" w:cs="Times New Roman"/>
                <w:b/>
                <w:bCs/>
                <w:color w:val="auto"/>
                <w:szCs w:val="21"/>
                <w:highlight w:val="none"/>
                <w:lang w:val="en-US" w:eastAsia="zh-CN"/>
              </w:rPr>
              <w:t>1</w:t>
            </w:r>
            <w:r>
              <w:rPr>
                <w:rFonts w:hint="default" w:ascii="Times New Roman" w:hAnsi="Times New Roman" w:cs="Times New Roman"/>
                <w:b/>
                <w:bCs/>
                <w:color w:val="auto"/>
                <w:szCs w:val="21"/>
                <w:highlight w:val="none"/>
              </w:rPr>
              <w:t>本项目与环境管控单元对照分析示意图</w:t>
            </w:r>
          </w:p>
          <w:p w14:paraId="313E69D9">
            <w:pPr>
              <w:pStyle w:val="10"/>
              <w:keepNext w:val="0"/>
              <w:keepLines w:val="0"/>
              <w:suppressLineNumbers w:val="0"/>
              <w:spacing w:before="0" w:beforeAutospacing="0" w:after="0" w:afterAutospacing="0" w:line="240" w:lineRule="auto"/>
              <w:ind w:left="0" w:right="0"/>
              <w:jc w:val="center"/>
              <w:rPr>
                <w:rFonts w:hint="eastAsia" w:ascii="Times New Roman" w:hAnsi="Times New Roman" w:eastAsia="华文中宋" w:cs="Times New Roman"/>
                <w:color w:val="auto"/>
                <w:sz w:val="15"/>
                <w:szCs w:val="15"/>
                <w:highlight w:val="none"/>
                <w:lang w:eastAsia="zh-CN"/>
              </w:rPr>
            </w:pPr>
            <w:r>
              <w:rPr>
                <w:rFonts w:hint="eastAsia" w:ascii="Times New Roman" w:hAnsi="Times New Roman" w:eastAsia="华文中宋" w:cs="Times New Roman"/>
                <w:color w:val="auto"/>
                <w:sz w:val="15"/>
                <w:szCs w:val="15"/>
                <w:highlight w:val="none"/>
                <w:lang w:eastAsia="zh-CN"/>
              </w:rPr>
              <w:drawing>
                <wp:inline distT="0" distB="0" distL="114300" distR="114300">
                  <wp:extent cx="3620770" cy="1877695"/>
                  <wp:effectExtent l="0" t="0" r="17780" b="8255"/>
                  <wp:docPr id="44" name="图片 44" descr="黑龙江省锦畴粮食贸易有限公司建设_2026年08月13日153841_分析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黑龙江省锦畴粮食贸易有限公司建设_2026年08月13日153841_分析报告_08"/>
                          <pic:cNvPicPr>
                            <a:picLocks noChangeAspect="1"/>
                          </pic:cNvPicPr>
                        </pic:nvPicPr>
                        <pic:blipFill>
                          <a:blip r:embed="rId13"/>
                          <a:srcRect l="9766" t="10887" r="9291" b="29762"/>
                          <a:stretch>
                            <a:fillRect/>
                          </a:stretch>
                        </pic:blipFill>
                        <pic:spPr>
                          <a:xfrm>
                            <a:off x="0" y="0"/>
                            <a:ext cx="3620770" cy="1877695"/>
                          </a:xfrm>
                          <a:prstGeom prst="rect">
                            <a:avLst/>
                          </a:prstGeom>
                        </pic:spPr>
                      </pic:pic>
                    </a:graphicData>
                  </a:graphic>
                </wp:inline>
              </w:drawing>
            </w:r>
          </w:p>
          <w:p w14:paraId="7CD0B1C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auto"/>
                <w:szCs w:val="21"/>
                <w:highlight w:val="none"/>
                <w:lang w:val="en-US" w:eastAsia="zh-CN"/>
              </w:rPr>
            </w:pPr>
            <w:r>
              <w:rPr>
                <w:rFonts w:hint="default" w:ascii="Times New Roman" w:hAnsi="Times New Roman" w:eastAsia="宋体" w:cs="Times New Roman"/>
                <w:b/>
                <w:bCs/>
                <w:color w:val="auto"/>
                <w:szCs w:val="21"/>
                <w:highlight w:val="none"/>
                <w:lang w:val="en-US" w:eastAsia="zh-CN"/>
              </w:rPr>
              <w:t>图1-2项目与地下水环境管控单元叠加图</w:t>
            </w:r>
          </w:p>
          <w:p w14:paraId="133D78DE">
            <w:pPr>
              <w:pStyle w:val="10"/>
              <w:keepNext w:val="0"/>
              <w:keepLines w:val="0"/>
              <w:suppressLineNumbers w:val="0"/>
              <w:spacing w:before="0" w:beforeAutospacing="0" w:after="0" w:afterAutospacing="0" w:line="240" w:lineRule="auto"/>
              <w:ind w:left="0" w:right="0"/>
              <w:jc w:val="center"/>
              <w:rPr>
                <w:rFonts w:hint="eastAsia" w:ascii="Times New Roman" w:hAnsi="Times New Roman" w:eastAsia="华文中宋" w:cs="Times New Roman"/>
                <w:color w:val="auto"/>
                <w:sz w:val="15"/>
                <w:szCs w:val="15"/>
                <w:highlight w:val="none"/>
                <w:lang w:eastAsia="zh-CN"/>
              </w:rPr>
            </w:pPr>
          </w:p>
          <w:p w14:paraId="6A812250">
            <w:pPr>
              <w:pStyle w:val="91"/>
              <w:keepNext w:val="0"/>
              <w:keepLines w:val="0"/>
              <w:pageBreakBefore w:val="0"/>
              <w:widowControl w:val="0"/>
              <w:numPr>
                <w:ilvl w:val="0"/>
                <w:numId w:val="4"/>
              </w:numPr>
              <w:suppressLineNumbers w:val="0"/>
              <w:kinsoku/>
              <w:wordWrap/>
              <w:topLinePunct w:val="0"/>
              <w:autoSpaceDE/>
              <w:autoSpaceDN/>
              <w:bidi w:val="0"/>
              <w:adjustRightInd/>
              <w:spacing w:before="0" w:beforeAutospacing="0" w:after="0" w:afterAutospacing="0" w:line="360" w:lineRule="auto"/>
              <w:ind w:left="0" w:right="0" w:firstLine="48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val="en-US" w:eastAsia="zh-CN"/>
              </w:rPr>
              <w:t>一表”</w:t>
            </w:r>
          </w:p>
          <w:p w14:paraId="42F549F4">
            <w:pPr>
              <w:pStyle w:val="31"/>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firstLine="0" w:firstLineChars="0"/>
              <w:jc w:val="center"/>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Cs w:val="21"/>
                <w:highlight w:val="none"/>
              </w:rPr>
              <w:t>表1-</w:t>
            </w:r>
            <w:r>
              <w:rPr>
                <w:rFonts w:hint="eastAsia" w:cs="Times New Roman"/>
                <w:b/>
                <w:bCs/>
                <w:color w:val="auto"/>
                <w:szCs w:val="21"/>
                <w:highlight w:val="none"/>
                <w:lang w:val="en-US" w:eastAsia="zh-CN"/>
              </w:rPr>
              <w:t>2</w:t>
            </w:r>
            <w:r>
              <w:rPr>
                <w:rFonts w:hint="default" w:ascii="Times New Roman" w:hAnsi="Times New Roman" w:eastAsia="宋体" w:cs="Times New Roman"/>
                <w:b/>
                <w:bCs/>
                <w:color w:val="auto"/>
                <w:szCs w:val="21"/>
                <w:highlight w:val="none"/>
              </w:rPr>
              <w:t>本项目与生态环境分区管控符合性分析表</w:t>
            </w:r>
          </w:p>
          <w:tbl>
            <w:tblPr>
              <w:tblStyle w:val="33"/>
              <w:tblW w:w="49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3168"/>
              <w:gridCol w:w="2093"/>
            </w:tblGrid>
            <w:tr w14:paraId="7FD6C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bottom w:val="single" w:color="auto" w:sz="4" w:space="0"/>
                  </w:tcBorders>
                  <w:noWrap w:val="0"/>
                  <w:vAlign w:val="center"/>
                </w:tcPr>
                <w:p w14:paraId="428DA578">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val="0"/>
                      <w:bCs w:val="0"/>
                      <w:color w:val="auto"/>
                      <w:sz w:val="21"/>
                      <w:szCs w:val="21"/>
                      <w:highlight w:val="none"/>
                    </w:rPr>
                  </w:pPr>
                  <w:r>
                    <w:rPr>
                      <w:rFonts w:hint="default"/>
                      <w:b/>
                      <w:bCs/>
                      <w:color w:val="auto"/>
                      <w:sz w:val="21"/>
                      <w:szCs w:val="21"/>
                      <w:highlight w:val="none"/>
                    </w:rPr>
                    <w:t>一、生态保护红线</w:t>
                  </w:r>
                </w:p>
              </w:tc>
            </w:tr>
            <w:tr w14:paraId="7D525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bottom w:val="single" w:color="auto" w:sz="4" w:space="0"/>
                  </w:tcBorders>
                  <w:noWrap w:val="0"/>
                  <w:vAlign w:val="center"/>
                </w:tcPr>
                <w:p w14:paraId="0B2F0708">
                  <w:pPr>
                    <w:pStyle w:val="13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default"/>
                      <w:b w:val="0"/>
                      <w:bCs w:val="0"/>
                      <w:color w:val="auto"/>
                      <w:sz w:val="21"/>
                      <w:szCs w:val="21"/>
                      <w:highlight w:val="none"/>
                    </w:rPr>
                  </w:pPr>
                  <w:r>
                    <w:rPr>
                      <w:rFonts w:hint="eastAsia"/>
                      <w:b w:val="0"/>
                      <w:bCs w:val="0"/>
                      <w:color w:val="auto"/>
                      <w:sz w:val="21"/>
                      <w:szCs w:val="21"/>
                      <w:highlight w:val="none"/>
                      <w:lang w:val="en-US" w:eastAsia="zh-CN"/>
                    </w:rPr>
                    <w:t>本项目位于黑龙江省鸡西市虎林市850农场东部园区静泽街1-3号，本项目占地为工业用地，周边无自然保护区、风景旅游区、文物保护区及珍稀动物保护区等敏感因素。本项目与生态红线无交集、不在生态保护红线范围内</w:t>
                  </w:r>
                  <w:r>
                    <w:rPr>
                      <w:rFonts w:hint="eastAsia" w:ascii="Times New Roman" w:hAnsi="Times New Roman" w:cs="Times New Roman"/>
                      <w:b w:val="0"/>
                      <w:bCs w:val="0"/>
                      <w:color w:val="auto"/>
                      <w:sz w:val="21"/>
                      <w:szCs w:val="21"/>
                      <w:highlight w:val="none"/>
                      <w:lang w:val="en-US" w:eastAsia="zh-CN"/>
                    </w:rPr>
                    <w:t>。</w:t>
                  </w:r>
                </w:p>
              </w:tc>
            </w:tr>
            <w:tr w14:paraId="712EA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5000" w:type="pct"/>
                  <w:gridSpan w:val="3"/>
                  <w:tcBorders>
                    <w:top w:val="single" w:color="auto" w:sz="4" w:space="0"/>
                    <w:bottom w:val="single" w:color="auto" w:sz="4" w:space="0"/>
                  </w:tcBorders>
                  <w:noWrap w:val="0"/>
                  <w:vAlign w:val="center"/>
                </w:tcPr>
                <w:p w14:paraId="62C843FA">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val="0"/>
                      <w:bCs w:val="0"/>
                      <w:color w:val="auto"/>
                      <w:sz w:val="21"/>
                      <w:szCs w:val="21"/>
                      <w:highlight w:val="none"/>
                    </w:rPr>
                  </w:pPr>
                  <w:r>
                    <w:rPr>
                      <w:rFonts w:hint="default"/>
                      <w:b/>
                      <w:bCs/>
                      <w:color w:val="auto"/>
                      <w:sz w:val="21"/>
                      <w:szCs w:val="21"/>
                      <w:highlight w:val="none"/>
                    </w:rPr>
                    <w:t>二、环境质量底线</w:t>
                  </w:r>
                </w:p>
              </w:tc>
            </w:tr>
            <w:tr w14:paraId="02BDD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bottom w:val="single" w:color="auto" w:sz="4" w:space="0"/>
                  </w:tcBorders>
                  <w:noWrap w:val="0"/>
                  <w:vAlign w:val="center"/>
                </w:tcPr>
                <w:p w14:paraId="57F76EFC">
                  <w:pPr>
                    <w:pStyle w:val="122"/>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48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环境质量底线是国家和地方设置的大气、水和土壤环境质量目标，也是改善环境质量的基准线。项目环境影响评价应对照区域环境质量目标，深入分析预测项目建设对环境质量的影响，强化污染防治措施和污染物排放控制要求。</w:t>
                  </w:r>
                </w:p>
                <w:p w14:paraId="78DA63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w:t>
                  </w:r>
                  <w:r>
                    <w:rPr>
                      <w:rFonts w:hint="default" w:ascii="Times New Roman" w:hAnsi="Times New Roman" w:eastAsia="宋体" w:cs="Times New Roman"/>
                      <w:b w:val="0"/>
                      <w:bCs w:val="0"/>
                      <w:color w:val="auto"/>
                      <w:kern w:val="0"/>
                      <w:sz w:val="21"/>
                      <w:szCs w:val="21"/>
                      <w:highlight w:val="none"/>
                      <w:lang w:val="en-US" w:eastAsia="zh-CN" w:bidi="ar-SA"/>
                    </w:rPr>
                    <w:t>大气</w:t>
                  </w:r>
                </w:p>
                <w:p w14:paraId="7FAA27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根据“生态环境分区管控分析报告”本项目所在地区属于大气环境一般管控区，本项目为烘干塔建设项目，不属于重点污染工业企业；项目所在区域为达标区；本项目运营期主要废气为燃生物质热风炉烟气，燃生物质热风炉产生烟气经布袋除尘器（除尘效率99.5%）处理后通过30m高烟囱DA001排放，热风炉烟气中烟尘和烟气黑度满足《工业炉窑大气污染物排放标准》（GB9078-1996）表2标准，烟气中SO</w:t>
                  </w:r>
                  <w:r>
                    <w:rPr>
                      <w:rFonts w:hint="default" w:ascii="Times New Roman" w:hAnsi="Times New Roman" w:eastAsia="宋体" w:cs="Times New Roman"/>
                      <w:b w:val="0"/>
                      <w:bCs w:val="0"/>
                      <w:color w:val="auto"/>
                      <w:kern w:val="0"/>
                      <w:sz w:val="21"/>
                      <w:szCs w:val="21"/>
                      <w:highlight w:val="none"/>
                      <w:vertAlign w:val="subscript"/>
                      <w:lang w:val="en-US" w:eastAsia="zh-CN" w:bidi="ar-SA"/>
                    </w:rPr>
                    <w:t>2</w:t>
                  </w:r>
                  <w:r>
                    <w:rPr>
                      <w:rFonts w:hint="default" w:ascii="Times New Roman" w:hAnsi="Times New Roman" w:eastAsia="宋体" w:cs="Times New Roman"/>
                      <w:b w:val="0"/>
                      <w:bCs w:val="0"/>
                      <w:color w:val="auto"/>
                      <w:kern w:val="0"/>
                      <w:sz w:val="21"/>
                      <w:szCs w:val="21"/>
                      <w:highlight w:val="none"/>
                      <w:lang w:val="en-US" w:eastAsia="zh-CN" w:bidi="ar-SA"/>
                    </w:rPr>
                    <w:t>满足《工业炉窑大气污染物排放标准》（GB9078-1996）表4中二级标准；生产过程中产生的粉尘满足《大气污染物综合排放标准》（GB16297-1996）表2无组织排放监控浓度限值标准。</w:t>
                  </w:r>
                </w:p>
                <w:p w14:paraId="0D2623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运营期污染物排放不会对大气环境质量现状造成不良影响，满足大气环境质量底线要求。</w:t>
                  </w:r>
                </w:p>
                <w:p w14:paraId="2CFAA14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2、</w:t>
                  </w:r>
                  <w:r>
                    <w:rPr>
                      <w:rFonts w:hint="default" w:ascii="Times New Roman" w:hAnsi="Times New Roman" w:eastAsia="宋体" w:cs="Times New Roman"/>
                      <w:b w:val="0"/>
                      <w:bCs w:val="0"/>
                      <w:color w:val="auto"/>
                      <w:kern w:val="0"/>
                      <w:sz w:val="21"/>
                      <w:szCs w:val="21"/>
                      <w:highlight w:val="none"/>
                      <w:lang w:val="en-US" w:eastAsia="zh-CN" w:bidi="ar-SA"/>
                    </w:rPr>
                    <w:t>水环境</w:t>
                  </w:r>
                </w:p>
                <w:p w14:paraId="5774F7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本项目最近水体为穆棱河。本项目位于虎林市水环境一般管控区，本项目无生产用水，生活污水排入防渗旱厕，定期清掏，外运堆肥。项目不突破水环境质量上线。因此本项目符合虎林市水环境质量底线及分区管控的要求。</w:t>
                  </w:r>
                </w:p>
                <w:p w14:paraId="64831B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落实本环评提出的相关环保措施后，本项目建成后所产生的各项污染物均可达标排放，项目污染物排放不会对区域环境质量底线造成冲击。综上，项目建设符合环境质量底线要求的。</w:t>
                  </w:r>
                </w:p>
                <w:p w14:paraId="5D5B89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w:t>
                  </w:r>
                  <w:r>
                    <w:rPr>
                      <w:rFonts w:hint="default" w:ascii="Times New Roman" w:hAnsi="Times New Roman" w:eastAsia="宋体" w:cs="Times New Roman"/>
                      <w:b w:val="0"/>
                      <w:bCs w:val="0"/>
                      <w:color w:val="auto"/>
                      <w:kern w:val="0"/>
                      <w:sz w:val="21"/>
                      <w:szCs w:val="21"/>
                      <w:highlight w:val="none"/>
                      <w:lang w:val="en-US" w:eastAsia="zh-CN" w:bidi="ar-SA"/>
                    </w:rPr>
                    <w:t>声环境</w:t>
                  </w:r>
                </w:p>
                <w:p w14:paraId="1AE808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本项目厂界噪声执行《工业企业厂界环境噪声排放标准》（GB12348-2008）中2类标准要求。本项目选用低噪声设备，经减振、消声、隔声处理等降噪措施后，运营时厂界噪声均可满足《工业企业厂界环境噪声排放标准》（GB12348-2008）表</w:t>
                  </w:r>
                  <w:r>
                    <w:rPr>
                      <w:rFonts w:hint="eastAsia" w:cs="Times New Roman"/>
                      <w:b w:val="0"/>
                      <w:bCs w:val="0"/>
                      <w:color w:val="auto"/>
                      <w:kern w:val="0"/>
                      <w:sz w:val="21"/>
                      <w:szCs w:val="21"/>
                      <w:highlight w:val="none"/>
                      <w:lang w:val="en-US" w:eastAsia="zh-CN" w:bidi="ar-SA"/>
                    </w:rPr>
                    <w:t>1</w:t>
                  </w:r>
                  <w:r>
                    <w:rPr>
                      <w:rFonts w:hint="default" w:ascii="Times New Roman" w:hAnsi="Times New Roman" w:eastAsia="宋体" w:cs="Times New Roman"/>
                      <w:b w:val="0"/>
                      <w:bCs w:val="0"/>
                      <w:color w:val="auto"/>
                      <w:kern w:val="0"/>
                      <w:sz w:val="21"/>
                      <w:szCs w:val="21"/>
                      <w:highlight w:val="none"/>
                      <w:lang w:val="en-US" w:eastAsia="zh-CN" w:bidi="ar-SA"/>
                    </w:rPr>
                    <w:t>中的2类标准。因此，在采取相应措施后，本项目的建设对周围声环境产生影响较小</w:t>
                  </w:r>
                  <w:r>
                    <w:rPr>
                      <w:rFonts w:hint="eastAsia" w:ascii="Times New Roman" w:hAnsi="Times New Roman" w:eastAsia="宋体" w:cs="Times New Roman"/>
                      <w:b w:val="0"/>
                      <w:bCs w:val="0"/>
                      <w:color w:val="auto"/>
                      <w:kern w:val="0"/>
                      <w:sz w:val="21"/>
                      <w:szCs w:val="21"/>
                      <w:highlight w:val="none"/>
                      <w:lang w:val="en-US" w:eastAsia="zh-CN" w:bidi="ar-SA"/>
                    </w:rPr>
                    <w:t>。</w:t>
                  </w:r>
                </w:p>
                <w:p w14:paraId="132155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default"/>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SA"/>
                    </w:rPr>
                    <w:t>本项目运营期各类污染物经环境保护措施治理后均可达标排放，对区域环境造成的不利影响较小，不会改变区域环境质量现状，因此，</w:t>
                  </w:r>
                  <w:r>
                    <w:rPr>
                      <w:rFonts w:hint="eastAsia" w:ascii="Times New Roman" w:hAnsi="Times New Roman" w:eastAsia="宋体" w:cs="Times New Roman"/>
                      <w:b w:val="0"/>
                      <w:bCs w:val="0"/>
                      <w:color w:val="auto"/>
                      <w:kern w:val="0"/>
                      <w:sz w:val="21"/>
                      <w:szCs w:val="21"/>
                      <w:highlight w:val="none"/>
                      <w:lang w:val="en-US" w:eastAsia="zh-CN" w:bidi="ar-SA"/>
                    </w:rPr>
                    <w:t>本项目</w:t>
                  </w:r>
                  <w:r>
                    <w:rPr>
                      <w:rFonts w:hint="default" w:ascii="Times New Roman" w:hAnsi="Times New Roman" w:eastAsia="宋体" w:cs="Times New Roman"/>
                      <w:b w:val="0"/>
                      <w:bCs w:val="0"/>
                      <w:color w:val="auto"/>
                      <w:kern w:val="0"/>
                      <w:sz w:val="21"/>
                      <w:szCs w:val="21"/>
                      <w:highlight w:val="none"/>
                      <w:lang w:val="en-US" w:eastAsia="zh-CN" w:bidi="ar-SA"/>
                    </w:rPr>
                    <w:t>符合环境质量底线要求。</w:t>
                  </w:r>
                </w:p>
              </w:tc>
            </w:tr>
            <w:tr w14:paraId="2ED27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bottom w:val="single" w:color="auto" w:sz="4" w:space="0"/>
                  </w:tcBorders>
                  <w:noWrap w:val="0"/>
                  <w:vAlign w:val="center"/>
                </w:tcPr>
                <w:p w14:paraId="3AB595B6">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val="0"/>
                      <w:bCs w:val="0"/>
                      <w:color w:val="auto"/>
                      <w:sz w:val="21"/>
                      <w:szCs w:val="21"/>
                      <w:highlight w:val="none"/>
                    </w:rPr>
                  </w:pPr>
                  <w:r>
                    <w:rPr>
                      <w:rFonts w:hint="default"/>
                      <w:b/>
                      <w:bCs/>
                      <w:color w:val="auto"/>
                      <w:sz w:val="21"/>
                      <w:szCs w:val="21"/>
                      <w:highlight w:val="none"/>
                    </w:rPr>
                    <w:t>三、资源利用上线</w:t>
                  </w:r>
                </w:p>
              </w:tc>
            </w:tr>
            <w:tr w14:paraId="0487E4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bottom w:val="single" w:color="auto" w:sz="4" w:space="0"/>
                  </w:tcBorders>
                  <w:noWrap w:val="0"/>
                  <w:vAlign w:val="center"/>
                </w:tcPr>
                <w:p w14:paraId="5D98AC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default"/>
                      <w:b w:val="0"/>
                      <w:bCs w:val="0"/>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rPr>
                    <w:t>本项目生产用热由燃生物质热风炉供给，燃料为生物质颗粒、不消耗煤炭资源。本项目生产过程不用水，生活水源由当地自来水罐车拉运提供，不属于高水耗，高能耗行业；供电电源为当地供电电网，资源消耗量相对于区域资源利用总量较小。本项目占地为工业用地，不占</w:t>
                  </w:r>
                  <w:r>
                    <w:rPr>
                      <w:rFonts w:hint="default" w:ascii="Times New Roman" w:hAnsi="Times New Roman" w:eastAsia="宋体" w:cs="Times New Roman"/>
                      <w:b w:val="0"/>
                      <w:bCs w:val="0"/>
                      <w:color w:val="auto"/>
                      <w:kern w:val="0"/>
                      <w:sz w:val="21"/>
                      <w:szCs w:val="21"/>
                      <w:highlight w:val="none"/>
                    </w:rPr>
                    <w:t>用基本农田和黑土地。因此，本项目符合资源利用上线的相关要求。</w:t>
                  </w:r>
                </w:p>
              </w:tc>
            </w:tr>
            <w:tr w14:paraId="4A457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bottom w:val="single" w:color="auto" w:sz="4" w:space="0"/>
                  </w:tcBorders>
                  <w:noWrap w:val="0"/>
                  <w:vAlign w:val="center"/>
                </w:tcPr>
                <w:p w14:paraId="0CA9E57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val="0"/>
                      <w:bCs w:val="0"/>
                      <w:color w:val="auto"/>
                      <w:sz w:val="21"/>
                      <w:szCs w:val="21"/>
                      <w:highlight w:val="none"/>
                    </w:rPr>
                  </w:pPr>
                  <w:r>
                    <w:rPr>
                      <w:rFonts w:hint="default"/>
                      <w:b/>
                      <w:bCs/>
                      <w:color w:val="auto"/>
                      <w:sz w:val="21"/>
                      <w:szCs w:val="21"/>
                      <w:highlight w:val="none"/>
                    </w:rPr>
                    <w:t>四、环境准入清单</w:t>
                  </w:r>
                </w:p>
              </w:tc>
            </w:tr>
            <w:tr w14:paraId="7B679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30F87F4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bCs/>
                      <w:color w:val="auto"/>
                      <w:sz w:val="21"/>
                      <w:szCs w:val="21"/>
                      <w:highlight w:val="none"/>
                    </w:rPr>
                  </w:pPr>
                  <w:r>
                    <w:rPr>
                      <w:rFonts w:hint="default"/>
                      <w:b/>
                      <w:bCs/>
                      <w:color w:val="auto"/>
                      <w:sz w:val="21"/>
                      <w:szCs w:val="21"/>
                      <w:highlight w:val="none"/>
                    </w:rPr>
                    <w:t>环境管控单元名称</w:t>
                  </w:r>
                </w:p>
              </w:tc>
              <w:tc>
                <w:tcPr>
                  <w:tcW w:w="4027" w:type="pct"/>
                  <w:gridSpan w:val="2"/>
                  <w:tcBorders>
                    <w:top w:val="single" w:color="auto" w:sz="4" w:space="0"/>
                    <w:left w:val="single" w:color="auto" w:sz="4" w:space="0"/>
                    <w:bottom w:val="single" w:color="auto" w:sz="4" w:space="0"/>
                  </w:tcBorders>
                  <w:noWrap w:val="0"/>
                  <w:vAlign w:val="center"/>
                </w:tcPr>
                <w:p w14:paraId="060D4E4E">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虎林市其他区域</w:t>
                  </w:r>
                </w:p>
              </w:tc>
            </w:tr>
            <w:tr w14:paraId="1E627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06B091C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bCs/>
                      <w:color w:val="auto"/>
                      <w:sz w:val="21"/>
                      <w:szCs w:val="21"/>
                      <w:highlight w:val="none"/>
                    </w:rPr>
                  </w:pPr>
                  <w:r>
                    <w:rPr>
                      <w:rFonts w:hint="default"/>
                      <w:b/>
                      <w:bCs/>
                      <w:color w:val="auto"/>
                      <w:sz w:val="21"/>
                      <w:szCs w:val="21"/>
                      <w:highlight w:val="none"/>
                    </w:rPr>
                    <w:t>环境管控单元编码</w:t>
                  </w:r>
                </w:p>
              </w:tc>
              <w:tc>
                <w:tcPr>
                  <w:tcW w:w="4027" w:type="pct"/>
                  <w:gridSpan w:val="2"/>
                  <w:tcBorders>
                    <w:top w:val="single" w:color="auto" w:sz="4" w:space="0"/>
                    <w:left w:val="single" w:color="auto" w:sz="4" w:space="0"/>
                    <w:bottom w:val="single" w:color="auto" w:sz="4" w:space="0"/>
                  </w:tcBorders>
                  <w:noWrap w:val="0"/>
                  <w:vAlign w:val="center"/>
                </w:tcPr>
                <w:p w14:paraId="6A75BB3F">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ZH23038130002</w:t>
                  </w:r>
                </w:p>
              </w:tc>
            </w:tr>
            <w:tr w14:paraId="45A52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467C769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b/>
                      <w:bCs/>
                      <w:color w:val="auto"/>
                      <w:sz w:val="21"/>
                      <w:szCs w:val="21"/>
                      <w:highlight w:val="none"/>
                    </w:rPr>
                  </w:pPr>
                  <w:r>
                    <w:rPr>
                      <w:rFonts w:hint="default"/>
                      <w:b/>
                      <w:bCs/>
                      <w:color w:val="auto"/>
                      <w:sz w:val="21"/>
                      <w:szCs w:val="21"/>
                      <w:highlight w:val="none"/>
                    </w:rPr>
                    <w:t>管控单元类别</w:t>
                  </w:r>
                </w:p>
              </w:tc>
              <w:tc>
                <w:tcPr>
                  <w:tcW w:w="4027" w:type="pct"/>
                  <w:gridSpan w:val="2"/>
                  <w:tcBorders>
                    <w:top w:val="single" w:color="auto" w:sz="4" w:space="0"/>
                    <w:left w:val="single" w:color="auto" w:sz="4" w:space="0"/>
                    <w:bottom w:val="single" w:color="auto" w:sz="4" w:space="0"/>
                  </w:tcBorders>
                  <w:noWrap w:val="0"/>
                  <w:vAlign w:val="center"/>
                </w:tcPr>
                <w:p w14:paraId="21815BD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一般管控单元</w:t>
                  </w:r>
                </w:p>
              </w:tc>
            </w:tr>
            <w:tr w14:paraId="1BF9D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8" w:type="pct"/>
                  <w:gridSpan w:val="2"/>
                  <w:tcBorders>
                    <w:top w:val="single" w:color="auto" w:sz="4" w:space="0"/>
                    <w:bottom w:val="single" w:color="auto" w:sz="4" w:space="0"/>
                    <w:right w:val="single" w:color="auto" w:sz="4" w:space="0"/>
                  </w:tcBorders>
                  <w:noWrap w:val="0"/>
                  <w:vAlign w:val="center"/>
                </w:tcPr>
                <w:p w14:paraId="63292C25">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管控要求</w:t>
                  </w:r>
                </w:p>
              </w:tc>
              <w:tc>
                <w:tcPr>
                  <w:tcW w:w="1601" w:type="pct"/>
                  <w:tcBorders>
                    <w:top w:val="single" w:color="auto" w:sz="4" w:space="0"/>
                    <w:left w:val="single" w:color="auto" w:sz="4" w:space="0"/>
                    <w:bottom w:val="single" w:color="auto" w:sz="4" w:space="0"/>
                  </w:tcBorders>
                  <w:noWrap w:val="0"/>
                  <w:vAlign w:val="center"/>
                </w:tcPr>
                <w:p w14:paraId="469A9EE6">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项目符合性分析</w:t>
                  </w:r>
                </w:p>
              </w:tc>
            </w:tr>
            <w:tr w14:paraId="61941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74D5CF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b/>
                      <w:bCs/>
                      <w:color w:val="auto"/>
                      <w:sz w:val="21"/>
                      <w:szCs w:val="21"/>
                      <w:highlight w:val="none"/>
                    </w:rPr>
                  </w:pPr>
                  <w:r>
                    <w:rPr>
                      <w:rFonts w:hint="default" w:ascii="Times New Roman" w:hAnsi="Times New Roman" w:eastAsia="宋体" w:cs="Times New Roman"/>
                      <w:b/>
                      <w:bCs/>
                      <w:color w:val="auto"/>
                      <w:sz w:val="21"/>
                      <w:szCs w:val="21"/>
                      <w:highlight w:val="none"/>
                    </w:rPr>
                    <w:t>空间布局约束</w:t>
                  </w:r>
                </w:p>
              </w:tc>
              <w:tc>
                <w:tcPr>
                  <w:tcW w:w="2426" w:type="pct"/>
                  <w:tcBorders>
                    <w:top w:val="single" w:color="auto" w:sz="4" w:space="0"/>
                    <w:left w:val="single" w:color="auto" w:sz="4" w:space="0"/>
                    <w:bottom w:val="single" w:color="auto" w:sz="4" w:space="0"/>
                    <w:right w:val="single" w:color="auto" w:sz="4" w:space="0"/>
                  </w:tcBorders>
                  <w:noWrap w:val="0"/>
                  <w:vAlign w:val="center"/>
                </w:tcPr>
                <w:p w14:paraId="55F7FD4C">
                  <w:pPr>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1.引导工业项目向开发区集中，促进产业集聚、资源集约、绿色发展。2.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r>
                    <w:rPr>
                      <w:rFonts w:hint="eastAsia" w:cs="Times New Roman"/>
                      <w:color w:val="auto"/>
                      <w:kern w:val="0"/>
                      <w:sz w:val="21"/>
                      <w:szCs w:val="21"/>
                      <w:highlight w:val="none"/>
                      <w:lang w:eastAsia="zh-CN"/>
                    </w:rPr>
                    <w:t>。</w:t>
                  </w:r>
                </w:p>
              </w:tc>
              <w:tc>
                <w:tcPr>
                  <w:tcW w:w="1601" w:type="pct"/>
                  <w:tcBorders>
                    <w:top w:val="single" w:color="auto" w:sz="4" w:space="0"/>
                    <w:left w:val="single" w:color="auto" w:sz="4" w:space="0"/>
                    <w:bottom w:val="single" w:color="auto" w:sz="4" w:space="0"/>
                  </w:tcBorders>
                  <w:noWrap w:val="0"/>
                  <w:vAlign w:val="center"/>
                </w:tcPr>
                <w:p w14:paraId="7E5DDAB0">
                  <w:pPr>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本项目属于农产品初加工项目，项目生物质热风炉使用生物质成型颗粒燃料</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本项目环保、能耗、安全等均达标，不涉及生产、使用淘汰类产品，符合空间布局约束</w:t>
                  </w:r>
                  <w:r>
                    <w:rPr>
                      <w:rFonts w:hint="eastAsia" w:ascii="Times New Roman" w:hAnsi="Times New Roman" w:eastAsia="宋体" w:cs="Times New Roman"/>
                      <w:color w:val="auto"/>
                      <w:sz w:val="21"/>
                      <w:szCs w:val="21"/>
                      <w:highlight w:val="none"/>
                      <w:lang w:val="en-US" w:eastAsia="zh-CN"/>
                    </w:rPr>
                    <w:t>。</w:t>
                  </w:r>
                </w:p>
              </w:tc>
            </w:tr>
            <w:tr w14:paraId="22A19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6CE1C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lang w:val="en-US" w:eastAsia="zh-CN"/>
                    </w:rPr>
                    <w:t>污染物排放管控</w:t>
                  </w:r>
                </w:p>
              </w:tc>
              <w:tc>
                <w:tcPr>
                  <w:tcW w:w="2426" w:type="pct"/>
                  <w:tcBorders>
                    <w:top w:val="single" w:color="auto" w:sz="4" w:space="0"/>
                    <w:left w:val="single" w:color="auto" w:sz="4" w:space="0"/>
                    <w:bottom w:val="single" w:color="auto" w:sz="4" w:space="0"/>
                    <w:right w:val="single" w:color="auto" w:sz="4" w:space="0"/>
                  </w:tcBorders>
                  <w:noWrap w:val="0"/>
                  <w:vAlign w:val="center"/>
                </w:tcPr>
                <w:p w14:paraId="45F8DE42">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601" w:type="pct"/>
                  <w:tcBorders>
                    <w:top w:val="single" w:color="auto" w:sz="4" w:space="0"/>
                    <w:left w:val="single" w:color="auto" w:sz="4" w:space="0"/>
                    <w:bottom w:val="single" w:color="auto" w:sz="4" w:space="0"/>
                  </w:tcBorders>
                  <w:noWrap w:val="0"/>
                  <w:vAlign w:val="center"/>
                </w:tcPr>
                <w:p w14:paraId="6402A523">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62CF83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73A60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环境风险防控</w:t>
                  </w:r>
                </w:p>
              </w:tc>
              <w:tc>
                <w:tcPr>
                  <w:tcW w:w="2426" w:type="pct"/>
                  <w:tcBorders>
                    <w:top w:val="single" w:color="auto" w:sz="4" w:space="0"/>
                    <w:left w:val="single" w:color="auto" w:sz="4" w:space="0"/>
                    <w:bottom w:val="single" w:color="auto" w:sz="4" w:space="0"/>
                    <w:right w:val="single" w:color="auto" w:sz="4" w:space="0"/>
                  </w:tcBorders>
                  <w:noWrap w:val="0"/>
                  <w:vAlign w:val="center"/>
                </w:tcPr>
                <w:p w14:paraId="4E3DC4CB">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601" w:type="pct"/>
                  <w:tcBorders>
                    <w:top w:val="single" w:color="auto" w:sz="4" w:space="0"/>
                    <w:left w:val="single" w:color="auto" w:sz="4" w:space="0"/>
                    <w:bottom w:val="single" w:color="auto" w:sz="4" w:space="0"/>
                  </w:tcBorders>
                  <w:noWrap w:val="0"/>
                  <w:vAlign w:val="center"/>
                </w:tcPr>
                <w:p w14:paraId="55BBC8FF">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3ABB02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51D05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资源开发效率要求</w:t>
                  </w:r>
                </w:p>
              </w:tc>
              <w:tc>
                <w:tcPr>
                  <w:tcW w:w="2426" w:type="pct"/>
                  <w:tcBorders>
                    <w:top w:val="single" w:color="auto" w:sz="4" w:space="0"/>
                    <w:left w:val="single" w:color="auto" w:sz="4" w:space="0"/>
                    <w:bottom w:val="single" w:color="auto" w:sz="4" w:space="0"/>
                    <w:right w:val="single" w:color="auto" w:sz="4" w:space="0"/>
                  </w:tcBorders>
                  <w:noWrap w:val="0"/>
                  <w:vAlign w:val="center"/>
                </w:tcPr>
                <w:p w14:paraId="05271A36">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1601" w:type="pct"/>
                  <w:tcBorders>
                    <w:top w:val="single" w:color="auto" w:sz="4" w:space="0"/>
                    <w:left w:val="single" w:color="auto" w:sz="4" w:space="0"/>
                    <w:bottom w:val="single" w:color="auto" w:sz="4" w:space="0"/>
                  </w:tcBorders>
                  <w:noWrap w:val="0"/>
                  <w:vAlign w:val="center"/>
                </w:tcPr>
                <w:p w14:paraId="1689A84C">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r>
            <w:tr w14:paraId="291EB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2FA89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环境管控区名称</w:t>
                  </w:r>
                </w:p>
              </w:tc>
              <w:tc>
                <w:tcPr>
                  <w:tcW w:w="4027" w:type="pct"/>
                  <w:gridSpan w:val="2"/>
                  <w:tcBorders>
                    <w:top w:val="single" w:color="auto" w:sz="4" w:space="0"/>
                    <w:bottom w:val="single" w:color="auto" w:sz="4" w:space="0"/>
                  </w:tcBorders>
                  <w:noWrap w:val="0"/>
                  <w:vAlign w:val="center"/>
                </w:tcPr>
                <w:p w14:paraId="719522A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虎林市地下水环境一般管控区</w:t>
                  </w:r>
                </w:p>
              </w:tc>
            </w:tr>
            <w:tr w14:paraId="699C4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7BA1A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环境管控区编码</w:t>
                  </w:r>
                </w:p>
              </w:tc>
              <w:tc>
                <w:tcPr>
                  <w:tcW w:w="4027" w:type="pct"/>
                  <w:gridSpan w:val="2"/>
                  <w:tcBorders>
                    <w:top w:val="single" w:color="auto" w:sz="4" w:space="0"/>
                    <w:bottom w:val="single" w:color="auto" w:sz="4" w:space="0"/>
                  </w:tcBorders>
                  <w:noWrap w:val="0"/>
                  <w:vAlign w:val="center"/>
                </w:tcPr>
                <w:p w14:paraId="7AEBDDB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YS2303816310001</w:t>
                  </w:r>
                </w:p>
              </w:tc>
            </w:tr>
            <w:tr w14:paraId="404A4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2" w:type="pct"/>
                  <w:tcBorders>
                    <w:top w:val="single" w:color="auto" w:sz="4" w:space="0"/>
                    <w:bottom w:val="single" w:color="auto" w:sz="4" w:space="0"/>
                    <w:right w:val="single" w:color="auto" w:sz="4" w:space="0"/>
                  </w:tcBorders>
                  <w:noWrap w:val="0"/>
                  <w:vAlign w:val="center"/>
                </w:tcPr>
                <w:p w14:paraId="20066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管控区类型</w:t>
                  </w:r>
                </w:p>
              </w:tc>
              <w:tc>
                <w:tcPr>
                  <w:tcW w:w="4027" w:type="pct"/>
                  <w:gridSpan w:val="2"/>
                  <w:tcBorders>
                    <w:top w:val="single" w:color="auto" w:sz="4" w:space="0"/>
                    <w:bottom w:val="single" w:color="auto" w:sz="4" w:space="0"/>
                  </w:tcBorders>
                  <w:noWrap w:val="0"/>
                  <w:vAlign w:val="center"/>
                </w:tcPr>
                <w:p w14:paraId="766416C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一般管控区</w:t>
                  </w:r>
                </w:p>
              </w:tc>
            </w:tr>
            <w:tr w14:paraId="18515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8" w:type="pct"/>
                  <w:gridSpan w:val="2"/>
                  <w:tcBorders>
                    <w:top w:val="single" w:color="auto" w:sz="4" w:space="0"/>
                    <w:bottom w:val="single" w:color="auto" w:sz="4" w:space="0"/>
                    <w:right w:val="single" w:color="auto" w:sz="4" w:space="0"/>
                  </w:tcBorders>
                  <w:noWrap w:val="0"/>
                  <w:vAlign w:val="center"/>
                </w:tcPr>
                <w:p w14:paraId="4600FD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管控要求</w:t>
                  </w:r>
                </w:p>
              </w:tc>
              <w:tc>
                <w:tcPr>
                  <w:tcW w:w="1601" w:type="pct"/>
                  <w:tcBorders>
                    <w:top w:val="single" w:color="auto" w:sz="4" w:space="0"/>
                    <w:left w:val="single" w:color="auto" w:sz="4" w:space="0"/>
                    <w:bottom w:val="single" w:color="auto" w:sz="4" w:space="0"/>
                  </w:tcBorders>
                  <w:noWrap w:val="0"/>
                  <w:vAlign w:val="center"/>
                </w:tcPr>
                <w:p w14:paraId="08F1AE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符合性分析</w:t>
                  </w:r>
                </w:p>
              </w:tc>
            </w:tr>
            <w:tr w14:paraId="49D79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8" w:type="pct"/>
                  <w:gridSpan w:val="2"/>
                  <w:tcBorders>
                    <w:top w:val="single" w:color="auto" w:sz="4" w:space="0"/>
                    <w:bottom w:val="single" w:color="auto" w:sz="4" w:space="0"/>
                    <w:right w:val="single" w:color="auto" w:sz="4" w:space="0"/>
                  </w:tcBorders>
                  <w:noWrap w:val="0"/>
                  <w:vAlign w:val="center"/>
                </w:tcPr>
                <w:p w14:paraId="79B358A2">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环境风险管控</w:t>
                  </w:r>
                </w:p>
                <w:p w14:paraId="64F5BA77">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土壤污染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2.重点单位新、改、扩建项目地下储罐储存有毒有害物质的，应当在项目投入生产或者使用之前，将地下储罐的信息报所在地设区的市级生态环境主管部门备案。3.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4.化学品生产企业以及工业集聚区、矿山开采区、尾矿库、危险废物处置场、垃圾填埋场等的运营、管理单位，应当采取防渗漏等措施，并建设地下水水质监测井进行监测，防止地下水污染。5.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1601" w:type="pct"/>
                  <w:tcBorders>
                    <w:top w:val="single" w:color="auto" w:sz="4" w:space="0"/>
                    <w:left w:val="single" w:color="auto" w:sz="4" w:space="0"/>
                    <w:bottom w:val="single" w:color="auto" w:sz="4" w:space="0"/>
                  </w:tcBorders>
                  <w:noWrap w:val="0"/>
                  <w:vAlign w:val="center"/>
                </w:tcPr>
                <w:p w14:paraId="3530004E">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农产品初加工及热力生产和供应项目，不属于土壤污染重点监管单位，不涉及新、改、扩建项目地下储罐储存有毒有害物质，不涉及新、改、扩建项目地下储罐储存有毒有害物质，不涉及化学品生产企业以及工业集聚区、矿山开采区、尾矿库、危险废物处置场、垃圾填埋场等的运营、管理单位。符合</w:t>
                  </w:r>
                  <w:r>
                    <w:rPr>
                      <w:rFonts w:hint="eastAsia" w:cs="Times New Roman"/>
                      <w:color w:val="auto"/>
                      <w:kern w:val="0"/>
                      <w:sz w:val="21"/>
                      <w:szCs w:val="21"/>
                      <w:highlight w:val="none"/>
                      <w:lang w:val="en-US" w:eastAsia="zh-CN"/>
                    </w:rPr>
                    <w:t>虎林市</w:t>
                  </w:r>
                  <w:r>
                    <w:rPr>
                      <w:rFonts w:hint="eastAsia" w:ascii="Times New Roman" w:hAnsi="Times New Roman" w:eastAsia="宋体" w:cs="Times New Roman"/>
                      <w:color w:val="auto"/>
                      <w:kern w:val="0"/>
                      <w:sz w:val="21"/>
                      <w:szCs w:val="21"/>
                      <w:highlight w:val="none"/>
                      <w:lang w:val="en-US" w:eastAsia="zh-CN"/>
                    </w:rPr>
                    <w:t>地下水环境一般管控区要求。</w:t>
                  </w:r>
                </w:p>
              </w:tc>
            </w:tr>
          </w:tbl>
          <w:p w14:paraId="2CE87BDB">
            <w:pPr>
              <w:pStyle w:val="9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w:t>
            </w:r>
            <w:r>
              <w:rPr>
                <w:rFonts w:hint="eastAsia" w:ascii="宋体" w:hAnsi="宋体" w:eastAsia="宋体" w:cs="宋体"/>
                <w:b w:val="0"/>
                <w:bCs w:val="0"/>
                <w:color w:val="auto"/>
                <w:kern w:val="0"/>
                <w:sz w:val="24"/>
                <w:szCs w:val="24"/>
                <w:highlight w:val="none"/>
                <w:lang w:val="en-US" w:eastAsia="zh-CN" w:bidi="ar-SA"/>
              </w:rPr>
              <w:t>“一说明”</w:t>
            </w:r>
          </w:p>
          <w:p w14:paraId="2A3F540A">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由上述分析可知，本项目的建设符合《黑龙江省锦畴粮食贸易有限公司建设项目生态环境分区管控分析报告》中的要求。</w:t>
            </w:r>
          </w:p>
          <w:p w14:paraId="47A00426">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根据黑龙江省生态环境分区管控数据应用平台查询的《黑龙江省锦畴粮食贸易有限公司建设项目生态环境分区管控分析报告》：</w:t>
            </w:r>
          </w:p>
          <w:p w14:paraId="5ACBE21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本项目与生态保护红线交集面积为0.00平方公里，占项目占地面积的0.00%。</w:t>
            </w:r>
          </w:p>
          <w:p w14:paraId="2A99EBD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与自然保护地整合优化方案数据交集面积为0.00平方公里，占项目占地面积的0.00%。保护地涉及等类型。与自然保护地（现状管理数据）交集面积为0.00平方公里，占项目占地面积的0.00%。保护地涉及等类型。</w:t>
            </w:r>
          </w:p>
          <w:p w14:paraId="28C836D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与饮用水水源保护区交集面积为0.00平方公里，占项目占地面积的0.00%。与国家级水产种质资源保护区交集面积为0.00平方公里，占项目占地面积的0.00%。</w:t>
            </w:r>
          </w:p>
          <w:p w14:paraId="417844C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napToGrid w:val="0"/>
                <w:color w:val="auto"/>
                <w:kern w:val="0"/>
                <w:sz w:val="24"/>
                <w:highlight w:val="none"/>
              </w:rPr>
            </w:pPr>
            <w:r>
              <w:rPr>
                <w:rFonts w:hint="default" w:ascii="Times New Roman" w:hAnsi="Times New Roman" w:eastAsia="宋体" w:cs="Times New Roman"/>
                <w:snapToGrid w:val="0"/>
                <w:color w:val="auto"/>
                <w:kern w:val="0"/>
                <w:sz w:val="24"/>
                <w:highlight w:val="none"/>
              </w:rPr>
              <w:t>与环境管控单元优先保护单元交集面积为0.00平方公里，占项目占地面积的0.00%；与重点管控单元交集面积为0.00平方公里，占项目占地面积的0.00%；一般管控单元交集面积为0.02平方公里，占项目占地面积的100.00%。</w:t>
            </w:r>
          </w:p>
          <w:p w14:paraId="14DFA33B">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snapToGrid w:val="0"/>
                <w:color w:val="auto"/>
                <w:kern w:val="0"/>
                <w:sz w:val="24"/>
                <w:highlight w:val="none"/>
              </w:rPr>
              <w:t>与地下水环境优先保护区交集面积为0.00平方公里，占项目占地面积的0.00%；与地下水环境重点管控区交集面积为0.00平方公里，占项目占地面积的0.00%，与地下水环境一般管控区交集面积为0.0</w:t>
            </w:r>
            <w:r>
              <w:rPr>
                <w:rFonts w:hint="eastAsia" w:cs="Times New Roman"/>
                <w:snapToGrid w:val="0"/>
                <w:color w:val="auto"/>
                <w:kern w:val="0"/>
                <w:sz w:val="24"/>
                <w:highlight w:val="none"/>
                <w:lang w:val="en-US" w:eastAsia="zh-CN"/>
              </w:rPr>
              <w:t>1</w:t>
            </w:r>
            <w:r>
              <w:rPr>
                <w:rFonts w:hint="default" w:ascii="Times New Roman" w:hAnsi="Times New Roman" w:eastAsia="宋体" w:cs="Times New Roman"/>
                <w:snapToGrid w:val="0"/>
                <w:color w:val="auto"/>
                <w:kern w:val="0"/>
                <w:sz w:val="24"/>
                <w:highlight w:val="none"/>
              </w:rPr>
              <w:t>平方公里，占项目占地面积的100.00%</w:t>
            </w:r>
            <w:r>
              <w:rPr>
                <w:rFonts w:hint="default" w:ascii="Times New Roman" w:hAnsi="Times New Roman" w:eastAsia="宋体" w:cs="Times New Roman"/>
                <w:color w:val="auto"/>
                <w:kern w:val="0"/>
                <w:sz w:val="24"/>
                <w:highlight w:val="none"/>
                <w:lang w:val="sq-AL"/>
              </w:rPr>
              <w:t>。</w:t>
            </w:r>
          </w:p>
          <w:p w14:paraId="43824136">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rPr>
              <w:t>、</w:t>
            </w:r>
            <w:r>
              <w:rPr>
                <w:rFonts w:hint="default" w:ascii="Times New Roman" w:hAnsi="Times New Roman" w:eastAsia="宋体" w:cs="Times New Roman"/>
                <w:b/>
                <w:bCs/>
                <w:color w:val="auto"/>
                <w:sz w:val="24"/>
                <w:highlight w:val="none"/>
              </w:rPr>
              <w:t>与《黑龙江省大气污染防治条例》符合性分析</w:t>
            </w:r>
          </w:p>
          <w:p w14:paraId="05AD2C7E">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黑龙江省人民代表大会常务委员会发布的，《黑龙江省大气污染防治条例》（2017年1月20日发布，2026年7月30日第二次修正），第三章大气污染防治措施、第一节、燃煤污染防治措施，第二十二条各级人民政府应当优化煤炭使用方式，减少煤炭生产、贮存、运输、使用、转化过程中的大气污染物排放。......第二十九条各级人民政府应当采取有效措施，加强散煤管理，禁止销售不符合散煤质量标准的煤炭，鼓励、支持采取清洁低碳能源、集中供热替代等措施防治燃用散煤造成大气污染。</w:t>
            </w:r>
          </w:p>
          <w:p w14:paraId="186938B6">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bCs/>
                <w:color w:val="auto"/>
                <w:kern w:val="2"/>
                <w:sz w:val="24"/>
                <w:szCs w:val="24"/>
                <w:highlight w:val="none"/>
              </w:rPr>
            </w:pPr>
            <w:r>
              <w:rPr>
                <w:rFonts w:hint="default" w:ascii="Times New Roman" w:hAnsi="Times New Roman" w:eastAsia="宋体" w:cs="Times New Roman"/>
                <w:color w:val="auto"/>
                <w:sz w:val="24"/>
                <w:highlight w:val="none"/>
              </w:rPr>
              <w:t>本项目采用燃生物质热风炉，燃料采用生物质成型燃料，符合《黑龙江省大气污染防治条例》（2026年7月30日第二次修正）中减少煤炭生产、使用、转化过程中的大气污染物排放的意见。本项目运营产生的废气、噪声、固废、废水等经采取有效措施后均可做到达标排放，对评价区周围环境影响不大，可被环境所接受。</w:t>
            </w:r>
          </w:p>
          <w:p w14:paraId="7ECB5737">
            <w:pPr>
              <w:pStyle w:val="68"/>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color w:val="auto"/>
                <w:szCs w:val="24"/>
                <w:highlight w:val="none"/>
                <w:lang w:val="en-US" w:eastAsia="zh-CN"/>
              </w:rPr>
              <w:t>4</w:t>
            </w:r>
            <w:r>
              <w:rPr>
                <w:rFonts w:hint="default" w:ascii="Times New Roman" w:hAnsi="Times New Roman" w:eastAsia="宋体" w:cs="Times New Roman"/>
                <w:b/>
                <w:color w:val="auto"/>
                <w:szCs w:val="24"/>
                <w:highlight w:val="none"/>
              </w:rPr>
              <w:t>、</w:t>
            </w:r>
            <w:r>
              <w:rPr>
                <w:rFonts w:hint="default" w:ascii="Times New Roman" w:hAnsi="Times New Roman" w:eastAsia="宋体" w:cs="Times New Roman"/>
                <w:b/>
                <w:bCs/>
                <w:color w:val="auto"/>
                <w:highlight w:val="none"/>
              </w:rPr>
              <w:t>与《工业炉窑大气污染综合治理方案》（环大气[2019]56号）符合性分析</w:t>
            </w:r>
          </w:p>
          <w:p w14:paraId="56EA4193">
            <w:pPr>
              <w:pStyle w:val="6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本项目与《工业炉窑大气污染综合治理方案》（环大气[2019]56号文件）相符性分析如下。</w:t>
            </w:r>
          </w:p>
          <w:p w14:paraId="1C8E8896">
            <w:pPr>
              <w:keepNext w:val="0"/>
              <w:keepLines w:val="0"/>
              <w:suppressLineNumbers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表1-</w:t>
            </w:r>
            <w:r>
              <w:rPr>
                <w:rFonts w:hint="eastAsia" w:cs="Times New Roman"/>
                <w:b/>
                <w:bCs/>
                <w:color w:val="auto"/>
                <w:kern w:val="0"/>
                <w:sz w:val="21"/>
                <w:szCs w:val="21"/>
                <w:highlight w:val="none"/>
                <w:lang w:val="en-US" w:eastAsia="zh-CN" w:bidi="ar-SA"/>
              </w:rPr>
              <w:t>3</w:t>
            </w:r>
            <w:r>
              <w:rPr>
                <w:rFonts w:hint="default" w:ascii="Times New Roman" w:hAnsi="Times New Roman" w:eastAsia="宋体" w:cs="Times New Roman"/>
                <w:b/>
                <w:bCs/>
                <w:color w:val="auto"/>
                <w:kern w:val="0"/>
                <w:sz w:val="21"/>
                <w:szCs w:val="21"/>
                <w:highlight w:val="none"/>
                <w:lang w:val="en-US" w:eastAsia="zh-CN" w:bidi="ar-SA"/>
              </w:rPr>
              <w:t>《工业炉窑大气污染综合治理方案》相符性分析表</w:t>
            </w:r>
          </w:p>
          <w:tbl>
            <w:tblPr>
              <w:tblStyle w:val="34"/>
              <w:tblW w:w="653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3552"/>
              <w:gridCol w:w="2166"/>
              <w:gridCol w:w="813"/>
            </w:tblGrid>
            <w:tr w14:paraId="54EB28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48" w:hRule="atLeast"/>
                <w:jc w:val="center"/>
              </w:trPr>
              <w:tc>
                <w:tcPr>
                  <w:tcW w:w="3552" w:type="dxa"/>
                  <w:tcBorders>
                    <w:tl2br w:val="nil"/>
                    <w:tr2bl w:val="nil"/>
                  </w:tcBorders>
                  <w:vAlign w:val="center"/>
                </w:tcPr>
                <w:p w14:paraId="03064EB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方案内容</w:t>
                  </w:r>
                </w:p>
              </w:tc>
              <w:tc>
                <w:tcPr>
                  <w:tcW w:w="2166" w:type="dxa"/>
                  <w:tcBorders>
                    <w:tl2br w:val="nil"/>
                    <w:tr2bl w:val="nil"/>
                  </w:tcBorders>
                  <w:vAlign w:val="center"/>
                </w:tcPr>
                <w:p w14:paraId="6333485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项目概况</w:t>
                  </w:r>
                </w:p>
              </w:tc>
              <w:tc>
                <w:tcPr>
                  <w:tcW w:w="813" w:type="dxa"/>
                  <w:tcBorders>
                    <w:tl2br w:val="nil"/>
                    <w:tr2bl w:val="nil"/>
                  </w:tcBorders>
                  <w:vAlign w:val="center"/>
                </w:tcPr>
                <w:p w14:paraId="2DC97B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符合性</w:t>
                  </w:r>
                </w:p>
              </w:tc>
            </w:tr>
            <w:tr w14:paraId="1910B2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826" w:hRule="atLeast"/>
                <w:jc w:val="center"/>
              </w:trPr>
              <w:tc>
                <w:tcPr>
                  <w:tcW w:w="3552" w:type="dxa"/>
                  <w:tcBorders>
                    <w:tl2br w:val="nil"/>
                    <w:tr2bl w:val="nil"/>
                  </w:tcBorders>
                  <w:vAlign w:val="center"/>
                </w:tcPr>
                <w:p w14:paraId="6D3E2A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w:t>
                  </w:r>
                </w:p>
              </w:tc>
              <w:tc>
                <w:tcPr>
                  <w:tcW w:w="2166" w:type="dxa"/>
                  <w:tcBorders>
                    <w:tl2br w:val="nil"/>
                    <w:tr2bl w:val="nil"/>
                  </w:tcBorders>
                  <w:vAlign w:val="center"/>
                </w:tcPr>
                <w:p w14:paraId="008039C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本项目为农产品初加工项目，</w:t>
                  </w:r>
                  <w:r>
                    <w:rPr>
                      <w:rFonts w:hint="eastAsia" w:cs="Times New Roman"/>
                      <w:bCs/>
                      <w:color w:val="auto"/>
                      <w:sz w:val="21"/>
                      <w:szCs w:val="21"/>
                      <w:highlight w:val="none"/>
                      <w:lang w:val="en-US" w:eastAsia="zh-CN"/>
                    </w:rPr>
                    <w:t>建设</w:t>
                  </w:r>
                  <w:r>
                    <w:rPr>
                      <w:rFonts w:hint="default" w:ascii="Times New Roman" w:hAnsi="Times New Roman" w:eastAsia="宋体" w:cs="Times New Roman"/>
                      <w:bCs/>
                      <w:color w:val="auto"/>
                      <w:sz w:val="21"/>
                      <w:szCs w:val="21"/>
                      <w:highlight w:val="none"/>
                    </w:rPr>
                    <w:t>1座烘干能力为800吨（以玉米计）的烘干塔，及配套1台900万kcal/h的燃生物质热风炉</w:t>
                  </w:r>
                  <w:r>
                    <w:rPr>
                      <w:rFonts w:hint="eastAsia" w:cs="Times New Roman"/>
                      <w:bCs/>
                      <w:color w:val="auto"/>
                      <w:sz w:val="21"/>
                      <w:szCs w:val="21"/>
                      <w:highlight w:val="none"/>
                      <w:lang w:val="en-US" w:eastAsia="zh-CN"/>
                    </w:rPr>
                    <w:t>+</w:t>
                  </w:r>
                  <w:r>
                    <w:rPr>
                      <w:rFonts w:hint="default" w:ascii="Times New Roman" w:hAnsi="Times New Roman" w:eastAsia="宋体" w:cs="Times New Roman"/>
                      <w:bCs/>
                      <w:color w:val="auto"/>
                      <w:sz w:val="21"/>
                      <w:szCs w:val="21"/>
                      <w:highlight w:val="none"/>
                    </w:rPr>
                    <w:t>布袋除尘器</w:t>
                  </w:r>
                  <w:r>
                    <w:rPr>
                      <w:rFonts w:hint="eastAsia"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用于玉米</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水稻</w:t>
                  </w:r>
                  <w:r>
                    <w:rPr>
                      <w:rFonts w:hint="default" w:ascii="Times New Roman" w:hAnsi="Times New Roman" w:eastAsia="宋体" w:cs="Times New Roman"/>
                      <w:bCs/>
                      <w:color w:val="auto"/>
                      <w:sz w:val="21"/>
                      <w:szCs w:val="21"/>
                      <w:highlight w:val="none"/>
                    </w:rPr>
                    <w:t>烘干，本项目厂址位于</w:t>
                  </w:r>
                  <w:r>
                    <w:rPr>
                      <w:rFonts w:hint="eastAsia" w:cs="Times New Roman"/>
                      <w:bCs/>
                      <w:color w:val="auto"/>
                      <w:sz w:val="21"/>
                      <w:szCs w:val="21"/>
                      <w:highlight w:val="none"/>
                      <w:lang w:eastAsia="zh-CN"/>
                    </w:rPr>
                    <w:t>黑龙江省鸡西市虎林市850农场东部园区静泽街1-3号</w:t>
                  </w:r>
                  <w:r>
                    <w:rPr>
                      <w:rFonts w:hint="default" w:ascii="Times New Roman" w:hAnsi="Times New Roman" w:eastAsia="宋体" w:cs="Times New Roman"/>
                      <w:bCs/>
                      <w:color w:val="auto"/>
                      <w:sz w:val="21"/>
                      <w:szCs w:val="21"/>
                      <w:highlight w:val="none"/>
                    </w:rPr>
                    <w:t>，不属于《工业炉窑大气污染综合治理方案》重点区域，也不属于其附件4中的重点行业工业炉窑</w:t>
                  </w:r>
                </w:p>
              </w:tc>
              <w:tc>
                <w:tcPr>
                  <w:tcW w:w="813" w:type="dxa"/>
                  <w:tcBorders>
                    <w:tl2br w:val="nil"/>
                    <w:tr2bl w:val="nil"/>
                  </w:tcBorders>
                  <w:vAlign w:val="center"/>
                </w:tcPr>
                <w:p w14:paraId="1E34888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符合</w:t>
                  </w:r>
                </w:p>
              </w:tc>
            </w:tr>
            <w:tr w14:paraId="6975E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55" w:hRule="atLeast"/>
                <w:jc w:val="center"/>
              </w:trPr>
              <w:tc>
                <w:tcPr>
                  <w:tcW w:w="3552" w:type="dxa"/>
                  <w:tcBorders>
                    <w:tl2br w:val="nil"/>
                    <w:tr2bl w:val="nil"/>
                  </w:tcBorders>
                  <w:vAlign w:val="center"/>
                </w:tcPr>
                <w:p w14:paraId="6CC790D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加快燃料清洁低碳化替代。对以煤、石油焦、渣油、重油等为燃料的工业炉窑，加快使用清洁低碳能源以及利用工厂余热、电厂热力等进行替代。重点区域禁止掺烧高硫石油焦（硫含量大于3%）。玻璃行业全面禁止掺烧高硫石油焦</w:t>
                  </w:r>
                </w:p>
              </w:tc>
              <w:tc>
                <w:tcPr>
                  <w:tcW w:w="2166" w:type="dxa"/>
                  <w:tcBorders>
                    <w:tl2br w:val="nil"/>
                    <w:tr2bl w:val="nil"/>
                  </w:tcBorders>
                  <w:vAlign w:val="center"/>
                </w:tcPr>
                <w:p w14:paraId="293382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本项目采用成型生物质燃料作为燃料，不使用煤、重油等高污染燃料，符合要求</w:t>
                  </w:r>
                </w:p>
              </w:tc>
              <w:tc>
                <w:tcPr>
                  <w:tcW w:w="813" w:type="dxa"/>
                  <w:tcBorders>
                    <w:tl2br w:val="nil"/>
                    <w:tr2bl w:val="nil"/>
                  </w:tcBorders>
                  <w:vAlign w:val="center"/>
                </w:tcPr>
                <w:p w14:paraId="426F22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符合</w:t>
                  </w:r>
                </w:p>
              </w:tc>
            </w:tr>
            <w:tr w14:paraId="15F5D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87" w:hRule="atLeast"/>
                <w:jc w:val="center"/>
              </w:trPr>
              <w:tc>
                <w:tcPr>
                  <w:tcW w:w="3552" w:type="dxa"/>
                  <w:tcBorders>
                    <w:tl2br w:val="nil"/>
                    <w:tr2bl w:val="nil"/>
                  </w:tcBorders>
                  <w:vAlign w:val="center"/>
                </w:tcPr>
                <w:p w14:paraId="7D3E6E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实施污染深度治理。推进工业炉窑全面达标排放。已有行业排放标准的工业炉窑，严格执行行业排放标准相关规定，配套建设高效脱硫脱硝除尘设施，确保稳定达标排放。已制定更严格地方排放标准的，按地方标准执行。重点区域钢铁、水泥、焦化、石化、化工、有色等行业，二氧化硫、氮氧化物、颗粒物、挥发性有机物（VOCs）排放全面执行大气污染物特别排放限值。已核发排污许可证的，应严格执行许可要求</w:t>
                  </w:r>
                </w:p>
              </w:tc>
              <w:tc>
                <w:tcPr>
                  <w:tcW w:w="2166" w:type="dxa"/>
                  <w:tcBorders>
                    <w:tl2br w:val="nil"/>
                    <w:tr2bl w:val="nil"/>
                  </w:tcBorders>
                  <w:vAlign w:val="center"/>
                </w:tcPr>
                <w:p w14:paraId="59882EC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本项目生物质热风炉配套建有布袋除尘器，热风炉烟气经除尘系统处理后排放，烟气可以达标排放；本项目建成后将积极进行排污许可证申领工作，取得后将严格按照排污许可要求进行项目运营管理</w:t>
                  </w:r>
                </w:p>
              </w:tc>
              <w:tc>
                <w:tcPr>
                  <w:tcW w:w="813" w:type="dxa"/>
                  <w:tcBorders>
                    <w:tl2br w:val="nil"/>
                    <w:tr2bl w:val="nil"/>
                  </w:tcBorders>
                  <w:vAlign w:val="center"/>
                </w:tcPr>
                <w:p w14:paraId="61DF8BC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符合</w:t>
                  </w:r>
                </w:p>
              </w:tc>
            </w:tr>
            <w:tr w14:paraId="63514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552" w:type="dxa"/>
                  <w:tcBorders>
                    <w:tl2br w:val="nil"/>
                    <w:tr2bl w:val="nil"/>
                  </w:tcBorders>
                  <w:vAlign w:val="center"/>
                </w:tcPr>
                <w:p w14:paraId="5EB9362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开展工业园区和产业集群综合整治。各地要加大涉工业炉窑类工业园区和产业集群的综合整治力度，结合“三线一单”（生态保护红线、环境质量底线、资源利用上线和生态环境准入清单）、规划环评等要求，进一步梳理确定园区和产业发展定位、规模及结构等。制定综合整治方案，对标先进企业，从生产工艺、产能规模、燃料类型、污染治理等方面提出明确要求，提升产业发展质量和环保治理水平。按照统一标准、统一时间表的要求，同步推进区域环境综合整治和企业升级改造。加强工业园区能源替代利用与资源共享，积极推广集中供汽供热或建设清洁低碳能源中心等，替代工业炉窑燃料用煤；充分利用园区内工厂余热、焦炉煤气等清洁低碳能源，加强分质与梯级利用，提高能源利用效率，促进形成清洁低碳高效产业链</w:t>
                  </w:r>
                </w:p>
              </w:tc>
              <w:tc>
                <w:tcPr>
                  <w:tcW w:w="2166" w:type="dxa"/>
                  <w:tcBorders>
                    <w:tl2br w:val="nil"/>
                    <w:tr2bl w:val="nil"/>
                  </w:tcBorders>
                  <w:vAlign w:val="center"/>
                </w:tcPr>
                <w:p w14:paraId="785A43D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本项目属于农产品初加工项目及热力生产和供应，热风炉属于工业炉窑，但由于项目为区域粮食服务，不属于《工业炉窑大气污染综合治理方案》中所列的行业，《工业炉窑大气污染综合治理方案》主要针对钢铁、焦化、电解铝、铸造、水泥和平板玻璃等工业类高污染行业，本项目作为农村特有的为粮食安全提供的烘干服务企业，结合黑龙江省现有粮食烘干企业的情况，目前均未要求粮食烘干企业进驻工业园区</w:t>
                  </w:r>
                  <w:r>
                    <w:rPr>
                      <w:rFonts w:hint="eastAsia" w:cs="Times New Roman"/>
                      <w:bCs/>
                      <w:color w:val="auto"/>
                      <w:sz w:val="21"/>
                      <w:szCs w:val="21"/>
                      <w:highlight w:val="none"/>
                      <w:lang w:eastAsia="zh-CN"/>
                    </w:rPr>
                    <w:t>。</w:t>
                  </w:r>
                </w:p>
              </w:tc>
              <w:tc>
                <w:tcPr>
                  <w:tcW w:w="813" w:type="dxa"/>
                  <w:tcBorders>
                    <w:tl2br w:val="nil"/>
                    <w:tr2bl w:val="nil"/>
                  </w:tcBorders>
                  <w:vAlign w:val="center"/>
                </w:tcPr>
                <w:p w14:paraId="4447AFD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符合</w:t>
                  </w:r>
                </w:p>
              </w:tc>
            </w:tr>
          </w:tbl>
          <w:p w14:paraId="45F80064">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color w:val="auto"/>
                <w:szCs w:val="24"/>
                <w:highlight w:val="none"/>
              </w:rPr>
            </w:pPr>
            <w:r>
              <w:rPr>
                <w:rFonts w:hint="default" w:ascii="Times New Roman" w:hAnsi="Times New Roman" w:eastAsia="宋体" w:cs="Times New Roman"/>
                <w:b/>
                <w:bCs/>
                <w:color w:val="auto"/>
                <w:highlight w:val="none"/>
                <w:lang w:val="en-US" w:eastAsia="zh-CN"/>
              </w:rPr>
              <w:t>5</w:t>
            </w:r>
            <w:r>
              <w:rPr>
                <w:rFonts w:hint="default" w:ascii="Times New Roman" w:hAnsi="Times New Roman" w:eastAsia="宋体" w:cs="Times New Roman"/>
                <w:b/>
                <w:bCs/>
                <w:color w:val="auto"/>
                <w:highlight w:val="none"/>
              </w:rPr>
              <w:t>、</w:t>
            </w:r>
            <w:r>
              <w:rPr>
                <w:rFonts w:hint="default" w:ascii="Times New Roman" w:hAnsi="Times New Roman" w:eastAsia="宋体" w:cs="Times New Roman"/>
                <w:b/>
                <w:color w:val="auto"/>
                <w:szCs w:val="24"/>
                <w:highlight w:val="none"/>
              </w:rPr>
              <w:t>与《黑龙江省工业炉窑大气污染综合治理方案》（黑环发[2019]144号）符合性分析</w:t>
            </w:r>
          </w:p>
          <w:p w14:paraId="0175892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方案》中：“1.新建涉工业炉窑的建设项目，原则上要入园区，配套建设高效环保治理设施。2.已有行业排放标准的工业炉窑，严格执行行业排放标准相关规定，配套建设高效脱硫脱硝除尘设施，确保稳定达标排放。已核发排污许可证的，应严格按照许可要求执行。”。</w:t>
            </w:r>
          </w:p>
          <w:p w14:paraId="4190027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属于农产品初加工项目及热力生产和供应，热风炉属于工业炉窑，但由于项目为区域粮食服务，不属于《工业炉窑大气污染综合治理方案》中所列的行业，《工业炉窑大气污染综合治理方案》主要针对钢铁、焦化、电解铝、铸造、水泥和平板玻璃等工业类高污染行业，本项目作为农村特有的为粮食安全提供的烘干服务企业，结合黑龙江省现有粮食烘干企业的情况，目前均未要求粮食烘干企业进驻工业园区。综上分析，本项目的建设与《工业炉窑大气污染综合治理方案》不矛盾。</w:t>
            </w:r>
          </w:p>
          <w:p w14:paraId="5F4CEEAB">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热风炉配套建设高效环保治理设施。</w:t>
            </w:r>
            <w:r>
              <w:rPr>
                <w:rFonts w:hint="default" w:ascii="Times New Roman" w:hAnsi="Times New Roman" w:eastAsia="宋体" w:cs="Times New Roman"/>
                <w:color w:val="auto"/>
                <w:sz w:val="24"/>
                <w:highlight w:val="none"/>
              </w:rPr>
              <w:t>本项目烘干塔热风炉配套建设除尘系统及</w:t>
            </w:r>
            <w:r>
              <w:rPr>
                <w:rFonts w:hint="eastAsia" w:cs="Times New Roman"/>
                <w:color w:val="auto"/>
                <w:sz w:val="24"/>
                <w:highlight w:val="none"/>
                <w:lang w:val="en-US" w:eastAsia="zh-CN"/>
              </w:rPr>
              <w:t>30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lang w:val="en-US" w:eastAsia="zh-CN"/>
              </w:rPr>
              <w:t>烟囱</w:t>
            </w:r>
            <w:r>
              <w:rPr>
                <w:rFonts w:hint="default" w:ascii="Times New Roman" w:hAnsi="Times New Roman" w:eastAsia="宋体" w:cs="Times New Roman"/>
                <w:color w:val="auto"/>
                <w:sz w:val="24"/>
                <w:highlight w:val="none"/>
              </w:rPr>
              <w:t>，可使热风炉烟气达标排放；本项目采取减小装卸高度、密闭输送等降尘措施；原粮筛分</w:t>
            </w:r>
            <w:r>
              <w:rPr>
                <w:rFonts w:hint="default" w:ascii="Times New Roman" w:hAnsi="Times New Roman" w:eastAsia="宋体" w:cs="Times New Roman"/>
                <w:color w:val="auto"/>
                <w:sz w:val="24"/>
                <w:highlight w:val="none"/>
                <w:lang w:val="en-US" w:eastAsia="zh-CN"/>
              </w:rPr>
              <w:t>采用密闭式滚筒筛</w:t>
            </w:r>
            <w:r>
              <w:rPr>
                <w:rFonts w:hint="default" w:ascii="Times New Roman" w:hAnsi="Times New Roman" w:eastAsia="宋体" w:cs="Times New Roman"/>
                <w:color w:val="auto"/>
                <w:sz w:val="24"/>
                <w:highlight w:val="none"/>
              </w:rPr>
              <w:t>；烘干塔塔体两侧排气孔设置折流挡板，塔顶排气孔设滤尘网，通过上述措施可使厂界颗粒物无组织达标排放。</w:t>
            </w:r>
          </w:p>
          <w:p w14:paraId="65D0815C">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综上所述，本项目符合《黑龙江省工业炉窑大气污染综合治理方案》（黑环发[2019]144号）中的相关要求</w:t>
            </w:r>
            <w:r>
              <w:rPr>
                <w:rFonts w:hint="default" w:ascii="Times New Roman" w:hAnsi="Times New Roman" w:eastAsia="宋体" w:cs="Times New Roman"/>
                <w:color w:val="auto"/>
                <w:szCs w:val="24"/>
                <w:highlight w:val="none"/>
                <w:lang w:eastAsia="zh-CN"/>
              </w:rPr>
              <w:t>。</w:t>
            </w:r>
          </w:p>
          <w:p w14:paraId="2A9B3B8B">
            <w:pPr>
              <w:pStyle w:val="56"/>
              <w:keepNext w:val="0"/>
              <w:keepLines w:val="0"/>
              <w:numPr>
                <w:ilvl w:val="0"/>
                <w:numId w:val="5"/>
              </w:numPr>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
                <w:bCs w:val="0"/>
                <w:color w:val="auto"/>
                <w:kern w:val="2"/>
                <w:sz w:val="24"/>
                <w:szCs w:val="24"/>
                <w:highlight w:val="none"/>
                <w:lang w:val="en-US" w:eastAsia="zh-CN"/>
              </w:rPr>
            </w:pPr>
            <w:r>
              <w:rPr>
                <w:rFonts w:hint="default" w:ascii="Times New Roman" w:hAnsi="Times New Roman" w:eastAsia="宋体" w:cs="Times New Roman"/>
                <w:b/>
                <w:bCs w:val="0"/>
                <w:color w:val="auto"/>
                <w:kern w:val="2"/>
                <w:sz w:val="24"/>
                <w:szCs w:val="24"/>
                <w:highlight w:val="none"/>
                <w:lang w:val="en-US" w:eastAsia="zh-CN"/>
              </w:rPr>
              <w:t>本项目与《环境空气细颗粒物污染综合防治技术政策》符合性分析</w:t>
            </w:r>
          </w:p>
          <w:p w14:paraId="46E08DB5">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根据《环境空气细颗粒物污染综合防治技术政策》“三、防治工业污染，对于排放细颗粒物的工业污染源，应按照生产工艺、排放方式和烟（废）气组成的特点，选取适用的污染防治技术。工业污染源有组织排放的颗粒物，宜采取袋除尘、电除尘、电袋除尘等高效除尘技术，鼓励火电机组和大型燃煤锅炉采用湿式电除尘等新技术。本项目有组织排放颗粒物采用布袋除尘的除尘技术，符合政策要求。</w:t>
            </w:r>
          </w:p>
          <w:p w14:paraId="00753B3A">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根据《环境空气细颗粒物污染综合防治技术政策》，细颗粒物污染防治技术简要说明中，一、工业污染防治技术，（一）有组织排放颗粒物（烟、粉尘）污染防治技术，包括袋式除尘、湿式电除尘技术、电袋复合除尘技术。（二）前体污染物（NO、SO</w:t>
            </w:r>
            <w:r>
              <w:rPr>
                <w:rFonts w:hint="default" w:ascii="Times New Roman" w:hAnsi="Times New Roman" w:eastAsia="宋体" w:cs="Times New Roman"/>
                <w:bCs/>
                <w:color w:val="auto"/>
                <w:kern w:val="2"/>
                <w:sz w:val="24"/>
                <w:szCs w:val="24"/>
                <w:highlight w:val="none"/>
                <w:vertAlign w:val="subscript"/>
                <w:lang w:val="en-US" w:eastAsia="zh-CN"/>
              </w:rPr>
              <w:t>2</w:t>
            </w:r>
            <w:r>
              <w:rPr>
                <w:rFonts w:hint="default" w:ascii="Times New Roman" w:hAnsi="Times New Roman" w:eastAsia="宋体" w:cs="Times New Roman"/>
                <w:bCs/>
                <w:color w:val="auto"/>
                <w:kern w:val="2"/>
                <w:sz w:val="24"/>
                <w:szCs w:val="24"/>
                <w:highlight w:val="none"/>
                <w:lang w:val="en-US" w:eastAsia="zh-CN"/>
              </w:rPr>
              <w:t>、VOCs、NH</w:t>
            </w:r>
            <w:r>
              <w:rPr>
                <w:rFonts w:hint="default" w:ascii="Times New Roman" w:hAnsi="Times New Roman" w:eastAsia="宋体" w:cs="Times New Roman"/>
                <w:bCs/>
                <w:color w:val="auto"/>
                <w:kern w:val="2"/>
                <w:sz w:val="24"/>
                <w:szCs w:val="24"/>
                <w:highlight w:val="none"/>
                <w:vertAlign w:val="subscript"/>
                <w:lang w:val="en-US" w:eastAsia="zh-CN"/>
              </w:rPr>
              <w:t>3</w:t>
            </w:r>
            <w:r>
              <w:rPr>
                <w:rFonts w:hint="default" w:ascii="Times New Roman" w:hAnsi="Times New Roman" w:eastAsia="宋体" w:cs="Times New Roman"/>
                <w:bCs/>
                <w:color w:val="auto"/>
                <w:kern w:val="2"/>
                <w:sz w:val="24"/>
                <w:szCs w:val="24"/>
                <w:highlight w:val="none"/>
                <w:lang w:val="en-US" w:eastAsia="zh-CN"/>
              </w:rPr>
              <w:t>等）净化技术，包括各种脱硫技术、氮氧化物的催化还原技术及烟气脱硝技术、挥发性有机物的燃烧净化与吸附回收技术、氨的水洗涤净化技术。（三）无组织排放颗粒物和前体污染物治理技术，包括适用于大气颗粒物及其前体物污染控制的密闭生产技术、粉状物料堆放场的遮风与抑尘技术。”</w:t>
            </w:r>
            <w:r>
              <w:rPr>
                <w:rFonts w:hint="eastAsia" w:cs="Times New Roman"/>
                <w:bCs/>
                <w:color w:val="auto"/>
                <w:kern w:val="2"/>
                <w:sz w:val="24"/>
                <w:szCs w:val="24"/>
                <w:highlight w:val="none"/>
                <w:lang w:val="en-US" w:eastAsia="zh-CN"/>
              </w:rPr>
              <w:t>。</w:t>
            </w:r>
          </w:p>
          <w:p w14:paraId="0506C99C">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本项目有组织排放颗粒物采用布袋除尘的除尘技术，生物质灰及灰渣储存在热风炉房灰渣间内，灰渣间封闭，灰渣袋装储存，属于政策可行技术，符合政策要求。</w:t>
            </w:r>
          </w:p>
          <w:p w14:paraId="7E92F8F4">
            <w:pPr>
              <w:pStyle w:val="56"/>
              <w:keepNext w:val="0"/>
              <w:keepLines w:val="0"/>
              <w:numPr>
                <w:ilvl w:val="0"/>
                <w:numId w:val="5"/>
              </w:numPr>
              <w:suppressLineNumbers w:val="0"/>
              <w:spacing w:before="0" w:beforeAutospacing="0" w:after="0" w:afterAutospacing="0" w:line="360" w:lineRule="auto"/>
              <w:ind w:left="0" w:leftChars="0" w:right="0" w:firstLine="482" w:firstLineChars="200"/>
              <w:rPr>
                <w:rFonts w:hint="default" w:ascii="Times New Roman" w:hAnsi="Times New Roman" w:eastAsia="宋体" w:cs="Times New Roman"/>
                <w:b/>
                <w:bCs w:val="0"/>
                <w:color w:val="auto"/>
                <w:kern w:val="2"/>
                <w:sz w:val="24"/>
                <w:szCs w:val="24"/>
                <w:highlight w:val="none"/>
                <w:lang w:val="en-US" w:eastAsia="zh-CN"/>
              </w:rPr>
            </w:pPr>
            <w:r>
              <w:rPr>
                <w:rFonts w:hint="default" w:ascii="Times New Roman" w:hAnsi="Times New Roman" w:eastAsia="宋体" w:cs="Times New Roman"/>
                <w:b/>
                <w:bCs w:val="0"/>
                <w:color w:val="auto"/>
                <w:kern w:val="2"/>
                <w:sz w:val="24"/>
                <w:szCs w:val="24"/>
                <w:highlight w:val="none"/>
                <w:lang w:val="en-US" w:eastAsia="zh-CN"/>
              </w:rPr>
              <w:t>与《鸡西市空气质量持续改善行动计划贯彻落实方案》(鸡政发(2024)6号)符合性分析</w:t>
            </w:r>
          </w:p>
          <w:p w14:paraId="1DC95F84">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bidi="ar-SA"/>
              </w:rPr>
              <w:t>(四)</w:t>
            </w:r>
            <w:r>
              <w:rPr>
                <w:rFonts w:hint="default" w:ascii="Times New Roman" w:hAnsi="Times New Roman" w:eastAsia="宋体" w:cs="Times New Roman"/>
                <w:bCs/>
                <w:color w:val="auto"/>
                <w:kern w:val="2"/>
                <w:sz w:val="24"/>
                <w:szCs w:val="24"/>
                <w:highlight w:val="none"/>
                <w:lang w:val="en-US" w:eastAsia="zh-CN"/>
              </w:rPr>
              <w:t>坚决遏制“两高一低”项目盲目上马。严格环境准入要求。新建、改扩建“两高一低”项目应符合产业政策和相关法定规划，满足总量控制、碳达峰目标、生态环境准入清单、生态环境分区管控、相关规划环评等要求，原则上采用清洁运输方式。涉及产能置换的项目，被置换产能及其配套设施同步关停后，新建项目方能投产。</w:t>
            </w:r>
          </w:p>
          <w:p w14:paraId="5D1DD84E">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(五)加快重点行业落后产能淘汰退出。严格执行《产业结构调整指导目录》要求，加快退出淘汰类产能、工艺、装备，提高限制类产能、工艺、装备淘汰改造引导力度。</w:t>
            </w:r>
          </w:p>
          <w:p w14:paraId="70BAFAEE">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十)严格合理控制煤炭消费总量。全市原则上不再新增自备燃煤机组，按要求支持自备燃煤机组实施清洁能源替代。合理保障支撑电力稳定供应、电网安全运行、清洁能源大规模并网消纳的煤电项目及其用煤量。鼓励锅炉生产制造企业优化锅炉设计，应用新材料、新技术、新工艺，通过优化参数和燃料结构、采用新型热力循环等方式，从源头提高锅炉绿色低碳水平。到2025年,全市煤炭消费比重在2020年基础上下降4%左右。</w:t>
            </w:r>
          </w:p>
          <w:p w14:paraId="1A5EA215">
            <w:pPr>
              <w:pStyle w:val="56"/>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rPr>
            </w:pPr>
            <w:r>
              <w:rPr>
                <w:rFonts w:hint="default" w:ascii="Times New Roman" w:hAnsi="Times New Roman" w:eastAsia="宋体" w:cs="Times New Roman"/>
                <w:bCs/>
                <w:color w:val="auto"/>
                <w:kern w:val="2"/>
                <w:sz w:val="24"/>
                <w:szCs w:val="24"/>
                <w:highlight w:val="none"/>
                <w:lang w:val="en-US" w:eastAsia="zh-CN"/>
              </w:rPr>
              <w:t>本项目不属于“高耗能、高排放、低水平项目”，采用</w:t>
            </w:r>
            <w:r>
              <w:rPr>
                <w:rFonts w:hint="eastAsia" w:cs="Times New Roman"/>
                <w:bCs/>
                <w:color w:val="auto"/>
                <w:kern w:val="2"/>
                <w:sz w:val="24"/>
                <w:szCs w:val="24"/>
                <w:highlight w:val="none"/>
                <w:lang w:val="en-US" w:eastAsia="zh-CN"/>
              </w:rPr>
              <w:t>900万kcal/h</w:t>
            </w:r>
            <w:r>
              <w:rPr>
                <w:rFonts w:hint="default" w:ascii="Times New Roman" w:hAnsi="Times New Roman" w:eastAsia="宋体" w:cs="Times New Roman"/>
                <w:bCs/>
                <w:color w:val="auto"/>
                <w:kern w:val="2"/>
                <w:sz w:val="24"/>
                <w:szCs w:val="24"/>
                <w:highlight w:val="none"/>
                <w:lang w:val="en-US" w:eastAsia="zh-CN"/>
              </w:rPr>
              <w:t>燃生物质热风炉，使用生物质为燃料，本项目严格执行《产业结构调整指导目录》要求，符合《鸡西市空气质量持续改善行动计划贯彻落实方案》</w:t>
            </w:r>
            <w:r>
              <w:rPr>
                <w:rFonts w:hint="eastAsia" w:cs="Times New Roman"/>
                <w:bCs/>
                <w:color w:val="auto"/>
                <w:kern w:val="2"/>
                <w:sz w:val="24"/>
                <w:szCs w:val="24"/>
                <w:highlight w:val="none"/>
                <w:lang w:val="en-US" w:eastAsia="zh-CN"/>
              </w:rPr>
              <w:t>（</w:t>
            </w:r>
            <w:r>
              <w:rPr>
                <w:rFonts w:hint="default" w:ascii="Times New Roman" w:hAnsi="Times New Roman" w:eastAsia="宋体" w:cs="Times New Roman"/>
                <w:bCs/>
                <w:color w:val="auto"/>
                <w:kern w:val="2"/>
                <w:sz w:val="24"/>
                <w:szCs w:val="24"/>
                <w:highlight w:val="none"/>
                <w:lang w:val="en-US" w:eastAsia="zh-CN"/>
              </w:rPr>
              <w:t>鸡政发(2024)6号</w:t>
            </w:r>
            <w:r>
              <w:rPr>
                <w:rFonts w:hint="eastAsia" w:cs="Times New Roman"/>
                <w:bCs/>
                <w:color w:val="auto"/>
                <w:kern w:val="2"/>
                <w:sz w:val="24"/>
                <w:szCs w:val="24"/>
                <w:highlight w:val="none"/>
                <w:lang w:val="en-US" w:eastAsia="zh-CN"/>
              </w:rPr>
              <w:t>）</w:t>
            </w:r>
            <w:r>
              <w:rPr>
                <w:rFonts w:hint="default" w:ascii="Times New Roman" w:hAnsi="Times New Roman" w:eastAsia="宋体" w:cs="Times New Roman"/>
                <w:bCs/>
                <w:color w:val="auto"/>
                <w:kern w:val="2"/>
                <w:sz w:val="24"/>
                <w:szCs w:val="24"/>
                <w:highlight w:val="none"/>
                <w:lang w:val="en-US" w:eastAsia="zh-CN"/>
              </w:rPr>
              <w:t>。</w:t>
            </w:r>
          </w:p>
          <w:p w14:paraId="10A4C4D9">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default" w:ascii="Times New Roman" w:hAnsi="Times New Roman" w:eastAsia="宋体" w:cs="Times New Roman"/>
                <w:b/>
                <w:color w:val="auto"/>
                <w:szCs w:val="24"/>
                <w:highlight w:val="none"/>
                <w:lang w:val="en-US" w:eastAsia="zh-CN"/>
              </w:rPr>
              <w:t>8</w:t>
            </w:r>
            <w:r>
              <w:rPr>
                <w:rFonts w:hint="default" w:ascii="Times New Roman" w:hAnsi="Times New Roman" w:eastAsia="宋体" w:cs="Times New Roman"/>
                <w:b/>
                <w:color w:val="auto"/>
                <w:szCs w:val="24"/>
                <w:highlight w:val="none"/>
              </w:rPr>
              <w:t>、选址合理性分析</w:t>
            </w:r>
          </w:p>
          <w:p w14:paraId="092BA4CA">
            <w:pPr>
              <w:pStyle w:val="91"/>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textAlignment w:val="auto"/>
              <w:rPr>
                <w:rFonts w:hint="default" w:ascii="Times New Roman" w:hAnsi="Times New Roman" w:eastAsia="宋体" w:cs="Times New Roman"/>
                <w:bCs/>
                <w:color w:val="auto"/>
                <w:kern w:val="0"/>
                <w:sz w:val="24"/>
                <w:highlight w:val="none"/>
                <w:lang w:val="en-US" w:eastAsia="zh-CN"/>
              </w:rPr>
            </w:pPr>
            <w:r>
              <w:rPr>
                <w:rFonts w:hint="default" w:ascii="Times New Roman" w:hAnsi="Times New Roman" w:eastAsia="宋体" w:cs="Times New Roman"/>
                <w:snapToGrid w:val="0"/>
                <w:color w:val="auto"/>
                <w:kern w:val="0"/>
                <w:sz w:val="24"/>
                <w:szCs w:val="21"/>
                <w:highlight w:val="none"/>
              </w:rPr>
              <w:t>项目位</w:t>
            </w:r>
            <w:r>
              <w:rPr>
                <w:rFonts w:hint="default" w:ascii="Times New Roman" w:hAnsi="Times New Roman" w:eastAsia="宋体" w:cs="Times New Roman"/>
                <w:bCs/>
                <w:color w:val="auto"/>
                <w:sz w:val="24"/>
                <w:highlight w:val="none"/>
              </w:rPr>
              <w:t>于</w:t>
            </w:r>
            <w:r>
              <w:rPr>
                <w:rFonts w:hint="eastAsia" w:cs="Times New Roman"/>
                <w:color w:val="auto"/>
                <w:sz w:val="24"/>
                <w:highlight w:val="none"/>
                <w:lang w:eastAsia="zh-CN"/>
              </w:rPr>
              <w:t>黑龙江省鸡西市虎林市850农场东部园区静泽街1-3号</w:t>
            </w:r>
            <w:r>
              <w:rPr>
                <w:rFonts w:hint="default" w:ascii="Times New Roman" w:hAnsi="Times New Roman" w:eastAsia="宋体" w:cs="Times New Roman"/>
                <w:color w:val="auto"/>
                <w:sz w:val="24"/>
                <w:highlight w:val="none"/>
                <w:lang w:eastAsia="zh-CN" w:bidi="ar"/>
              </w:rPr>
              <w:t>，</w:t>
            </w:r>
            <w:r>
              <w:rPr>
                <w:rFonts w:hint="default" w:ascii="Times New Roman" w:hAnsi="Times New Roman" w:eastAsia="宋体" w:cs="Times New Roman"/>
                <w:color w:val="auto"/>
                <w:sz w:val="24"/>
                <w:szCs w:val="21"/>
                <w:highlight w:val="none"/>
                <w:lang w:bidi="ar"/>
              </w:rPr>
              <w:t>占地</w:t>
            </w:r>
            <w:r>
              <w:rPr>
                <w:rFonts w:hint="eastAsia" w:cs="Times New Roman"/>
                <w:color w:val="auto"/>
                <w:sz w:val="24"/>
                <w:szCs w:val="21"/>
                <w:highlight w:val="none"/>
                <w:lang w:val="en-US" w:eastAsia="zh-CN" w:bidi="ar"/>
              </w:rPr>
              <w:t>类型</w:t>
            </w:r>
            <w:r>
              <w:rPr>
                <w:rFonts w:hint="default" w:ascii="Times New Roman" w:hAnsi="Times New Roman" w:eastAsia="宋体" w:cs="Times New Roman"/>
                <w:color w:val="auto"/>
                <w:sz w:val="24"/>
                <w:szCs w:val="21"/>
                <w:highlight w:val="none"/>
                <w:lang w:bidi="ar"/>
              </w:rPr>
              <w:t>为</w:t>
            </w:r>
            <w:r>
              <w:rPr>
                <w:rFonts w:hint="eastAsia" w:cs="Times New Roman"/>
                <w:color w:val="auto"/>
                <w:sz w:val="24"/>
                <w:szCs w:val="21"/>
                <w:highlight w:val="none"/>
                <w:lang w:val="en-US" w:eastAsia="zh-CN" w:bidi="ar"/>
              </w:rPr>
              <w:t>工业用地</w:t>
            </w:r>
            <w:r>
              <w:rPr>
                <w:rFonts w:hint="default" w:ascii="Times New Roman" w:hAnsi="Times New Roman" w:eastAsia="宋体" w:cs="Times New Roman"/>
                <w:color w:val="auto"/>
                <w:sz w:val="24"/>
                <w:highlight w:val="none"/>
                <w:lang w:eastAsia="zh-CN" w:bidi="ar"/>
              </w:rPr>
              <w:t>。</w:t>
            </w:r>
            <w:r>
              <w:rPr>
                <w:rFonts w:hint="default" w:ascii="Times New Roman" w:hAnsi="Times New Roman" w:eastAsia="宋体" w:cs="Times New Roman"/>
                <w:color w:val="auto"/>
                <w:sz w:val="24"/>
                <w:highlight w:val="none"/>
                <w:lang w:val="en-US" w:eastAsia="zh-CN"/>
              </w:rPr>
              <w:t>企业厂区东</w:t>
            </w:r>
            <w:r>
              <w:rPr>
                <w:rFonts w:hint="default" w:ascii="Times New Roman" w:hAnsi="Times New Roman" w:eastAsia="宋体" w:cs="Times New Roman"/>
                <w:bCs/>
                <w:color w:val="auto"/>
                <w:sz w:val="24"/>
                <w:highlight w:val="none"/>
                <w:lang w:val="en-US" w:eastAsia="zh-CN"/>
              </w:rPr>
              <w:t>侧</w:t>
            </w:r>
            <w:r>
              <w:rPr>
                <w:rFonts w:hint="eastAsia" w:cs="Times New Roman"/>
                <w:bCs/>
                <w:color w:val="auto"/>
                <w:sz w:val="24"/>
                <w:highlight w:val="none"/>
                <w:lang w:val="en-US" w:eastAsia="zh-CN"/>
              </w:rPr>
              <w:t>为天浩粮油</w:t>
            </w:r>
            <w:r>
              <w:rPr>
                <w:rFonts w:hint="default" w:ascii="Times New Roman" w:hAnsi="Times New Roman" w:eastAsia="宋体" w:cs="Times New Roman"/>
                <w:bCs/>
                <w:color w:val="auto"/>
                <w:sz w:val="24"/>
                <w:highlight w:val="none"/>
                <w:lang w:val="en-US" w:eastAsia="zh-CN"/>
              </w:rPr>
              <w:t>，南侧</w:t>
            </w:r>
            <w:r>
              <w:rPr>
                <w:rFonts w:hint="eastAsia" w:cs="Times New Roman"/>
                <w:bCs/>
                <w:color w:val="auto"/>
                <w:sz w:val="24"/>
                <w:highlight w:val="none"/>
                <w:lang w:val="en-US" w:eastAsia="zh-CN"/>
              </w:rPr>
              <w:t>为国家直属粮库，</w:t>
            </w:r>
            <w:r>
              <w:rPr>
                <w:rFonts w:hint="default" w:ascii="Times New Roman" w:hAnsi="Times New Roman" w:eastAsia="宋体" w:cs="Times New Roman"/>
                <w:bCs/>
                <w:color w:val="auto"/>
                <w:sz w:val="24"/>
                <w:highlight w:val="none"/>
                <w:lang w:val="en-US" w:eastAsia="zh-CN"/>
              </w:rPr>
              <w:t>西侧</w:t>
            </w:r>
            <w:r>
              <w:rPr>
                <w:rFonts w:hint="eastAsia" w:cs="Times New Roman"/>
                <w:bCs/>
                <w:color w:val="auto"/>
                <w:sz w:val="24"/>
                <w:highlight w:val="none"/>
                <w:lang w:val="en-US" w:eastAsia="zh-CN"/>
              </w:rPr>
              <w:t>为天顺米业闲置场地，</w:t>
            </w:r>
            <w:r>
              <w:rPr>
                <w:rFonts w:hint="default" w:ascii="Times New Roman" w:hAnsi="Times New Roman" w:eastAsia="宋体" w:cs="Times New Roman"/>
                <w:bCs/>
                <w:color w:val="auto"/>
                <w:sz w:val="24"/>
                <w:highlight w:val="none"/>
                <w:lang w:val="en-US" w:eastAsia="zh-CN"/>
              </w:rPr>
              <w:t>北侧</w:t>
            </w:r>
            <w:r>
              <w:rPr>
                <w:rFonts w:hint="eastAsia" w:cs="Times New Roman"/>
                <w:bCs/>
                <w:color w:val="auto"/>
                <w:sz w:val="24"/>
                <w:highlight w:val="none"/>
                <w:lang w:val="en-US" w:eastAsia="zh-CN"/>
              </w:rPr>
              <w:t>隔静泽街</w:t>
            </w:r>
            <w:r>
              <w:rPr>
                <w:rFonts w:hint="default" w:ascii="Times New Roman" w:hAnsi="Times New Roman" w:eastAsia="宋体" w:cs="Times New Roman"/>
                <w:bCs/>
                <w:color w:val="auto"/>
                <w:sz w:val="24"/>
                <w:highlight w:val="none"/>
                <w:lang w:val="en-US" w:eastAsia="zh-CN"/>
              </w:rPr>
              <w:t>为</w:t>
            </w:r>
            <w:r>
              <w:rPr>
                <w:rFonts w:hint="eastAsia" w:cs="Times New Roman"/>
                <w:bCs/>
                <w:color w:val="auto"/>
                <w:sz w:val="24"/>
                <w:highlight w:val="none"/>
                <w:lang w:val="en-US" w:eastAsia="zh-CN"/>
              </w:rPr>
              <w:t>黑龙江珍宝岛食品有限公司</w:t>
            </w:r>
            <w:r>
              <w:rPr>
                <w:rFonts w:hint="default" w:ascii="Times New Roman" w:hAnsi="Times New Roman" w:eastAsia="宋体" w:cs="Times New Roman"/>
                <w:bCs/>
                <w:color w:val="auto"/>
                <w:sz w:val="24"/>
                <w:highlight w:val="none"/>
                <w:lang w:val="en-US" w:eastAsia="zh-CN"/>
              </w:rPr>
              <w:t>。</w:t>
            </w:r>
            <w:r>
              <w:rPr>
                <w:rFonts w:hint="default" w:ascii="Times New Roman" w:hAnsi="Times New Roman" w:eastAsia="宋体" w:cs="Times New Roman"/>
                <w:bCs/>
                <w:color w:val="auto"/>
                <w:kern w:val="0"/>
                <w:sz w:val="24"/>
                <w:highlight w:val="none"/>
              </w:rPr>
              <w:t>项目选址不属于风景名胜区、温泉疗养区、水产养殖区、基本农田保护区、自然保护区等需要特殊保护区域</w:t>
            </w:r>
            <w:r>
              <w:rPr>
                <w:rFonts w:hint="default" w:ascii="Times New Roman" w:hAnsi="Times New Roman" w:eastAsia="宋体" w:cs="Times New Roman"/>
                <w:bCs/>
                <w:color w:val="auto"/>
                <w:kern w:val="0"/>
                <w:sz w:val="24"/>
                <w:highlight w:val="none"/>
                <w:lang w:eastAsia="zh-CN"/>
              </w:rPr>
              <w:t>。</w:t>
            </w:r>
            <w:r>
              <w:rPr>
                <w:rFonts w:hint="default" w:ascii="Times New Roman" w:hAnsi="Times New Roman" w:eastAsia="宋体" w:cs="Times New Roman"/>
                <w:bCs/>
                <w:color w:val="auto"/>
                <w:sz w:val="24"/>
                <w:highlight w:val="none"/>
              </w:rPr>
              <w:t>项目所在地具有方便的交通运输和水</w:t>
            </w:r>
            <w:r>
              <w:rPr>
                <w:rFonts w:hint="default" w:ascii="Times New Roman" w:hAnsi="Times New Roman" w:eastAsia="宋体" w:cs="Times New Roman"/>
                <w:bCs/>
                <w:color w:val="auto"/>
                <w:kern w:val="2"/>
                <w:sz w:val="24"/>
                <w:szCs w:val="24"/>
                <w:highlight w:val="none"/>
                <w:lang w:val="en-US" w:eastAsia="zh-CN" w:bidi="ar-SA"/>
              </w:rPr>
              <w:t>电条件</w:t>
            </w:r>
            <w:r>
              <w:rPr>
                <w:rFonts w:hint="default" w:ascii="Times New Roman" w:hAnsi="Times New Roman" w:eastAsia="宋体" w:cs="Times New Roman"/>
                <w:bCs/>
                <w:color w:val="auto"/>
                <w:kern w:val="0"/>
                <w:sz w:val="24"/>
                <w:highlight w:val="none"/>
                <w:lang w:val="en-US" w:eastAsia="zh-CN"/>
              </w:rPr>
              <w:t>，便于项目的生产和运营。</w:t>
            </w:r>
          </w:p>
          <w:p w14:paraId="3B391BB6">
            <w:pPr>
              <w:pStyle w:val="91"/>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textAlignment w:val="auto"/>
              <w:rPr>
                <w:rFonts w:hint="default" w:ascii="Times New Roman" w:hAnsi="Times New Roman" w:eastAsia="宋体" w:cs="Times New Roman"/>
                <w:bCs/>
                <w:color w:val="auto"/>
                <w:kern w:val="0"/>
                <w:sz w:val="24"/>
                <w:highlight w:val="none"/>
                <w:lang w:val="en-US" w:eastAsia="zh-CN"/>
              </w:rPr>
            </w:pPr>
            <w:r>
              <w:rPr>
                <w:rFonts w:hint="default" w:ascii="Times New Roman" w:hAnsi="Times New Roman" w:eastAsia="宋体" w:cs="Times New Roman"/>
                <w:bCs/>
                <w:color w:val="auto"/>
                <w:kern w:val="0"/>
                <w:sz w:val="24"/>
                <w:highlight w:val="none"/>
                <w:lang w:val="en-US" w:eastAsia="zh-CN"/>
              </w:rPr>
              <w:t>项目无生产废水，生活污水排入防渗旱厕，定期清掏，外运堆肥。</w:t>
            </w:r>
            <w:r>
              <w:rPr>
                <w:rFonts w:hint="default" w:ascii="Times New Roman" w:hAnsi="Times New Roman" w:eastAsia="宋体" w:cs="Times New Roman"/>
                <w:bCs/>
                <w:color w:val="auto"/>
                <w:kern w:val="0"/>
                <w:sz w:val="24"/>
                <w:highlight w:val="none"/>
              </w:rPr>
              <w:t>距离本项目</w:t>
            </w:r>
            <w:r>
              <w:rPr>
                <w:rFonts w:hint="default" w:ascii="Times New Roman" w:hAnsi="Times New Roman" w:eastAsia="宋体" w:cs="Times New Roman"/>
                <w:bCs/>
                <w:color w:val="auto"/>
                <w:sz w:val="24"/>
                <w:highlight w:val="none"/>
              </w:rPr>
              <w:t>厂界最近的敏感目标为厂界</w:t>
            </w:r>
            <w:r>
              <w:rPr>
                <w:rFonts w:hint="eastAsia" w:cs="Times New Roman"/>
                <w:bCs/>
                <w:color w:val="auto"/>
                <w:sz w:val="24"/>
                <w:highlight w:val="none"/>
                <w:lang w:val="en-US" w:eastAsia="zh-CN"/>
              </w:rPr>
              <w:t>西北</w:t>
            </w:r>
            <w:r>
              <w:rPr>
                <w:rFonts w:hint="default" w:ascii="Times New Roman" w:hAnsi="Times New Roman" w:eastAsia="宋体" w:cs="Times New Roman"/>
                <w:bCs/>
                <w:color w:val="auto"/>
                <w:sz w:val="24"/>
                <w:highlight w:val="none"/>
              </w:rPr>
              <w:t>侧</w:t>
            </w:r>
            <w:r>
              <w:rPr>
                <w:rFonts w:hint="eastAsia" w:cs="Times New Roman"/>
                <w:bCs/>
                <w:color w:val="auto"/>
                <w:sz w:val="24"/>
                <w:highlight w:val="none"/>
                <w:lang w:val="en-US" w:eastAsia="zh-CN"/>
              </w:rPr>
              <w:t>295</w:t>
            </w:r>
            <w:r>
              <w:rPr>
                <w:rFonts w:hint="default" w:ascii="Times New Roman" w:hAnsi="Times New Roman" w:eastAsia="宋体" w:cs="Times New Roman"/>
                <w:bCs/>
                <w:color w:val="auto"/>
                <w:sz w:val="24"/>
                <w:highlight w:val="none"/>
                <w:lang w:val="en-US" w:eastAsia="zh-CN"/>
              </w:rPr>
              <w:t>m</w:t>
            </w:r>
            <w:r>
              <w:rPr>
                <w:rFonts w:hint="default" w:ascii="Times New Roman" w:hAnsi="Times New Roman" w:eastAsia="宋体" w:cs="Times New Roman"/>
                <w:bCs/>
                <w:color w:val="auto"/>
                <w:sz w:val="24"/>
                <w:highlight w:val="none"/>
              </w:rPr>
              <w:t>处的</w:t>
            </w:r>
            <w:r>
              <w:rPr>
                <w:rFonts w:hint="eastAsia" w:cs="Times New Roman"/>
                <w:bCs/>
                <w:color w:val="auto"/>
                <w:sz w:val="24"/>
                <w:highlight w:val="none"/>
                <w:lang w:val="en-US" w:eastAsia="zh-CN"/>
              </w:rPr>
              <w:t>八五零农场</w:t>
            </w:r>
            <w:r>
              <w:rPr>
                <w:rFonts w:hint="default" w:ascii="Times New Roman" w:hAnsi="Times New Roman" w:eastAsia="宋体" w:cs="Times New Roman"/>
                <w:bCs/>
                <w:color w:val="auto"/>
                <w:sz w:val="24"/>
                <w:highlight w:val="none"/>
                <w:lang w:val="en-US" w:eastAsia="zh-CN"/>
              </w:rPr>
              <w:t>居民</w:t>
            </w:r>
            <w:r>
              <w:rPr>
                <w:rFonts w:hint="default" w:ascii="Times New Roman" w:hAnsi="Times New Roman" w:eastAsia="宋体" w:cs="Times New Roman"/>
                <w:bCs/>
                <w:color w:val="auto"/>
                <w:sz w:val="24"/>
                <w:highlight w:val="none"/>
              </w:rPr>
              <w:t>，项目</w:t>
            </w:r>
            <w:r>
              <w:rPr>
                <w:rFonts w:hint="default" w:ascii="Times New Roman" w:hAnsi="Times New Roman" w:eastAsia="宋体" w:cs="Times New Roman"/>
                <w:bCs/>
                <w:color w:val="auto"/>
                <w:sz w:val="24"/>
                <w:highlight w:val="none"/>
                <w:lang w:val="en-US" w:eastAsia="zh-CN"/>
              </w:rPr>
              <w:t>运行期产生的污染物为废气、噪声和固体废物，</w:t>
            </w:r>
            <w:r>
              <w:rPr>
                <w:rFonts w:hint="default" w:ascii="Times New Roman" w:hAnsi="Times New Roman" w:eastAsia="宋体" w:cs="Times New Roman"/>
                <w:bCs/>
                <w:color w:val="auto"/>
                <w:sz w:val="24"/>
                <w:highlight w:val="none"/>
              </w:rPr>
              <w:t>各污染物经</w:t>
            </w:r>
            <w:r>
              <w:rPr>
                <w:rFonts w:hint="default" w:ascii="Times New Roman" w:hAnsi="Times New Roman" w:eastAsia="宋体" w:cs="Times New Roman"/>
                <w:bCs/>
                <w:color w:val="auto"/>
                <w:sz w:val="24"/>
                <w:highlight w:val="none"/>
                <w:lang w:val="en-US" w:eastAsia="zh-CN"/>
              </w:rPr>
              <w:t>采取报告提出的污染防治设施</w:t>
            </w:r>
            <w:r>
              <w:rPr>
                <w:rFonts w:hint="default" w:ascii="Times New Roman" w:hAnsi="Times New Roman" w:eastAsia="宋体" w:cs="Times New Roman"/>
                <w:bCs/>
                <w:color w:val="auto"/>
                <w:sz w:val="24"/>
                <w:highlight w:val="none"/>
              </w:rPr>
              <w:t>处理后均可达标排放，不会对周围敏感目标及区域环境产生影响，项目</w:t>
            </w:r>
            <w:r>
              <w:rPr>
                <w:rFonts w:hint="default" w:ascii="Times New Roman" w:hAnsi="Times New Roman" w:eastAsia="宋体" w:cs="Times New Roman"/>
                <w:bCs/>
                <w:color w:val="auto"/>
                <w:sz w:val="24"/>
                <w:highlight w:val="none"/>
                <w:lang w:val="en-US" w:eastAsia="zh-CN"/>
              </w:rPr>
              <w:t>的</w:t>
            </w:r>
            <w:r>
              <w:rPr>
                <w:rFonts w:hint="default" w:ascii="Times New Roman" w:hAnsi="Times New Roman" w:eastAsia="宋体" w:cs="Times New Roman"/>
                <w:bCs/>
                <w:color w:val="auto"/>
                <w:sz w:val="24"/>
                <w:highlight w:val="none"/>
              </w:rPr>
              <w:t>建设不会使得环境功能发生改变</w:t>
            </w:r>
            <w:r>
              <w:rPr>
                <w:rFonts w:hint="default" w:ascii="Times New Roman" w:hAnsi="Times New Roman" w:eastAsia="宋体" w:cs="Times New Roman"/>
                <w:bCs/>
                <w:color w:val="auto"/>
                <w:sz w:val="24"/>
                <w:highlight w:val="none"/>
                <w:lang w:eastAsia="zh-CN"/>
              </w:rPr>
              <w:t>。</w:t>
            </w:r>
          </w:p>
          <w:p w14:paraId="1062E3F2">
            <w:pPr>
              <w:pStyle w:val="91"/>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textAlignment w:val="auto"/>
              <w:rPr>
                <w:rFonts w:hint="eastAsia" w:cs="Times New Roman"/>
                <w:bCs/>
                <w:color w:val="auto"/>
                <w:kern w:val="0"/>
                <w:sz w:val="24"/>
                <w:highlight w:val="none"/>
                <w:lang w:val="en-US" w:eastAsia="zh-CN"/>
              </w:rPr>
            </w:pPr>
            <w:r>
              <w:rPr>
                <w:rFonts w:hint="eastAsia" w:cs="Times New Roman"/>
                <w:bCs/>
                <w:color w:val="auto"/>
                <w:kern w:val="0"/>
                <w:sz w:val="24"/>
                <w:highlight w:val="none"/>
                <w:lang w:val="en-US" w:eastAsia="zh-CN"/>
              </w:rPr>
              <w:t>本项</w:t>
            </w:r>
            <w:r>
              <w:rPr>
                <w:rFonts w:hint="default" w:ascii="Times New Roman" w:hAnsi="Times New Roman" w:eastAsia="宋体" w:cs="Times New Roman"/>
                <w:bCs/>
                <w:color w:val="auto"/>
                <w:kern w:val="0"/>
                <w:sz w:val="24"/>
                <w:highlight w:val="none"/>
                <w:lang w:val="en-US" w:eastAsia="zh-CN"/>
              </w:rPr>
              <w:t>目</w:t>
            </w:r>
            <w:r>
              <w:rPr>
                <w:rFonts w:hint="eastAsia" w:ascii="Times New Roman" w:hAnsi="Times New Roman" w:eastAsia="宋体" w:cs="Times New Roman"/>
                <w:bCs/>
                <w:color w:val="auto"/>
                <w:kern w:val="0"/>
                <w:sz w:val="24"/>
                <w:highlight w:val="none"/>
                <w:lang w:val="en-US" w:eastAsia="zh-CN"/>
              </w:rPr>
              <w:t>为</w:t>
            </w:r>
            <w:r>
              <w:rPr>
                <w:rFonts w:hint="default" w:ascii="Times New Roman" w:hAnsi="Times New Roman" w:eastAsia="宋体" w:cs="Times New Roman"/>
                <w:bCs/>
                <w:color w:val="auto"/>
                <w:kern w:val="0"/>
                <w:sz w:val="24"/>
                <w:highlight w:val="none"/>
                <w:lang w:val="en-US" w:eastAsia="zh-CN"/>
              </w:rPr>
              <w:t>涉及粮食仓储项目</w:t>
            </w:r>
            <w:r>
              <w:rPr>
                <w:rFonts w:hint="eastAsia" w:ascii="Times New Roman" w:hAnsi="Times New Roman" w:eastAsia="宋体" w:cs="Times New Roman"/>
                <w:bCs/>
                <w:color w:val="auto"/>
                <w:kern w:val="0"/>
                <w:sz w:val="24"/>
                <w:highlight w:val="none"/>
                <w:lang w:val="en-US" w:eastAsia="zh-CN"/>
              </w:rPr>
              <w:t>，</w:t>
            </w:r>
            <w:r>
              <w:rPr>
                <w:rFonts w:hint="eastAsia" w:cs="Times New Roman"/>
                <w:bCs/>
                <w:color w:val="auto"/>
                <w:kern w:val="0"/>
                <w:sz w:val="24"/>
                <w:highlight w:val="none"/>
                <w:lang w:val="en-US" w:eastAsia="zh-CN"/>
              </w:rPr>
              <w:t>根据</w:t>
            </w:r>
            <w:r>
              <w:rPr>
                <w:rFonts w:hint="default" w:ascii="Times New Roman" w:hAnsi="Times New Roman" w:eastAsia="宋体" w:cs="Times New Roman"/>
                <w:bCs/>
                <w:color w:val="auto"/>
                <w:kern w:val="0"/>
                <w:sz w:val="24"/>
                <w:highlight w:val="none"/>
                <w:lang w:val="en-US" w:eastAsia="zh-CN"/>
              </w:rPr>
              <w:t>《粮油仓储管理办法》附件1</w:t>
            </w:r>
            <w:r>
              <w:rPr>
                <w:rFonts w:hint="eastAsia" w:cs="Times New Roman"/>
                <w:bCs/>
                <w:color w:val="auto"/>
                <w:kern w:val="0"/>
                <w:sz w:val="24"/>
                <w:highlight w:val="none"/>
                <w:lang w:val="en-US" w:eastAsia="zh-CN"/>
              </w:rPr>
              <w:t>要求：一、距有害元素的矿山、炼焦、炼油、煤气、化工（包括有毒化合物的生产）、塑料、橡胶制品及加工、人造纤维、油漆、农药、化肥等排放有毒气体的生产单位，不小于1000米；二、距屠宰场、集中垃圾堆场、污水处理站等单位，不小于500米；三、距砖瓦厂、混凝土及石膏制品厂等粉尘污染源，不小于100米。</w:t>
            </w:r>
          </w:p>
          <w:p w14:paraId="4A326D56">
            <w:pPr>
              <w:pStyle w:val="91"/>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textAlignment w:val="auto"/>
              <w:rPr>
                <w:rFonts w:hint="default" w:ascii="Times New Roman" w:hAnsi="Times New Roman" w:eastAsia="宋体" w:cs="Times New Roman"/>
                <w:bCs/>
                <w:color w:val="auto"/>
                <w:sz w:val="24"/>
                <w:highlight w:val="none"/>
                <w:lang w:eastAsia="zh-CN"/>
              </w:rPr>
            </w:pPr>
            <w:r>
              <w:rPr>
                <w:rFonts w:hint="eastAsia" w:cs="Times New Roman"/>
                <w:bCs/>
                <w:color w:val="auto"/>
                <w:kern w:val="0"/>
                <w:sz w:val="24"/>
                <w:highlight w:val="none"/>
                <w:lang w:val="en-US" w:eastAsia="zh-CN"/>
              </w:rPr>
              <w:t>根据现场勘查，本项目周围主要为西南侧295米处的八五零农场居民。因此，本项目500米内无屠宰场、集中垃圾堆场、污水处理站等单位，1000米内无有害元素的矿山、炼焦、炼油、煤气、化工（包括有毒化合物的生产）、塑料、橡胶制品及加工、人造纤维、油漆、农药、化肥等排放有毒气体的生产单位，且100范围内也无距砖瓦厂、混凝土及石膏制品厂等项目。综上，本项目满足《粮油仓储管理办法》附件1中相关距离要求</w:t>
            </w:r>
            <w:r>
              <w:rPr>
                <w:rFonts w:hint="default" w:ascii="Times New Roman" w:hAnsi="Times New Roman" w:eastAsia="宋体" w:cs="Times New Roman"/>
                <w:bCs/>
                <w:color w:val="auto"/>
                <w:kern w:val="0"/>
                <w:sz w:val="24"/>
                <w:highlight w:val="none"/>
                <w:lang w:val="en-US" w:eastAsia="zh-CN"/>
              </w:rPr>
              <w:t>。</w:t>
            </w:r>
          </w:p>
          <w:p w14:paraId="294162C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综上所述，本项目选址较为合理。</w:t>
            </w:r>
          </w:p>
          <w:p w14:paraId="282ADBAB">
            <w:pPr>
              <w:pStyle w:val="48"/>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szCs w:val="21"/>
                <w:highlight w:val="none"/>
                <w:lang w:val="en-US" w:eastAsia="zh-CN" w:bidi="ar-SA"/>
              </w:rPr>
            </w:pPr>
            <w:r>
              <w:rPr>
                <w:rFonts w:hint="default" w:ascii="Times New Roman" w:hAnsi="Times New Roman" w:eastAsia="宋体" w:cs="Times New Roman"/>
                <w:b/>
                <w:bCs/>
                <w:color w:val="auto"/>
                <w:kern w:val="0"/>
                <w:sz w:val="24"/>
                <w:szCs w:val="21"/>
                <w:highlight w:val="none"/>
                <w:lang w:val="en-US" w:eastAsia="zh-CN" w:bidi="ar-SA"/>
              </w:rPr>
              <w:t>9、与《鸡西市“十四五”生态环境保护规划》的符合性分析</w:t>
            </w:r>
          </w:p>
          <w:p w14:paraId="44906255">
            <w:pPr>
              <w:pStyle w:val="48"/>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1"/>
                <w:highlight w:val="none"/>
                <w:lang w:val="en-US" w:eastAsia="zh-CN" w:bidi="ar-SA"/>
              </w:rPr>
            </w:pPr>
            <w:r>
              <w:rPr>
                <w:rFonts w:hint="default" w:ascii="Times New Roman" w:hAnsi="Times New Roman" w:eastAsia="宋体" w:cs="Times New Roman"/>
                <w:bCs/>
                <w:color w:val="auto"/>
                <w:kern w:val="0"/>
                <w:sz w:val="24"/>
                <w:szCs w:val="21"/>
                <w:highlight w:val="none"/>
                <w:lang w:val="en-US" w:eastAsia="zh-CN" w:bidi="ar-SA"/>
              </w:rPr>
              <w:t>实施大气环境质量目标管理。对照2035年远景目标,开展形势分析,逐步提高大气环境质量目标，持续改善城市大气环境质量。开展工业炉窑深度治理。分类建立超低排放改造以外的重点涉工业炉窑行业清单，制定工业炉窑深度治理工作方案。严格排放标准要求，加强不达标工业炉窑的淘汰力度，加快淘汰中小型煤气发生炉。鼓励工业炉窑使用电、天然气等清洁能源或由周边热电厂供热。</w:t>
            </w:r>
          </w:p>
          <w:p w14:paraId="2F6CB3E6">
            <w:pPr>
              <w:pStyle w:val="48"/>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1"/>
                <w:highlight w:val="none"/>
                <w:lang w:val="en-US" w:eastAsia="zh-CN" w:bidi="ar-SA"/>
              </w:rPr>
            </w:pPr>
            <w:r>
              <w:rPr>
                <w:rFonts w:hint="default" w:ascii="Times New Roman" w:hAnsi="Times New Roman" w:eastAsia="宋体" w:cs="Times New Roman"/>
                <w:bCs/>
                <w:color w:val="auto"/>
                <w:kern w:val="0"/>
                <w:sz w:val="24"/>
                <w:szCs w:val="21"/>
                <w:highlight w:val="none"/>
                <w:lang w:val="en-US" w:eastAsia="zh-CN" w:bidi="ar-SA"/>
              </w:rPr>
              <w:t>加大燃煤污染治理力度。深入实施散煤污染治理“三重一改”攻坚行动，统筹全市棚户区、城中村、城乡结合部、商户和农村地区散煤污染治理，按照“煤炭集中使用、清洁利用”原则，重点削减散煤、工业锅炉、工业炉窑等非电用煤，以“煤改气”“煤改电”为主要方式，降低煤炭在能源消费中的比重。持续推进清洁取暖，加快生物质成型燃料供暖，构建绿色、节约、高效、协调、适用的清洁供暖体系。市主城区建成区基本实现散煤清零。加快淘汰全市建成区10-35蒸吨/小时燃煤锅炉，推进65蒸吨/小时及以上燃煤锅炉(含电力)超低排放改造，实现20蒸吨/小时及以上锅炉稳定达标排放全覆盖。</w:t>
            </w:r>
          </w:p>
          <w:p w14:paraId="00BCE2C2">
            <w:pPr>
              <w:pStyle w:val="48"/>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kern w:val="0"/>
                <w:sz w:val="24"/>
                <w:szCs w:val="21"/>
                <w:highlight w:val="none"/>
                <w:lang w:val="en-US" w:eastAsia="zh-CN" w:bidi="ar-SA"/>
              </w:rPr>
            </w:pPr>
            <w:r>
              <w:rPr>
                <w:rFonts w:hint="default" w:ascii="Times New Roman" w:hAnsi="Times New Roman" w:eastAsia="宋体" w:cs="Times New Roman"/>
                <w:bCs/>
                <w:color w:val="auto"/>
                <w:kern w:val="0"/>
                <w:sz w:val="24"/>
                <w:szCs w:val="21"/>
                <w:highlight w:val="none"/>
                <w:lang w:val="en-US" w:eastAsia="zh-CN" w:bidi="ar-SA"/>
              </w:rPr>
              <w:t>本项目运营期主要废气为燃生物质热风炉烟气，燃生物质热风炉产生烟气经布袋除尘器（除尘效率99.5%）处理后通过30m高烟囱DA001排放，热风炉烟气中烟尘和烟气黑度满足《工业炉窑大气污染物排放标准》（GB9078- 1996）表2标准，烟气中SO</w:t>
            </w:r>
            <w:r>
              <w:rPr>
                <w:rFonts w:hint="default" w:ascii="Times New Roman" w:hAnsi="Times New Roman" w:eastAsia="宋体" w:cs="Times New Roman"/>
                <w:bCs/>
                <w:color w:val="auto"/>
                <w:kern w:val="0"/>
                <w:sz w:val="24"/>
                <w:szCs w:val="21"/>
                <w:highlight w:val="none"/>
                <w:vertAlign w:val="subscript"/>
                <w:lang w:val="en-US" w:eastAsia="zh-CN" w:bidi="ar-SA"/>
              </w:rPr>
              <w:t>2</w:t>
            </w:r>
            <w:r>
              <w:rPr>
                <w:rFonts w:hint="default" w:ascii="Times New Roman" w:hAnsi="Times New Roman" w:eastAsia="宋体" w:cs="Times New Roman"/>
                <w:bCs/>
                <w:color w:val="auto"/>
                <w:kern w:val="0"/>
                <w:sz w:val="24"/>
                <w:szCs w:val="21"/>
                <w:highlight w:val="none"/>
                <w:lang w:val="en-US" w:eastAsia="zh-CN" w:bidi="ar-SA"/>
              </w:rPr>
              <w:t>满足《工业炉窑大气污染物排放标准》（GB9078-1996）表4中二级标准；生产过程中产生的粉尘满足《大气污染物综合排放标准》（GB16297-1996）表2无组织排放监控浓度限值标准。</w:t>
            </w:r>
            <w:r>
              <w:rPr>
                <w:rFonts w:hint="eastAsia" w:ascii="Times New Roman" w:hAnsi="Times New Roman" w:eastAsia="宋体" w:cs="Times New Roman"/>
                <w:bCs/>
                <w:color w:val="auto"/>
                <w:kern w:val="0"/>
                <w:sz w:val="24"/>
                <w:szCs w:val="21"/>
                <w:highlight w:val="none"/>
                <w:lang w:val="en-US" w:eastAsia="zh-CN" w:bidi="ar-SA"/>
              </w:rPr>
              <w:t>采取治理措施后，对周围大气环境影响较小。因此，本项目的建设符合《鸡西市“十四五”生态环境保护规划》的相关要求。</w:t>
            </w:r>
          </w:p>
          <w:p w14:paraId="66769B36">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eastAsia" w:cs="Times New Roman"/>
                <w:b/>
                <w:color w:val="auto"/>
                <w:szCs w:val="24"/>
                <w:highlight w:val="none"/>
                <w:lang w:val="en-US" w:eastAsia="zh-CN"/>
              </w:rPr>
              <w:t>10</w:t>
            </w:r>
            <w:r>
              <w:rPr>
                <w:rFonts w:hint="default" w:ascii="Times New Roman" w:hAnsi="Times New Roman" w:eastAsia="宋体" w:cs="Times New Roman"/>
                <w:b/>
                <w:color w:val="auto"/>
                <w:szCs w:val="24"/>
                <w:highlight w:val="none"/>
              </w:rPr>
              <w:t>、与《美丽中国建设 “十五五” 规划》（国发〔2026〕20 号）符合性分析</w:t>
            </w:r>
          </w:p>
          <w:p w14:paraId="7838FA2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val="en-US" w:eastAsia="zh-CN"/>
              </w:rPr>
              <w:t>规划坚持降碳、减污、扩绿、增长协同推进</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严控 “两高一低” 项目无序扩张</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严格落实产业准入、分区管控要求；严控煤炭消费总量</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大力推广生物质等可再生能源替代燃煤锅炉、工业炉窑</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提升非化石能源占比</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推进控煤降碳中华人民共...；深入打好蓝天、碧水、净土保卫战</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要求炉窑配套高效废气治理设施、物料全流程密闭抑尘；厂区堆场做好防渗硬化</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生产废水分类资源化处置；强化固废闭环管理</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推动农林固废、生物质灰渣资源化还田利用；严守生态保护红线</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优化产业布局</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兼顾粮食安全保障与农业绿色低碳发展...。同时要求严格执行产业政策</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淘汰落后工艺装备</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推动工农业节能改造</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统筹生态保护与乡村产业良性发展</w:t>
            </w:r>
            <w:r>
              <w:rPr>
                <w:rFonts w:hint="default" w:ascii="Times New Roman" w:hAnsi="Times New Roman" w:eastAsia="宋体" w:cs="Times New Roman"/>
                <w:bCs/>
                <w:color w:val="auto"/>
                <w:sz w:val="24"/>
                <w:highlight w:val="none"/>
                <w:lang w:eastAsia="zh-CN"/>
              </w:rPr>
              <w:t>。</w:t>
            </w:r>
          </w:p>
          <w:p w14:paraId="3143935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本项目为粮食烘干配套工程</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 xml:space="preserve">不属于高耗能、高排放、低水平的 “两高一低” 项目；配套 </w:t>
            </w:r>
            <w:r>
              <w:rPr>
                <w:rFonts w:hint="eastAsia" w:cs="Times New Roman"/>
                <w:color w:val="auto"/>
                <w:sz w:val="24"/>
                <w:highlight w:val="none"/>
                <w:lang w:eastAsia="zh-CN"/>
              </w:rPr>
              <w:t>900万kcal/h</w:t>
            </w:r>
            <w:r>
              <w:rPr>
                <w:rFonts w:hint="default" w:ascii="Times New Roman" w:hAnsi="Times New Roman" w:eastAsia="宋体" w:cs="Times New Roman"/>
                <w:color w:val="auto"/>
                <w:sz w:val="24"/>
                <w:highlight w:val="none"/>
              </w:rPr>
              <w:t xml:space="preserve"> 燃生物质热风炉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全程使用生物质燃料</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不新增燃煤消耗</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落实规划控煤减煤、清洁能源替代相关部署</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助力提升非化石能源使用占比中国政府网。项目设备、工艺均符合《产业结构调整指导目录》</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无淘汰类装备</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满足产业绿色升级要求。项目热风炉配套</w:t>
            </w:r>
            <w:r>
              <w:rPr>
                <w:rFonts w:hint="eastAsia" w:cs="Times New Roman"/>
                <w:color w:val="auto"/>
                <w:sz w:val="24"/>
                <w:highlight w:val="none"/>
                <w:lang w:val="en-US" w:eastAsia="zh-CN"/>
              </w:rPr>
              <w:t>布袋除尘器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粮食转运、料仓全密闭管控扬尘</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匹配大气精细化治理要求；无生产工艺废水外排</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厂区全部硬化防渗</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选址避开生态红线、饮用水源保护区；生物质灰渣、粮食杂质全部资源化回用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符合固废减量化、资源化要求。项目可减少粮食霉变损耗、保障粮食安全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同步实现节能降碳、治污增效</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整体符合《美丽中国建设 “十五五” 规划》（国发〔2026〕20 号）全部管控要求。</w:t>
            </w:r>
          </w:p>
          <w:p w14:paraId="7631CB07">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eastAsia" w:ascii="Times New Roman" w:hAnsi="Times New Roman" w:eastAsia="宋体" w:cs="Times New Roman"/>
                <w:b/>
                <w:color w:val="auto"/>
                <w:szCs w:val="24"/>
                <w:highlight w:val="none"/>
                <w:lang w:val="en-US" w:eastAsia="zh-CN"/>
              </w:rPr>
              <w:t>1</w:t>
            </w:r>
            <w:r>
              <w:rPr>
                <w:rFonts w:hint="eastAsia" w:cs="Times New Roman"/>
                <w:b/>
                <w:color w:val="auto"/>
                <w:szCs w:val="24"/>
                <w:highlight w:val="none"/>
                <w:lang w:val="en-US" w:eastAsia="zh-CN"/>
              </w:rPr>
              <w:t>1</w:t>
            </w:r>
            <w:r>
              <w:rPr>
                <w:rFonts w:hint="default" w:ascii="Times New Roman" w:hAnsi="Times New Roman" w:eastAsia="宋体" w:cs="Times New Roman"/>
                <w:b/>
                <w:color w:val="auto"/>
                <w:szCs w:val="24"/>
                <w:highlight w:val="none"/>
              </w:rPr>
              <w:t>、与《群众身边水体保护治理行动方案》（国办函〔2026〕65号）</w:t>
            </w:r>
            <w:r>
              <w:rPr>
                <w:rFonts w:hint="eastAsia" w:ascii="Times New Roman" w:hAnsi="Times New Roman" w:eastAsia="宋体" w:cs="Times New Roman"/>
                <w:b/>
                <w:color w:val="auto"/>
                <w:szCs w:val="24"/>
                <w:highlight w:val="none"/>
                <w:lang w:val="en-US" w:eastAsia="zh-CN"/>
              </w:rPr>
              <w:t>分</w:t>
            </w:r>
            <w:r>
              <w:rPr>
                <w:rFonts w:hint="default" w:ascii="Times New Roman" w:hAnsi="Times New Roman" w:eastAsia="宋体" w:cs="Times New Roman"/>
                <w:b/>
                <w:color w:val="auto"/>
                <w:szCs w:val="24"/>
                <w:highlight w:val="none"/>
              </w:rPr>
              <w:t>析</w:t>
            </w:r>
          </w:p>
          <w:p w14:paraId="3E7DEDD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val="en-US" w:eastAsia="zh-CN"/>
              </w:rPr>
              <w:t>该方案坚持环保为民、源头防控</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治理范围覆盖乡村、县域周边支流、坑塘沟渠等群众身边小微水体</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要求严控工业废水直排</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落实厂区防渗防淋溶措施</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防范生产废水、雨水径流污染地表水与地下水；统筹生活污水资源化处置</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杜绝污水入沟渠、坑塘；强化厂区涉水风险管控</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避免项目运营造成周边小微水体出现异色、异味、杂物堆积；要求涉农项目落实水环境长效管控</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不新增区域水体污染负荷</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保护乡村河湖、沟渠水环境质量</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严防生产物料随雨水冲刷污染周边水体</w:t>
            </w:r>
            <w:r>
              <w:rPr>
                <w:rFonts w:hint="default" w:ascii="Times New Roman" w:hAnsi="Times New Roman" w:eastAsia="宋体" w:cs="Times New Roman"/>
                <w:bCs/>
                <w:color w:val="auto"/>
                <w:sz w:val="24"/>
                <w:highlight w:val="none"/>
                <w:lang w:eastAsia="zh-CN"/>
              </w:rPr>
              <w:t>。</w:t>
            </w:r>
          </w:p>
          <w:p w14:paraId="2A138DF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val="en-US" w:eastAsia="zh-CN"/>
              </w:rPr>
              <w:t>无新增人员</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无生活污水产生及排放</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无生产工艺废水产生及外排</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不存在生产废水排入周边沟渠、支流等群众身边水体的情况；厂区生产</w:t>
            </w:r>
            <w:r>
              <w:rPr>
                <w:rFonts w:hint="eastAsia" w:cs="Times New Roman"/>
                <w:color w:val="auto"/>
                <w:sz w:val="24"/>
                <w:highlight w:val="none"/>
                <w:lang w:val="en-US" w:eastAsia="zh-CN"/>
              </w:rPr>
              <w:t>车间</w:t>
            </w:r>
            <w:r>
              <w:rPr>
                <w:rFonts w:hint="default" w:ascii="Times New Roman" w:hAnsi="Times New Roman" w:eastAsia="宋体" w:cs="Times New Roman"/>
                <w:color w:val="auto"/>
                <w:sz w:val="24"/>
                <w:highlight w:val="none"/>
              </w:rPr>
              <w:t>、燃料</w:t>
            </w:r>
            <w:r>
              <w:rPr>
                <w:rFonts w:hint="eastAsia" w:ascii="Times New Roman" w:hAnsi="Times New Roman" w:eastAsia="宋体" w:cs="Times New Roman"/>
                <w:color w:val="auto"/>
                <w:sz w:val="24"/>
                <w:highlight w:val="none"/>
                <w:lang w:val="en-US" w:eastAsia="zh-CN"/>
              </w:rPr>
              <w:t>间</w:t>
            </w:r>
            <w:r>
              <w:rPr>
                <w:rFonts w:hint="default" w:ascii="Times New Roman" w:hAnsi="Times New Roman" w:eastAsia="宋体" w:cs="Times New Roman"/>
                <w:color w:val="auto"/>
                <w:sz w:val="24"/>
                <w:highlight w:val="none"/>
              </w:rPr>
              <w:t>、灰渣</w:t>
            </w:r>
            <w:r>
              <w:rPr>
                <w:rFonts w:hint="eastAsia" w:ascii="Times New Roman" w:hAnsi="Times New Roman" w:eastAsia="宋体" w:cs="Times New Roman"/>
                <w:color w:val="auto"/>
                <w:sz w:val="24"/>
                <w:highlight w:val="none"/>
                <w:lang w:val="en-US" w:eastAsia="zh-CN"/>
              </w:rPr>
              <w:t>间等</w:t>
            </w:r>
            <w:r>
              <w:rPr>
                <w:rFonts w:hint="eastAsia" w:cs="Times New Roman"/>
                <w:color w:val="auto"/>
                <w:sz w:val="24"/>
                <w:highlight w:val="none"/>
                <w:lang w:val="en-US" w:eastAsia="zh-CN"/>
              </w:rPr>
              <w:t>均为独立封闭空间，且地面</w:t>
            </w:r>
            <w:r>
              <w:rPr>
                <w:rFonts w:hint="default" w:ascii="Times New Roman" w:hAnsi="Times New Roman" w:eastAsia="宋体" w:cs="Times New Roman"/>
                <w:color w:val="auto"/>
                <w:sz w:val="24"/>
                <w:highlight w:val="none"/>
              </w:rPr>
              <w:t>全部硬化防渗</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杜绝</w:t>
            </w:r>
            <w:r>
              <w:rPr>
                <w:rFonts w:hint="eastAsia" w:cs="Times New Roman"/>
                <w:color w:val="auto"/>
                <w:sz w:val="24"/>
                <w:highlight w:val="none"/>
                <w:lang w:val="en-US" w:eastAsia="zh-CN"/>
              </w:rPr>
              <w:t>了</w:t>
            </w:r>
            <w:r>
              <w:rPr>
                <w:rFonts w:hint="default" w:ascii="Times New Roman" w:hAnsi="Times New Roman" w:eastAsia="宋体" w:cs="Times New Roman"/>
                <w:color w:val="auto"/>
                <w:sz w:val="24"/>
                <w:highlight w:val="none"/>
              </w:rPr>
              <w:t>雨水冲刷物料形成淋溶废水渗入土壤、汇入周边小微水体</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选址远离村庄沟渠、乡村坑塘、支流等各类群众身边水体</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运营无新增水污染物入河风险</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不会造成周边水体发黑发臭、杂物堆积问题。项目全过程落实水环境源头防控要求</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满足小微水体保护、地下水及地表水协同管控要求</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符合《群众身边水体保护治理行动方案》（国办函〔2026〕65 号）管控要求。</w:t>
            </w:r>
          </w:p>
          <w:p w14:paraId="4E1B8EF8">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eastAsia" w:ascii="Times New Roman" w:hAnsi="Times New Roman" w:eastAsia="宋体" w:cs="Times New Roman"/>
                <w:b/>
                <w:color w:val="auto"/>
                <w:szCs w:val="24"/>
                <w:highlight w:val="none"/>
                <w:lang w:val="en-US" w:eastAsia="zh-CN"/>
              </w:rPr>
              <w:t>1</w:t>
            </w:r>
            <w:r>
              <w:rPr>
                <w:rFonts w:hint="eastAsia" w:cs="Times New Roman"/>
                <w:b/>
                <w:color w:val="auto"/>
                <w:szCs w:val="24"/>
                <w:highlight w:val="none"/>
                <w:lang w:val="en-US" w:eastAsia="zh-CN"/>
              </w:rPr>
              <w:t>2</w:t>
            </w:r>
            <w:r>
              <w:rPr>
                <w:rFonts w:hint="default" w:ascii="Times New Roman" w:hAnsi="Times New Roman" w:eastAsia="宋体" w:cs="Times New Roman"/>
                <w:b/>
                <w:color w:val="auto"/>
                <w:szCs w:val="24"/>
                <w:highlight w:val="none"/>
              </w:rPr>
              <w:t>、与《土壤、地下水和农业农村生态环境保护“十五五”规划》</w:t>
            </w:r>
            <w:r>
              <w:rPr>
                <w:rFonts w:hint="eastAsia" w:ascii="Times New Roman" w:hAnsi="Times New Roman" w:eastAsia="宋体" w:cs="Times New Roman"/>
                <w:b/>
                <w:color w:val="auto"/>
                <w:szCs w:val="24"/>
                <w:highlight w:val="none"/>
                <w:lang w:val="en-US" w:eastAsia="zh-CN"/>
              </w:rPr>
              <w:t>分</w:t>
            </w:r>
            <w:r>
              <w:rPr>
                <w:rFonts w:hint="default" w:ascii="Times New Roman" w:hAnsi="Times New Roman" w:eastAsia="宋体" w:cs="Times New Roman"/>
                <w:b/>
                <w:color w:val="auto"/>
                <w:szCs w:val="24"/>
                <w:highlight w:val="none"/>
              </w:rPr>
              <w:t>析</w:t>
            </w:r>
          </w:p>
          <w:p w14:paraId="052510C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val="en-US" w:eastAsia="zh-CN"/>
              </w:rPr>
              <w:t>规划要求坚持源头管控</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防范生产活动造成土壤、地下水污染；物料堆放区、固废存放区需做好防渗硬化</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完善雨水截流设施</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避免淋溶污染物下渗；规范固体废物管理</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支持农林废弃物资源化农用；涉农项目避让地下水饮用水水源补给区等环境敏感区域</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生活污水不得随意漫渗</w:t>
            </w:r>
            <w:r>
              <w:rPr>
                <w:rFonts w:hint="eastAsia"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兼顾农业生产保障与农村生态安全</w:t>
            </w:r>
            <w:r>
              <w:rPr>
                <w:rFonts w:hint="default" w:ascii="Times New Roman" w:hAnsi="Times New Roman" w:eastAsia="宋体" w:cs="Times New Roman"/>
                <w:bCs/>
                <w:color w:val="auto"/>
                <w:sz w:val="24"/>
                <w:highlight w:val="none"/>
                <w:lang w:eastAsia="zh-CN"/>
              </w:rPr>
              <w:t>。</w:t>
            </w:r>
          </w:p>
          <w:p w14:paraId="5FD86FA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w:t>
            </w:r>
            <w:r>
              <w:rPr>
                <w:rFonts w:hint="eastAsia" w:ascii="Times New Roman" w:hAnsi="Times New Roman" w:eastAsia="宋体" w:cs="Times New Roman"/>
                <w:color w:val="auto"/>
                <w:sz w:val="24"/>
                <w:highlight w:val="none"/>
                <w:lang w:val="en-US" w:eastAsia="zh-CN"/>
              </w:rPr>
              <w:t>项目无新增人员</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无生活污水产生及排放</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无生产工艺废水排放</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厂区生产</w:t>
            </w:r>
            <w:r>
              <w:rPr>
                <w:rFonts w:hint="default" w:ascii="Times New Roman" w:hAnsi="Times New Roman" w:cs="Times New Roman"/>
                <w:color w:val="auto"/>
                <w:sz w:val="24"/>
                <w:highlight w:val="none"/>
                <w:lang w:val="en-US" w:eastAsia="zh-CN"/>
              </w:rPr>
              <w:t>车间</w:t>
            </w:r>
            <w:r>
              <w:rPr>
                <w:rFonts w:hint="default" w:ascii="Times New Roman" w:hAnsi="Times New Roman" w:eastAsia="宋体" w:cs="Times New Roman"/>
                <w:color w:val="auto"/>
                <w:sz w:val="24"/>
                <w:highlight w:val="none"/>
              </w:rPr>
              <w:t>、燃料</w:t>
            </w:r>
            <w:r>
              <w:rPr>
                <w:rFonts w:hint="default" w:ascii="Times New Roman" w:hAnsi="Times New Roman" w:eastAsia="宋体" w:cs="Times New Roman"/>
                <w:color w:val="auto"/>
                <w:sz w:val="24"/>
                <w:highlight w:val="none"/>
                <w:lang w:val="en-US" w:eastAsia="zh-CN"/>
              </w:rPr>
              <w:t>间</w:t>
            </w:r>
            <w:r>
              <w:rPr>
                <w:rFonts w:hint="default" w:ascii="Times New Roman" w:hAnsi="Times New Roman" w:eastAsia="宋体" w:cs="Times New Roman"/>
                <w:color w:val="auto"/>
                <w:sz w:val="24"/>
                <w:highlight w:val="none"/>
              </w:rPr>
              <w:t>、灰渣</w:t>
            </w:r>
            <w:r>
              <w:rPr>
                <w:rFonts w:hint="default" w:ascii="Times New Roman" w:hAnsi="Times New Roman" w:eastAsia="宋体" w:cs="Times New Roman"/>
                <w:color w:val="auto"/>
                <w:sz w:val="24"/>
                <w:highlight w:val="none"/>
                <w:lang w:val="en-US" w:eastAsia="zh-CN"/>
              </w:rPr>
              <w:t>间等</w:t>
            </w:r>
            <w:r>
              <w:rPr>
                <w:rFonts w:hint="default" w:ascii="Times New Roman" w:hAnsi="Times New Roman" w:cs="Times New Roman"/>
                <w:color w:val="auto"/>
                <w:sz w:val="24"/>
                <w:highlight w:val="none"/>
                <w:lang w:val="en-US" w:eastAsia="zh-CN"/>
              </w:rPr>
              <w:t>均为独立封闭空间，且地面</w:t>
            </w:r>
            <w:r>
              <w:rPr>
                <w:rFonts w:hint="default" w:ascii="Times New Roman" w:hAnsi="Times New Roman" w:eastAsia="宋体" w:cs="Times New Roman"/>
                <w:color w:val="auto"/>
                <w:sz w:val="24"/>
                <w:highlight w:val="none"/>
              </w:rPr>
              <w:t>全部硬化防渗</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可有效防控雨水冲刷淋溶带来的土壤、地下水污染隐患。项目产生的生物质灰渣、粮食分选杂物</w:t>
            </w:r>
            <w:r>
              <w:rPr>
                <w:rFonts w:hint="eastAsia" w:ascii="Times New Roman" w:hAnsi="Times New Roman" w:eastAsia="宋体" w:cs="Times New Roman"/>
                <w:color w:val="auto"/>
                <w:sz w:val="24"/>
                <w:highlight w:val="none"/>
                <w:lang w:val="en-US" w:eastAsia="zh-CN"/>
              </w:rPr>
              <w:t>集中收集后外售</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实现资源化还田</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固废合规管控。项目选址避开地下水敏感区</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未破坏周边农用地生态</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满足土壤地下水风险防控及农村生态保护要求</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符合《土壤、地下水和农业农村生态环境保护 “十五五” 规划》相关规定。</w:t>
            </w:r>
          </w:p>
          <w:p w14:paraId="21A8011B">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eastAsia" w:ascii="Times New Roman" w:hAnsi="Times New Roman" w:eastAsia="宋体" w:cs="Times New Roman"/>
                <w:b/>
                <w:color w:val="auto"/>
                <w:szCs w:val="24"/>
                <w:highlight w:val="none"/>
                <w:lang w:val="en-US" w:eastAsia="zh-CN"/>
              </w:rPr>
              <w:t>1</w:t>
            </w:r>
            <w:r>
              <w:rPr>
                <w:rFonts w:hint="eastAsia" w:cs="Times New Roman"/>
                <w:b/>
                <w:color w:val="auto"/>
                <w:szCs w:val="24"/>
                <w:highlight w:val="none"/>
                <w:lang w:val="en-US" w:eastAsia="zh-CN"/>
              </w:rPr>
              <w:t>3</w:t>
            </w:r>
            <w:r>
              <w:rPr>
                <w:rFonts w:hint="default" w:ascii="Times New Roman" w:hAnsi="Times New Roman" w:eastAsia="宋体" w:cs="Times New Roman"/>
                <w:b/>
                <w:color w:val="auto"/>
                <w:szCs w:val="24"/>
                <w:highlight w:val="none"/>
              </w:rPr>
              <w:t>、与《固体废物污染防治“十五五”规划》</w:t>
            </w:r>
            <w:r>
              <w:rPr>
                <w:rFonts w:hint="eastAsia" w:ascii="Times New Roman" w:hAnsi="Times New Roman" w:eastAsia="宋体" w:cs="Times New Roman"/>
                <w:b/>
                <w:color w:val="auto"/>
                <w:szCs w:val="24"/>
                <w:highlight w:val="none"/>
                <w:lang w:val="en-US" w:eastAsia="zh-CN"/>
              </w:rPr>
              <w:t>分</w:t>
            </w:r>
            <w:r>
              <w:rPr>
                <w:rFonts w:hint="default" w:ascii="Times New Roman" w:hAnsi="Times New Roman" w:eastAsia="宋体" w:cs="Times New Roman"/>
                <w:b/>
                <w:color w:val="auto"/>
                <w:szCs w:val="24"/>
                <w:highlight w:val="none"/>
              </w:rPr>
              <w:t>析</w:t>
            </w:r>
          </w:p>
          <w:p w14:paraId="71316B2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sz w:val="24"/>
                <w:highlight w:val="none"/>
                <w:lang w:eastAsia="zh-CN"/>
              </w:rPr>
            </w:pPr>
            <w:r>
              <w:rPr>
                <w:rFonts w:hint="default" w:ascii="宋体" w:hAnsi="宋体" w:eastAsia="宋体" w:cs="宋体"/>
                <w:color w:val="auto"/>
                <w:sz w:val="24"/>
                <w:szCs w:val="24"/>
                <w:highlight w:val="none"/>
              </w:rPr>
              <w:t>该规划要求压实固体废物全过程管控</w:t>
            </w:r>
            <w:r>
              <w:rPr>
                <w:rFonts w:hint="eastAsia" w:ascii="宋体" w:hAnsi="宋体" w:cs="宋体"/>
                <w:color w:val="auto"/>
                <w:sz w:val="24"/>
                <w:szCs w:val="24"/>
                <w:highlight w:val="none"/>
                <w:lang w:eastAsia="zh-CN"/>
              </w:rPr>
              <w:t>，</w:t>
            </w:r>
            <w:r>
              <w:rPr>
                <w:rFonts w:hint="default" w:ascii="宋体" w:hAnsi="宋体" w:eastAsia="宋体" w:cs="宋体"/>
                <w:color w:val="auto"/>
                <w:sz w:val="24"/>
                <w:szCs w:val="24"/>
                <w:highlight w:val="none"/>
              </w:rPr>
              <w:t>落实减量化、资源化、无害化原则</w:t>
            </w:r>
            <w:r>
              <w:rPr>
                <w:rFonts w:hint="eastAsia" w:ascii="宋体" w:hAnsi="宋体" w:cs="宋体"/>
                <w:color w:val="auto"/>
                <w:sz w:val="24"/>
                <w:szCs w:val="24"/>
                <w:highlight w:val="none"/>
                <w:lang w:eastAsia="zh-CN"/>
              </w:rPr>
              <w:t>，</w:t>
            </w:r>
            <w:r>
              <w:rPr>
                <w:rFonts w:hint="default" w:ascii="宋体" w:hAnsi="宋体" w:eastAsia="宋体" w:cs="宋体"/>
                <w:color w:val="auto"/>
                <w:sz w:val="24"/>
                <w:szCs w:val="24"/>
                <w:highlight w:val="none"/>
              </w:rPr>
              <w:t>规范一般工业固体废物贮存、堆放</w:t>
            </w:r>
            <w:r>
              <w:rPr>
                <w:rFonts w:hint="eastAsia" w:ascii="宋体" w:hAnsi="宋体" w:cs="宋体"/>
                <w:color w:val="auto"/>
                <w:sz w:val="24"/>
                <w:szCs w:val="24"/>
                <w:highlight w:val="none"/>
                <w:lang w:eastAsia="zh-CN"/>
              </w:rPr>
              <w:t>，</w:t>
            </w:r>
            <w:r>
              <w:rPr>
                <w:rFonts w:hint="default" w:ascii="宋体" w:hAnsi="宋体" w:eastAsia="宋体" w:cs="宋体"/>
                <w:color w:val="auto"/>
                <w:sz w:val="24"/>
                <w:szCs w:val="24"/>
                <w:highlight w:val="none"/>
              </w:rPr>
              <w:t>严禁露天随意堆放、倾倒；大力推进农林类固体废物资源化综合利用</w:t>
            </w:r>
            <w:r>
              <w:rPr>
                <w:rFonts w:hint="eastAsia" w:ascii="宋体" w:hAnsi="宋体" w:cs="宋体"/>
                <w:color w:val="auto"/>
                <w:sz w:val="24"/>
                <w:szCs w:val="24"/>
                <w:highlight w:val="none"/>
                <w:lang w:eastAsia="zh-CN"/>
              </w:rPr>
              <w:t>，</w:t>
            </w:r>
            <w:r>
              <w:rPr>
                <w:rFonts w:hint="default" w:ascii="宋体" w:hAnsi="宋体" w:eastAsia="宋体" w:cs="宋体"/>
                <w:color w:val="auto"/>
                <w:sz w:val="24"/>
                <w:szCs w:val="24"/>
                <w:highlight w:val="none"/>
              </w:rPr>
              <w:t>鼓励生物质灰渣、农业杂物还田利用；完善固废分类收集、台账管理体系</w:t>
            </w:r>
            <w:r>
              <w:rPr>
                <w:rFonts w:hint="eastAsia" w:ascii="宋体" w:hAnsi="宋体" w:cs="宋体"/>
                <w:color w:val="auto"/>
                <w:sz w:val="24"/>
                <w:szCs w:val="24"/>
                <w:highlight w:val="none"/>
                <w:lang w:eastAsia="zh-CN"/>
              </w:rPr>
              <w:t>，</w:t>
            </w:r>
            <w:r>
              <w:rPr>
                <w:rFonts w:hint="default" w:ascii="宋体" w:hAnsi="宋体" w:eastAsia="宋体" w:cs="宋体"/>
                <w:color w:val="auto"/>
                <w:sz w:val="24"/>
                <w:szCs w:val="24"/>
                <w:highlight w:val="none"/>
              </w:rPr>
              <w:t>严控固体废物次生环境污染</w:t>
            </w:r>
            <w:r>
              <w:rPr>
                <w:rFonts w:hint="default" w:ascii="Times New Roman" w:hAnsi="Times New Roman" w:eastAsia="宋体" w:cs="Times New Roman"/>
                <w:bCs/>
                <w:color w:val="auto"/>
                <w:sz w:val="24"/>
                <w:highlight w:val="none"/>
                <w:lang w:eastAsia="zh-CN"/>
              </w:rPr>
              <w:t>。</w:t>
            </w:r>
          </w:p>
          <w:p w14:paraId="32E00A2E">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rPr>
              <w:t>运营产生的热风炉除尘系统收尘、筛分杂质、烘干塔除尘系统收尘、原料堆场收尘、热风炉灰渣装袋后统一收集暂存于灰渣间中</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定期外售综合利用。废布袋集中收集后</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由厂家定期回收。</w:t>
            </w:r>
            <w:r>
              <w:rPr>
                <w:rFonts w:hint="eastAsia" w:cs="Times New Roman"/>
                <w:color w:val="auto"/>
                <w:sz w:val="24"/>
                <w:highlight w:val="none"/>
                <w:lang w:eastAsia="zh-CN"/>
              </w:rPr>
              <w:t>危险废物贮存库维修保养时产生的含油手套和抹布、废润滑油及废润滑油油桶，集中收集定期交由有资质的单位处理</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所有固废均做到分类收纳、去向可追溯</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无露天堆放、乱抛乱弃现象。项目固废管理符合全过程闭环管控要求</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契合农林固废资源化利用导向</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符合《固体废物污染防治 “十五五” 规划》相关要求。</w:t>
            </w:r>
          </w:p>
          <w:p w14:paraId="4773805D">
            <w:pPr>
              <w:pStyle w:val="56"/>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Cs w:val="24"/>
                <w:highlight w:val="none"/>
              </w:rPr>
            </w:pPr>
            <w:r>
              <w:rPr>
                <w:rFonts w:hint="eastAsia" w:ascii="Times New Roman" w:hAnsi="Times New Roman" w:eastAsia="宋体" w:cs="Times New Roman"/>
                <w:b/>
                <w:color w:val="auto"/>
                <w:szCs w:val="24"/>
                <w:highlight w:val="none"/>
                <w:lang w:val="en-US" w:eastAsia="zh-CN"/>
              </w:rPr>
              <w:t>1</w:t>
            </w:r>
            <w:r>
              <w:rPr>
                <w:rFonts w:hint="eastAsia" w:cs="Times New Roman"/>
                <w:b/>
                <w:color w:val="auto"/>
                <w:szCs w:val="24"/>
                <w:highlight w:val="none"/>
                <w:lang w:val="en-US" w:eastAsia="zh-CN"/>
              </w:rPr>
              <w:t>4</w:t>
            </w:r>
            <w:r>
              <w:rPr>
                <w:rFonts w:hint="default" w:ascii="Times New Roman" w:hAnsi="Times New Roman" w:eastAsia="宋体" w:cs="Times New Roman"/>
                <w:b/>
                <w:color w:val="auto"/>
                <w:szCs w:val="24"/>
                <w:highlight w:val="none"/>
              </w:rPr>
              <w:t>、与《“十五五” 碳达峰行动方案》</w:t>
            </w:r>
            <w:r>
              <w:rPr>
                <w:rFonts w:hint="eastAsia" w:ascii="Times New Roman" w:hAnsi="Times New Roman" w:eastAsia="宋体" w:cs="Times New Roman"/>
                <w:b/>
                <w:color w:val="auto"/>
                <w:szCs w:val="24"/>
                <w:highlight w:val="none"/>
                <w:lang w:val="en-US" w:eastAsia="zh-CN"/>
              </w:rPr>
              <w:t>分</w:t>
            </w:r>
            <w:r>
              <w:rPr>
                <w:rFonts w:hint="default" w:ascii="Times New Roman" w:hAnsi="Times New Roman" w:eastAsia="宋体" w:cs="Times New Roman"/>
                <w:b/>
                <w:color w:val="auto"/>
                <w:szCs w:val="24"/>
                <w:highlight w:val="none"/>
              </w:rPr>
              <w:t>析</w:t>
            </w:r>
          </w:p>
          <w:p w14:paraId="71111396">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sz w:val="24"/>
                <w:highlight w:val="none"/>
                <w:lang w:eastAsia="zh-CN"/>
              </w:rPr>
            </w:pPr>
            <w:r>
              <w:rPr>
                <w:rFonts w:hint="eastAsia" w:ascii="宋体" w:hAnsi="宋体" w:eastAsia="宋体" w:cs="宋体"/>
                <w:color w:val="auto"/>
                <w:sz w:val="24"/>
                <w:szCs w:val="24"/>
                <w:highlight w:val="none"/>
              </w:rPr>
              <w:t>该方案严控煤炭消费增量</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持续推进燃煤设施清洁化替代</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鼓励农林生物质等可再生能源规模化应用；引导涉农基础设施节能改造</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提升能源利用效率</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降低碳排放强度；坚持减污与降碳协同</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依托清洁能源替换实现污染物与碳排放同步削减</w:t>
            </w:r>
            <w:r>
              <w:rPr>
                <w:rFonts w:hint="default" w:ascii="Times New Roman" w:hAnsi="Times New Roman" w:eastAsia="宋体" w:cs="Times New Roman"/>
                <w:bCs/>
                <w:color w:val="auto"/>
                <w:sz w:val="24"/>
                <w:highlight w:val="none"/>
                <w:lang w:eastAsia="zh-CN"/>
              </w:rPr>
              <w:t>。</w:t>
            </w:r>
          </w:p>
          <w:p w14:paraId="2E17E8B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本项目不配套燃煤设施</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采用</w:t>
            </w:r>
            <w:r>
              <w:rPr>
                <w:rFonts w:hint="eastAsia" w:cs="Times New Roman"/>
                <w:color w:val="auto"/>
                <w:sz w:val="24"/>
                <w:highlight w:val="none"/>
                <w:lang w:eastAsia="zh-CN"/>
              </w:rPr>
              <w:t>900万kcal/h</w:t>
            </w:r>
            <w:r>
              <w:rPr>
                <w:rFonts w:hint="default" w:ascii="Times New Roman" w:hAnsi="Times New Roman" w:eastAsia="宋体" w:cs="Times New Roman"/>
                <w:color w:val="auto"/>
                <w:sz w:val="24"/>
                <w:highlight w:val="none"/>
              </w:rPr>
              <w:t>生物质热风炉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使用生物质燃料替代化石能源</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不新增煤炭消耗量。烘干设备配套保温、余热利用节能设施</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降低烘干工序能源消耗</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减少碳排放。项目依托可再生能源实现温室气体减排</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同步削减大气污染物</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做到降碳减污协同增效</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符合《“十五五” 碳达峰行动方案》相关管控要求。</w:t>
            </w:r>
          </w:p>
          <w:p w14:paraId="25033EE5">
            <w:pPr>
              <w:pStyle w:val="3"/>
              <w:keepLines w:val="0"/>
              <w:suppressLineNumbers w:val="0"/>
              <w:spacing w:before="0" w:beforeAutospacing="0" w:after="0" w:afterAutospacing="0"/>
              <w:ind w:left="0" w:right="0"/>
              <w:rPr>
                <w:rFonts w:hint="default"/>
                <w:color w:val="auto"/>
                <w:highlight w:val="none"/>
              </w:rPr>
            </w:pPr>
          </w:p>
        </w:tc>
      </w:tr>
    </w:tbl>
    <w:p w14:paraId="10B6FDEE">
      <w:pPr>
        <w:spacing w:line="360" w:lineRule="auto"/>
        <w:outlineLvl w:val="9"/>
        <w:rPr>
          <w:rFonts w:hint="default" w:ascii="Times New Roman" w:hAnsi="Times New Roman" w:eastAsia="宋体" w:cs="Times New Roman"/>
          <w:color w:val="auto"/>
          <w:sz w:val="3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852A083">
      <w:pPr>
        <w:pStyle w:val="28"/>
        <w:jc w:val="center"/>
        <w:outlineLvl w:val="0"/>
        <w:rPr>
          <w:rFonts w:hint="default" w:ascii="Times New Roman" w:hAnsi="Times New Roman" w:eastAsia="宋体" w:cs="Times New Roman"/>
          <w:snapToGrid w:val="0"/>
          <w:color w:val="auto"/>
          <w:sz w:val="30"/>
          <w:szCs w:val="30"/>
          <w:highlight w:val="none"/>
        </w:rPr>
      </w:pPr>
      <w:bookmarkStart w:id="5" w:name="_Toc11698"/>
      <w:bookmarkStart w:id="6" w:name="_Toc648"/>
      <w:r>
        <w:rPr>
          <w:rFonts w:hint="default" w:ascii="Times New Roman" w:hAnsi="Times New Roman" w:eastAsia="宋体" w:cs="Times New Roman"/>
          <w:snapToGrid w:val="0"/>
          <w:color w:val="auto"/>
          <w:sz w:val="30"/>
          <w:szCs w:val="30"/>
          <w:highlight w:val="none"/>
        </w:rPr>
        <w:t>二、建设项目工程分析</w:t>
      </w:r>
      <w:bookmarkEnd w:id="5"/>
      <w:bookmarkEnd w:id="6"/>
    </w:p>
    <w:tbl>
      <w:tblPr>
        <w:tblStyle w:val="33"/>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94"/>
        <w:gridCol w:w="7990"/>
      </w:tblGrid>
      <w:tr w14:paraId="2B8A7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4" w:type="dxa"/>
            <w:vAlign w:val="center"/>
          </w:tcPr>
          <w:p w14:paraId="6E7EDBD0">
            <w:pPr>
              <w:pStyle w:val="28"/>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4"/>
                <w:highlight w:val="none"/>
              </w:rPr>
              <w:t>建设内容</w:t>
            </w:r>
          </w:p>
        </w:tc>
        <w:tc>
          <w:tcPr>
            <w:tcW w:w="7990" w:type="dxa"/>
            <w:vAlign w:val="top"/>
          </w:tcPr>
          <w:p w14:paraId="75EA5C07">
            <w:pPr>
              <w:keepNext w:val="0"/>
              <w:keepLines w:val="0"/>
              <w:suppressLineNumbers w:val="0"/>
              <w:tabs>
                <w:tab w:val="left" w:pos="6480"/>
              </w:tabs>
              <w:spacing w:before="0" w:beforeAutospacing="0" w:after="0" w:afterAutospacing="0" w:line="360" w:lineRule="auto"/>
              <w:ind w:left="0" w:right="0" w:firstLine="482" w:firstLineChars="200"/>
              <w:rPr>
                <w:rFonts w:hint="default" w:ascii="Times New Roman" w:hAnsi="Times New Roman" w:eastAsia="宋体" w:cs="Times New Roman"/>
                <w:color w:val="auto"/>
                <w:sz w:val="24"/>
                <w:highlight w:val="none"/>
                <w:lang w:val="en-US" w:eastAsia="zh-CN"/>
              </w:rPr>
            </w:pPr>
            <w:r>
              <w:rPr>
                <w:rFonts w:hint="eastAsia" w:cs="Times New Roman"/>
                <w:b/>
                <w:bCs/>
                <w:color w:val="auto"/>
                <w:sz w:val="24"/>
                <w:highlight w:val="none"/>
                <w:lang w:eastAsia="zh-CN"/>
              </w:rPr>
              <w:t>一</w:t>
            </w:r>
            <w:r>
              <w:rPr>
                <w:rFonts w:hint="default" w:ascii="Times New Roman" w:hAnsi="Times New Roman" w:eastAsia="宋体" w:cs="Times New Roman"/>
                <w:b/>
                <w:bCs/>
                <w:color w:val="auto"/>
                <w:sz w:val="24"/>
                <w:highlight w:val="none"/>
              </w:rPr>
              <w:t>、工程内容</w:t>
            </w:r>
          </w:p>
          <w:p w14:paraId="68AAC25B">
            <w:pPr>
              <w:keepNext w:val="0"/>
              <w:keepLines w:val="0"/>
              <w:suppressLineNumbers w:val="0"/>
              <w:tabs>
                <w:tab w:val="left" w:pos="6480"/>
              </w:tabs>
              <w:spacing w:before="0" w:beforeAutospacing="0" w:after="0" w:afterAutospacing="0" w:line="360" w:lineRule="auto"/>
              <w:ind w:left="0" w:right="0" w:firstLine="480" w:firstLineChars="200"/>
              <w:rPr>
                <w:rFonts w:hint="default" w:ascii="Times New Roman" w:hAnsi="Times New Roman" w:eastAsia="宋体" w:cs="Times New Roman"/>
                <w:iCs w:val="0"/>
                <w:color w:val="auto"/>
                <w:kern w:val="2"/>
                <w:sz w:val="24"/>
                <w:szCs w:val="24"/>
                <w:highlight w:val="none"/>
                <w:lang w:val="en-US" w:eastAsia="zh-CN" w:bidi="ar-SA"/>
              </w:rPr>
            </w:pPr>
            <w:r>
              <w:rPr>
                <w:rFonts w:hint="default" w:ascii="Times New Roman" w:hAnsi="Times New Roman" w:eastAsia="宋体" w:cs="Times New Roman"/>
                <w:iCs w:val="0"/>
                <w:color w:val="auto"/>
                <w:kern w:val="2"/>
                <w:sz w:val="24"/>
                <w:szCs w:val="24"/>
                <w:highlight w:val="none"/>
                <w:lang w:val="en-US" w:eastAsia="zh-CN" w:bidi="ar-SA"/>
              </w:rPr>
              <w:t>本项目为新建项目，建设地点位于</w:t>
            </w:r>
            <w:r>
              <w:rPr>
                <w:rFonts w:hint="eastAsia" w:cs="Times New Roman"/>
                <w:iCs w:val="0"/>
                <w:color w:val="auto"/>
                <w:kern w:val="2"/>
                <w:sz w:val="24"/>
                <w:szCs w:val="24"/>
                <w:highlight w:val="none"/>
                <w:lang w:val="en-US" w:eastAsia="zh-CN" w:bidi="ar-SA"/>
              </w:rPr>
              <w:t>黑龙江省鸡西市虎林市850农场东部园区静泽街1-3号</w:t>
            </w:r>
            <w:r>
              <w:rPr>
                <w:rFonts w:hint="default" w:ascii="Times New Roman" w:hAnsi="Times New Roman" w:eastAsia="宋体" w:cs="Times New Roman"/>
                <w:iCs w:val="0"/>
                <w:color w:val="auto"/>
                <w:kern w:val="2"/>
                <w:sz w:val="24"/>
                <w:szCs w:val="24"/>
                <w:highlight w:val="none"/>
                <w:lang w:val="en-US" w:eastAsia="zh-CN" w:bidi="ar-SA"/>
              </w:rPr>
              <w:t>。此前为</w:t>
            </w:r>
            <w:r>
              <w:rPr>
                <w:rFonts w:hint="eastAsia" w:ascii="Times New Roman" w:hAnsi="Times New Roman" w:cs="Times New Roman"/>
                <w:color w:val="auto"/>
                <w:sz w:val="24"/>
                <w:highlight w:val="none"/>
                <w:lang w:val="en-US" w:eastAsia="zh-CN"/>
              </w:rPr>
              <w:t>黑龙江省天顺米业有限公司</w:t>
            </w:r>
            <w:r>
              <w:rPr>
                <w:rFonts w:hint="default" w:ascii="Times New Roman" w:hAnsi="Times New Roman" w:eastAsia="宋体" w:cs="Times New Roman"/>
                <w:iCs w:val="0"/>
                <w:color w:val="auto"/>
                <w:kern w:val="2"/>
                <w:sz w:val="24"/>
                <w:szCs w:val="24"/>
                <w:highlight w:val="none"/>
                <w:lang w:val="en-US" w:eastAsia="zh-CN" w:bidi="ar-SA"/>
              </w:rPr>
              <w:t>，</w:t>
            </w:r>
            <w:r>
              <w:rPr>
                <w:rFonts w:hint="eastAsia" w:cs="Times New Roman"/>
                <w:iCs w:val="0"/>
                <w:color w:val="auto"/>
                <w:kern w:val="2"/>
                <w:sz w:val="24"/>
                <w:szCs w:val="24"/>
                <w:highlight w:val="none"/>
                <w:lang w:val="en-US" w:eastAsia="zh-CN" w:bidi="ar-SA"/>
              </w:rPr>
              <w:t>厂区内</w:t>
            </w:r>
            <w:r>
              <w:rPr>
                <w:rFonts w:hint="default" w:ascii="Times New Roman" w:hAnsi="Times New Roman" w:eastAsia="宋体" w:cs="Times New Roman"/>
                <w:iCs w:val="0"/>
                <w:color w:val="auto"/>
                <w:kern w:val="2"/>
                <w:sz w:val="24"/>
                <w:szCs w:val="24"/>
                <w:highlight w:val="none"/>
                <w:lang w:val="en-US" w:eastAsia="zh-CN" w:bidi="ar-SA"/>
              </w:rPr>
              <w:t>建设一条</w:t>
            </w:r>
            <w:r>
              <w:rPr>
                <w:rFonts w:hint="eastAsia" w:cs="Times New Roman"/>
                <w:iCs w:val="0"/>
                <w:color w:val="auto"/>
                <w:kern w:val="2"/>
                <w:sz w:val="24"/>
                <w:szCs w:val="24"/>
                <w:highlight w:val="none"/>
                <w:lang w:val="en-US" w:eastAsia="zh-CN" w:bidi="ar-SA"/>
              </w:rPr>
              <w:t>粮食烘干</w:t>
            </w:r>
            <w:r>
              <w:rPr>
                <w:rFonts w:hint="default" w:ascii="Times New Roman" w:hAnsi="Times New Roman" w:eastAsia="宋体" w:cs="Times New Roman"/>
                <w:iCs w:val="0"/>
                <w:color w:val="auto"/>
                <w:kern w:val="2"/>
                <w:sz w:val="24"/>
                <w:szCs w:val="24"/>
                <w:highlight w:val="none"/>
                <w:lang w:val="en-US" w:eastAsia="zh-CN" w:bidi="ar-SA"/>
              </w:rPr>
              <w:t>生产线及配套设施，包含</w:t>
            </w:r>
            <w:r>
              <w:rPr>
                <w:rFonts w:hint="eastAsia" w:cs="Times New Roman"/>
                <w:iCs w:val="0"/>
                <w:color w:val="auto"/>
                <w:kern w:val="2"/>
                <w:sz w:val="24"/>
                <w:szCs w:val="24"/>
                <w:highlight w:val="none"/>
                <w:lang w:val="en-US" w:eastAsia="zh-CN" w:bidi="ar-SA"/>
              </w:rPr>
              <w:t>主要</w:t>
            </w:r>
            <w:r>
              <w:rPr>
                <w:rFonts w:hint="default" w:ascii="Times New Roman" w:hAnsi="Times New Roman" w:eastAsia="宋体" w:cs="Times New Roman"/>
                <w:iCs w:val="0"/>
                <w:color w:val="auto"/>
                <w:kern w:val="2"/>
                <w:sz w:val="24"/>
                <w:szCs w:val="24"/>
                <w:highlight w:val="none"/>
                <w:lang w:val="en-US" w:eastAsia="zh-CN" w:bidi="ar-SA"/>
              </w:rPr>
              <w:t>生产设备有：</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座烘干</w:t>
            </w:r>
            <w:r>
              <w:rPr>
                <w:rFonts w:hint="eastAsia" w:ascii="Times New Roman" w:hAnsi="Times New Roman" w:eastAsia="宋体" w:cs="Times New Roman"/>
                <w:iCs w:val="0"/>
                <w:color w:val="auto"/>
                <w:kern w:val="2"/>
                <w:sz w:val="24"/>
                <w:szCs w:val="24"/>
                <w:highlight w:val="none"/>
                <w:lang w:val="en-US" w:eastAsia="zh-CN" w:bidi="ar-SA"/>
              </w:rPr>
              <w:t>塔，烘干</w:t>
            </w:r>
            <w:r>
              <w:rPr>
                <w:rFonts w:hint="default" w:ascii="Times New Roman" w:hAnsi="Times New Roman" w:eastAsia="宋体" w:cs="Times New Roman"/>
                <w:iCs w:val="0"/>
                <w:color w:val="auto"/>
                <w:kern w:val="2"/>
                <w:sz w:val="24"/>
                <w:szCs w:val="24"/>
                <w:highlight w:val="none"/>
                <w:lang w:val="en-US" w:eastAsia="zh-CN" w:bidi="ar-SA"/>
              </w:rPr>
              <w:t>能力</w:t>
            </w:r>
            <w:r>
              <w:rPr>
                <w:rFonts w:hint="eastAsia" w:ascii="Times New Roman" w:hAnsi="Times New Roman" w:eastAsia="宋体" w:cs="Times New Roman"/>
                <w:iCs w:val="0"/>
                <w:color w:val="auto"/>
                <w:kern w:val="2"/>
                <w:sz w:val="24"/>
                <w:szCs w:val="24"/>
                <w:highlight w:val="none"/>
                <w:lang w:val="en-US" w:eastAsia="zh-CN" w:bidi="ar-SA"/>
              </w:rPr>
              <w:t>分别</w:t>
            </w:r>
            <w:r>
              <w:rPr>
                <w:rFonts w:hint="default" w:ascii="Times New Roman" w:hAnsi="Times New Roman" w:eastAsia="宋体" w:cs="Times New Roman"/>
                <w:iCs w:val="0"/>
                <w:color w:val="auto"/>
                <w:kern w:val="2"/>
                <w:sz w:val="24"/>
                <w:szCs w:val="24"/>
                <w:highlight w:val="none"/>
                <w:lang w:val="en-US" w:eastAsia="zh-CN" w:bidi="ar-SA"/>
              </w:rPr>
              <w:t>为</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00t/d</w:t>
            </w:r>
            <w:r>
              <w:rPr>
                <w:rFonts w:hint="eastAsia" w:ascii="Times New Roman" w:hAnsi="Times New Roman" w:eastAsia="宋体" w:cs="Times New Roman"/>
                <w:iCs w:val="0"/>
                <w:color w:val="auto"/>
                <w:kern w:val="2"/>
                <w:sz w:val="24"/>
                <w:szCs w:val="24"/>
                <w:highlight w:val="none"/>
                <w:lang w:val="en-US" w:eastAsia="zh-CN" w:bidi="ar-SA"/>
              </w:rPr>
              <w:t>、30</w:t>
            </w:r>
            <w:r>
              <w:rPr>
                <w:rFonts w:hint="default" w:ascii="Times New Roman" w:hAnsi="Times New Roman" w:eastAsia="宋体" w:cs="Times New Roman"/>
                <w:iCs w:val="0"/>
                <w:color w:val="auto"/>
                <w:kern w:val="2"/>
                <w:sz w:val="24"/>
                <w:szCs w:val="24"/>
                <w:highlight w:val="none"/>
                <w:lang w:val="en-US" w:eastAsia="zh-CN" w:bidi="ar-SA"/>
              </w:rPr>
              <w:t>0t/d，1台</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t/h的</w:t>
            </w:r>
            <w:r>
              <w:rPr>
                <w:rFonts w:hint="eastAsia" w:cs="Times New Roman"/>
                <w:iCs w:val="0"/>
                <w:color w:val="auto"/>
                <w:kern w:val="2"/>
                <w:sz w:val="24"/>
                <w:szCs w:val="24"/>
                <w:highlight w:val="none"/>
                <w:lang w:val="en-US" w:eastAsia="zh-CN" w:bidi="ar-SA"/>
              </w:rPr>
              <w:t>燃生物质</w:t>
            </w:r>
            <w:r>
              <w:rPr>
                <w:rFonts w:hint="default" w:ascii="Times New Roman" w:hAnsi="Times New Roman" w:eastAsia="宋体" w:cs="Times New Roman"/>
                <w:iCs w:val="0"/>
                <w:color w:val="auto"/>
                <w:kern w:val="2"/>
                <w:sz w:val="24"/>
                <w:szCs w:val="24"/>
                <w:highlight w:val="none"/>
                <w:lang w:val="en-US" w:eastAsia="zh-CN" w:bidi="ar-SA"/>
              </w:rPr>
              <w:t>热风炉</w:t>
            </w:r>
            <w:r>
              <w:rPr>
                <w:rFonts w:hint="eastAsia" w:cs="Times New Roman"/>
                <w:iCs w:val="0"/>
                <w:color w:val="auto"/>
                <w:kern w:val="2"/>
                <w:sz w:val="24"/>
                <w:szCs w:val="24"/>
                <w:highlight w:val="none"/>
                <w:lang w:val="en-US" w:eastAsia="zh-CN" w:bidi="ar-SA"/>
              </w:rPr>
              <w:t>，</w:t>
            </w:r>
            <w:r>
              <w:rPr>
                <w:rFonts w:hint="default" w:ascii="Times New Roman" w:hAnsi="Times New Roman" w:eastAsia="宋体" w:cs="Times New Roman"/>
                <w:iCs w:val="0"/>
                <w:color w:val="auto"/>
                <w:kern w:val="2"/>
                <w:sz w:val="24"/>
                <w:szCs w:val="24"/>
                <w:highlight w:val="none"/>
                <w:lang w:val="en-US" w:eastAsia="zh-CN" w:bidi="ar-SA"/>
              </w:rPr>
              <w:t>1台</w:t>
            </w:r>
            <w:r>
              <w:rPr>
                <w:rFonts w:hint="eastAsia" w:ascii="Times New Roman" w:hAnsi="Times New Roman" w:eastAsia="宋体" w:cs="Times New Roman"/>
                <w:iCs w:val="0"/>
                <w:color w:val="auto"/>
                <w:kern w:val="2"/>
                <w:sz w:val="24"/>
                <w:szCs w:val="24"/>
                <w:highlight w:val="none"/>
                <w:lang w:val="en-US" w:eastAsia="zh-CN" w:bidi="ar-SA"/>
              </w:rPr>
              <w:t>3</w:t>
            </w:r>
            <w:r>
              <w:rPr>
                <w:rFonts w:hint="default" w:ascii="Times New Roman" w:hAnsi="Times New Roman" w:eastAsia="宋体" w:cs="Times New Roman"/>
                <w:iCs w:val="0"/>
                <w:color w:val="auto"/>
                <w:kern w:val="2"/>
                <w:sz w:val="24"/>
                <w:szCs w:val="24"/>
                <w:highlight w:val="none"/>
                <w:lang w:val="en-US" w:eastAsia="zh-CN" w:bidi="ar-SA"/>
              </w:rPr>
              <w:t>t/h的</w:t>
            </w:r>
            <w:r>
              <w:rPr>
                <w:rFonts w:hint="eastAsia" w:cs="Times New Roman"/>
                <w:iCs w:val="0"/>
                <w:color w:val="auto"/>
                <w:kern w:val="2"/>
                <w:sz w:val="24"/>
                <w:szCs w:val="24"/>
                <w:highlight w:val="none"/>
                <w:lang w:val="en-US" w:eastAsia="zh-CN" w:bidi="ar-SA"/>
              </w:rPr>
              <w:t>燃生物质</w:t>
            </w:r>
            <w:r>
              <w:rPr>
                <w:rFonts w:hint="default" w:ascii="Times New Roman" w:hAnsi="Times New Roman" w:eastAsia="宋体" w:cs="Times New Roman"/>
                <w:iCs w:val="0"/>
                <w:color w:val="auto"/>
                <w:kern w:val="2"/>
                <w:sz w:val="24"/>
                <w:szCs w:val="24"/>
                <w:highlight w:val="none"/>
                <w:lang w:val="en-US" w:eastAsia="zh-CN" w:bidi="ar-SA"/>
              </w:rPr>
              <w:t>热风炉</w:t>
            </w:r>
            <w:r>
              <w:rPr>
                <w:rFonts w:hint="eastAsia" w:cs="Times New Roman"/>
                <w:iCs w:val="0"/>
                <w:color w:val="auto"/>
                <w:kern w:val="2"/>
                <w:sz w:val="24"/>
                <w:szCs w:val="24"/>
                <w:highlight w:val="none"/>
                <w:lang w:val="en-US" w:eastAsia="zh-CN" w:bidi="ar-SA"/>
              </w:rPr>
              <w:t>，6台风机，1个地秤等，</w:t>
            </w:r>
            <w:r>
              <w:rPr>
                <w:rFonts w:hint="default" w:ascii="Times New Roman" w:hAnsi="Times New Roman" w:eastAsia="宋体" w:cs="Times New Roman"/>
                <w:iCs w:val="0"/>
                <w:color w:val="auto"/>
                <w:kern w:val="2"/>
                <w:sz w:val="24"/>
                <w:szCs w:val="24"/>
                <w:highlight w:val="none"/>
                <w:lang w:val="en-US" w:eastAsia="zh-CN" w:bidi="ar-SA"/>
              </w:rPr>
              <w:t>后由于</w:t>
            </w:r>
            <w:r>
              <w:rPr>
                <w:rFonts w:hint="eastAsia" w:cs="Times New Roman"/>
                <w:iCs w:val="0"/>
                <w:color w:val="auto"/>
                <w:kern w:val="2"/>
                <w:sz w:val="24"/>
                <w:szCs w:val="24"/>
                <w:highlight w:val="none"/>
                <w:lang w:val="en-US" w:eastAsia="zh-CN" w:bidi="ar-SA"/>
              </w:rPr>
              <w:t>企业实际经营问题</w:t>
            </w:r>
            <w:r>
              <w:rPr>
                <w:rFonts w:hint="default" w:ascii="Times New Roman" w:hAnsi="Times New Roman" w:eastAsia="宋体" w:cs="Times New Roman"/>
                <w:iCs w:val="0"/>
                <w:color w:val="auto"/>
                <w:kern w:val="2"/>
                <w:sz w:val="24"/>
                <w:szCs w:val="24"/>
                <w:highlight w:val="none"/>
                <w:lang w:val="en-US" w:eastAsia="zh-CN" w:bidi="ar-SA"/>
              </w:rPr>
              <w:t>，设备生产线</w:t>
            </w:r>
            <w:r>
              <w:rPr>
                <w:rFonts w:hint="eastAsia" w:cs="Times New Roman"/>
                <w:iCs w:val="0"/>
                <w:color w:val="auto"/>
                <w:kern w:val="2"/>
                <w:sz w:val="24"/>
                <w:szCs w:val="24"/>
                <w:highlight w:val="none"/>
                <w:lang w:val="en-US" w:eastAsia="zh-CN" w:bidi="ar-SA"/>
              </w:rPr>
              <w:t>均</w:t>
            </w:r>
            <w:r>
              <w:rPr>
                <w:rFonts w:hint="default" w:ascii="Times New Roman" w:hAnsi="Times New Roman" w:eastAsia="宋体" w:cs="Times New Roman"/>
                <w:iCs w:val="0"/>
                <w:color w:val="auto"/>
                <w:kern w:val="2"/>
                <w:sz w:val="24"/>
                <w:szCs w:val="24"/>
                <w:highlight w:val="none"/>
                <w:lang w:val="en-US" w:eastAsia="zh-CN" w:bidi="ar-SA"/>
              </w:rPr>
              <w:t>闲置，企业现已停止运营。202</w:t>
            </w:r>
            <w:r>
              <w:rPr>
                <w:rFonts w:hint="eastAsia" w:cs="Times New Roman"/>
                <w:iCs w:val="0"/>
                <w:color w:val="auto"/>
                <w:kern w:val="2"/>
                <w:sz w:val="24"/>
                <w:szCs w:val="24"/>
                <w:highlight w:val="none"/>
                <w:lang w:val="en-US" w:eastAsia="zh-CN" w:bidi="ar-SA"/>
              </w:rPr>
              <w:t>6</w:t>
            </w:r>
            <w:r>
              <w:rPr>
                <w:rFonts w:hint="default" w:ascii="Times New Roman" w:hAnsi="Times New Roman" w:eastAsia="宋体" w:cs="Times New Roman"/>
                <w:iCs w:val="0"/>
                <w:color w:val="auto"/>
                <w:kern w:val="2"/>
                <w:sz w:val="24"/>
                <w:szCs w:val="24"/>
                <w:highlight w:val="none"/>
                <w:lang w:val="en-US" w:eastAsia="zh-CN" w:bidi="ar-SA"/>
              </w:rPr>
              <w:t>年</w:t>
            </w:r>
            <w:r>
              <w:rPr>
                <w:rFonts w:hint="eastAsia" w:cs="Times New Roman"/>
                <w:iCs w:val="0"/>
                <w:color w:val="auto"/>
                <w:kern w:val="2"/>
                <w:sz w:val="24"/>
                <w:szCs w:val="24"/>
                <w:highlight w:val="none"/>
                <w:lang w:val="en-US" w:eastAsia="zh-CN" w:bidi="ar-SA"/>
              </w:rPr>
              <w:t>7</w:t>
            </w:r>
            <w:r>
              <w:rPr>
                <w:rFonts w:hint="default" w:ascii="Times New Roman" w:hAnsi="Times New Roman" w:eastAsia="宋体" w:cs="Times New Roman"/>
                <w:iCs w:val="0"/>
                <w:color w:val="auto"/>
                <w:kern w:val="2"/>
                <w:sz w:val="24"/>
                <w:szCs w:val="24"/>
                <w:highlight w:val="none"/>
                <w:lang w:val="en-US" w:eastAsia="zh-CN" w:bidi="ar-SA"/>
              </w:rPr>
              <w:t>月</w:t>
            </w:r>
            <w:r>
              <w:rPr>
                <w:rFonts w:hint="default" w:ascii="Times New Roman" w:hAnsi="Times New Roman" w:cs="Times New Roman"/>
                <w:color w:val="auto"/>
                <w:sz w:val="24"/>
                <w:highlight w:val="none"/>
                <w:lang w:val="en-US" w:eastAsia="zh-CN"/>
              </w:rPr>
              <w:t>黑龙江省锦畴粮食贸易有限公司</w:t>
            </w:r>
            <w:r>
              <w:rPr>
                <w:rFonts w:hint="eastAsia" w:cs="Times New Roman"/>
                <w:iCs w:val="0"/>
                <w:color w:val="auto"/>
                <w:kern w:val="2"/>
                <w:sz w:val="24"/>
                <w:szCs w:val="24"/>
                <w:highlight w:val="none"/>
                <w:lang w:val="en-US" w:eastAsia="zh-CN" w:bidi="ar-SA"/>
              </w:rPr>
              <w:t>租赁</w:t>
            </w:r>
            <w:r>
              <w:rPr>
                <w:rFonts w:hint="eastAsia" w:ascii="Times New Roman" w:hAnsi="Times New Roman" w:cs="Times New Roman"/>
                <w:color w:val="auto"/>
                <w:sz w:val="24"/>
                <w:highlight w:val="none"/>
                <w:lang w:val="en-US" w:eastAsia="zh-CN"/>
              </w:rPr>
              <w:t>黑龙江省天顺米业有限公司</w:t>
            </w:r>
            <w:r>
              <w:rPr>
                <w:rFonts w:hint="default" w:ascii="Times New Roman" w:hAnsi="Times New Roman" w:eastAsia="宋体" w:cs="Times New Roman"/>
                <w:iCs w:val="0"/>
                <w:color w:val="auto"/>
                <w:kern w:val="2"/>
                <w:sz w:val="24"/>
                <w:szCs w:val="24"/>
                <w:highlight w:val="none"/>
                <w:lang w:val="en-US" w:eastAsia="zh-CN" w:bidi="ar-SA"/>
              </w:rPr>
              <w:t>场地</w:t>
            </w:r>
            <w:r>
              <w:rPr>
                <w:rFonts w:hint="eastAsia" w:cs="Times New Roman"/>
                <w:iCs w:val="0"/>
                <w:color w:val="auto"/>
                <w:kern w:val="2"/>
                <w:sz w:val="24"/>
                <w:szCs w:val="24"/>
                <w:highlight w:val="none"/>
                <w:lang w:val="en-US" w:eastAsia="zh-CN" w:bidi="ar-SA"/>
              </w:rPr>
              <w:t>及配套设施（包括生产设备）</w:t>
            </w:r>
            <w:r>
              <w:rPr>
                <w:rFonts w:hint="default" w:ascii="Times New Roman" w:hAnsi="Times New Roman" w:eastAsia="宋体" w:cs="Times New Roman"/>
                <w:iCs w:val="0"/>
                <w:color w:val="auto"/>
                <w:kern w:val="2"/>
                <w:sz w:val="24"/>
                <w:szCs w:val="24"/>
                <w:highlight w:val="none"/>
                <w:lang w:val="en-US" w:eastAsia="zh-CN" w:bidi="ar-SA"/>
              </w:rPr>
              <w:t>。</w:t>
            </w:r>
          </w:p>
          <w:p w14:paraId="73178BD1">
            <w:pPr>
              <w:keepNext w:val="0"/>
              <w:keepLines w:val="0"/>
              <w:suppressLineNumbers w:val="0"/>
              <w:tabs>
                <w:tab w:val="left" w:pos="648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w:t>
            </w:r>
            <w:r>
              <w:rPr>
                <w:rFonts w:hint="eastAsia" w:cs="Times New Roman"/>
                <w:color w:val="auto"/>
                <w:sz w:val="24"/>
                <w:highlight w:val="none"/>
                <w:lang w:val="en-US" w:eastAsia="zh-CN"/>
              </w:rPr>
              <w:t>拆除原有</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座烘干</w:t>
            </w:r>
            <w:r>
              <w:rPr>
                <w:rFonts w:hint="eastAsia" w:ascii="Times New Roman" w:hAnsi="Times New Roman" w:eastAsia="宋体" w:cs="Times New Roman"/>
                <w:iCs w:val="0"/>
                <w:color w:val="auto"/>
                <w:kern w:val="2"/>
                <w:sz w:val="24"/>
                <w:szCs w:val="24"/>
                <w:highlight w:val="none"/>
                <w:lang w:val="en-US" w:eastAsia="zh-CN" w:bidi="ar-SA"/>
              </w:rPr>
              <w:t>塔</w:t>
            </w:r>
            <w:r>
              <w:rPr>
                <w:rFonts w:hint="eastAsia" w:cs="Times New Roman"/>
                <w:iCs w:val="0"/>
                <w:color w:val="auto"/>
                <w:kern w:val="2"/>
                <w:sz w:val="24"/>
                <w:szCs w:val="24"/>
                <w:highlight w:val="none"/>
                <w:lang w:val="en-US" w:eastAsia="zh-CN" w:bidi="ar-SA"/>
              </w:rPr>
              <w:t>（</w:t>
            </w:r>
            <w:r>
              <w:rPr>
                <w:rFonts w:hint="eastAsia" w:ascii="Times New Roman" w:hAnsi="Times New Roman" w:eastAsia="宋体" w:cs="Times New Roman"/>
                <w:iCs w:val="0"/>
                <w:color w:val="auto"/>
                <w:kern w:val="2"/>
                <w:sz w:val="24"/>
                <w:szCs w:val="24"/>
                <w:highlight w:val="none"/>
                <w:lang w:val="en-US" w:eastAsia="zh-CN" w:bidi="ar-SA"/>
              </w:rPr>
              <w:t>烘干</w:t>
            </w:r>
            <w:r>
              <w:rPr>
                <w:rFonts w:hint="default" w:ascii="Times New Roman" w:hAnsi="Times New Roman" w:eastAsia="宋体" w:cs="Times New Roman"/>
                <w:iCs w:val="0"/>
                <w:color w:val="auto"/>
                <w:kern w:val="2"/>
                <w:sz w:val="24"/>
                <w:szCs w:val="24"/>
                <w:highlight w:val="none"/>
                <w:lang w:val="en-US" w:eastAsia="zh-CN" w:bidi="ar-SA"/>
              </w:rPr>
              <w:t>能力</w:t>
            </w:r>
            <w:r>
              <w:rPr>
                <w:rFonts w:hint="eastAsia" w:ascii="Times New Roman" w:hAnsi="Times New Roman" w:eastAsia="宋体" w:cs="Times New Roman"/>
                <w:iCs w:val="0"/>
                <w:color w:val="auto"/>
                <w:kern w:val="2"/>
                <w:sz w:val="24"/>
                <w:szCs w:val="24"/>
                <w:highlight w:val="none"/>
                <w:lang w:val="en-US" w:eastAsia="zh-CN" w:bidi="ar-SA"/>
              </w:rPr>
              <w:t>分别</w:t>
            </w:r>
            <w:r>
              <w:rPr>
                <w:rFonts w:hint="default" w:ascii="Times New Roman" w:hAnsi="Times New Roman" w:eastAsia="宋体" w:cs="Times New Roman"/>
                <w:iCs w:val="0"/>
                <w:color w:val="auto"/>
                <w:kern w:val="2"/>
                <w:sz w:val="24"/>
                <w:szCs w:val="24"/>
                <w:highlight w:val="none"/>
                <w:lang w:val="en-US" w:eastAsia="zh-CN" w:bidi="ar-SA"/>
              </w:rPr>
              <w:t>为</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00t/d</w:t>
            </w:r>
            <w:r>
              <w:rPr>
                <w:rFonts w:hint="eastAsia" w:ascii="Times New Roman" w:hAnsi="Times New Roman" w:eastAsia="宋体" w:cs="Times New Roman"/>
                <w:iCs w:val="0"/>
                <w:color w:val="auto"/>
                <w:kern w:val="2"/>
                <w:sz w:val="24"/>
                <w:szCs w:val="24"/>
                <w:highlight w:val="none"/>
                <w:lang w:val="en-US" w:eastAsia="zh-CN" w:bidi="ar-SA"/>
              </w:rPr>
              <w:t>、30</w:t>
            </w:r>
            <w:r>
              <w:rPr>
                <w:rFonts w:hint="default" w:ascii="Times New Roman" w:hAnsi="Times New Roman" w:eastAsia="宋体" w:cs="Times New Roman"/>
                <w:iCs w:val="0"/>
                <w:color w:val="auto"/>
                <w:kern w:val="2"/>
                <w:sz w:val="24"/>
                <w:szCs w:val="24"/>
                <w:highlight w:val="none"/>
                <w:lang w:val="en-US" w:eastAsia="zh-CN" w:bidi="ar-SA"/>
              </w:rPr>
              <w:t>0t/d</w:t>
            </w:r>
            <w:r>
              <w:rPr>
                <w:rFonts w:hint="eastAsia" w:cs="Times New Roman"/>
                <w:iCs w:val="0"/>
                <w:color w:val="auto"/>
                <w:kern w:val="2"/>
                <w:sz w:val="24"/>
                <w:szCs w:val="24"/>
                <w:highlight w:val="none"/>
                <w:lang w:val="en-US" w:eastAsia="zh-CN" w:bidi="ar-SA"/>
              </w:rPr>
              <w:t>）+</w:t>
            </w:r>
            <w:r>
              <w:rPr>
                <w:rFonts w:hint="default" w:ascii="Times New Roman" w:hAnsi="Times New Roman" w:eastAsia="宋体" w:cs="Times New Roman"/>
                <w:iCs w:val="0"/>
                <w:color w:val="auto"/>
                <w:kern w:val="2"/>
                <w:sz w:val="24"/>
                <w:szCs w:val="24"/>
                <w:highlight w:val="none"/>
                <w:lang w:val="en-US" w:eastAsia="zh-CN" w:bidi="ar-SA"/>
              </w:rPr>
              <w:t>1台</w:t>
            </w:r>
            <w:r>
              <w:rPr>
                <w:rFonts w:hint="eastAsia" w:ascii="Times New Roman" w:hAnsi="Times New Roman" w:eastAsia="宋体" w:cs="Times New Roman"/>
                <w:iCs w:val="0"/>
                <w:color w:val="auto"/>
                <w:kern w:val="2"/>
                <w:sz w:val="24"/>
                <w:szCs w:val="24"/>
                <w:highlight w:val="none"/>
                <w:lang w:val="en-US" w:eastAsia="zh-CN" w:bidi="ar-SA"/>
              </w:rPr>
              <w:t>2</w:t>
            </w:r>
            <w:r>
              <w:rPr>
                <w:rFonts w:hint="default" w:ascii="Times New Roman" w:hAnsi="Times New Roman" w:eastAsia="宋体" w:cs="Times New Roman"/>
                <w:iCs w:val="0"/>
                <w:color w:val="auto"/>
                <w:kern w:val="2"/>
                <w:sz w:val="24"/>
                <w:szCs w:val="24"/>
                <w:highlight w:val="none"/>
                <w:lang w:val="en-US" w:eastAsia="zh-CN" w:bidi="ar-SA"/>
              </w:rPr>
              <w:t>t/h的</w:t>
            </w:r>
            <w:r>
              <w:rPr>
                <w:rFonts w:hint="eastAsia" w:cs="Times New Roman"/>
                <w:iCs w:val="0"/>
                <w:color w:val="auto"/>
                <w:kern w:val="2"/>
                <w:sz w:val="24"/>
                <w:szCs w:val="24"/>
                <w:highlight w:val="none"/>
                <w:lang w:val="en-US" w:eastAsia="zh-CN" w:bidi="ar-SA"/>
              </w:rPr>
              <w:t>燃生物质</w:t>
            </w:r>
            <w:r>
              <w:rPr>
                <w:rFonts w:hint="default" w:ascii="Times New Roman" w:hAnsi="Times New Roman" w:eastAsia="宋体" w:cs="Times New Roman"/>
                <w:iCs w:val="0"/>
                <w:color w:val="auto"/>
                <w:kern w:val="2"/>
                <w:sz w:val="24"/>
                <w:szCs w:val="24"/>
                <w:highlight w:val="none"/>
                <w:lang w:val="en-US" w:eastAsia="zh-CN" w:bidi="ar-SA"/>
              </w:rPr>
              <w:t>热风炉</w:t>
            </w:r>
            <w:r>
              <w:rPr>
                <w:rFonts w:hint="eastAsia" w:cs="Times New Roman"/>
                <w:iCs w:val="0"/>
                <w:color w:val="auto"/>
                <w:kern w:val="2"/>
                <w:sz w:val="24"/>
                <w:szCs w:val="24"/>
                <w:highlight w:val="none"/>
                <w:lang w:val="en-US" w:eastAsia="zh-CN" w:bidi="ar-SA"/>
              </w:rPr>
              <w:t>+</w:t>
            </w:r>
            <w:r>
              <w:rPr>
                <w:rFonts w:hint="default" w:ascii="Times New Roman" w:hAnsi="Times New Roman" w:eastAsia="宋体" w:cs="Times New Roman"/>
                <w:iCs w:val="0"/>
                <w:color w:val="auto"/>
                <w:kern w:val="2"/>
                <w:sz w:val="24"/>
                <w:szCs w:val="24"/>
                <w:highlight w:val="none"/>
                <w:lang w:val="en-US" w:eastAsia="zh-CN" w:bidi="ar-SA"/>
              </w:rPr>
              <w:t>1台</w:t>
            </w:r>
            <w:r>
              <w:rPr>
                <w:rFonts w:hint="eastAsia" w:ascii="Times New Roman" w:hAnsi="Times New Roman" w:eastAsia="宋体" w:cs="Times New Roman"/>
                <w:iCs w:val="0"/>
                <w:color w:val="auto"/>
                <w:kern w:val="2"/>
                <w:sz w:val="24"/>
                <w:szCs w:val="24"/>
                <w:highlight w:val="none"/>
                <w:lang w:val="en-US" w:eastAsia="zh-CN" w:bidi="ar-SA"/>
              </w:rPr>
              <w:t>3</w:t>
            </w:r>
            <w:r>
              <w:rPr>
                <w:rFonts w:hint="default" w:ascii="Times New Roman" w:hAnsi="Times New Roman" w:eastAsia="宋体" w:cs="Times New Roman"/>
                <w:iCs w:val="0"/>
                <w:color w:val="auto"/>
                <w:kern w:val="2"/>
                <w:sz w:val="24"/>
                <w:szCs w:val="24"/>
                <w:highlight w:val="none"/>
                <w:lang w:val="en-US" w:eastAsia="zh-CN" w:bidi="ar-SA"/>
              </w:rPr>
              <w:t>t/h的</w:t>
            </w:r>
            <w:r>
              <w:rPr>
                <w:rFonts w:hint="eastAsia" w:cs="Times New Roman"/>
                <w:iCs w:val="0"/>
                <w:color w:val="auto"/>
                <w:kern w:val="2"/>
                <w:sz w:val="24"/>
                <w:szCs w:val="24"/>
                <w:highlight w:val="none"/>
                <w:lang w:val="en-US" w:eastAsia="zh-CN" w:bidi="ar-SA"/>
              </w:rPr>
              <w:t>燃生物质</w:t>
            </w:r>
            <w:r>
              <w:rPr>
                <w:rFonts w:hint="default" w:ascii="Times New Roman" w:hAnsi="Times New Roman" w:eastAsia="宋体" w:cs="Times New Roman"/>
                <w:iCs w:val="0"/>
                <w:color w:val="auto"/>
                <w:kern w:val="2"/>
                <w:sz w:val="24"/>
                <w:szCs w:val="24"/>
                <w:highlight w:val="none"/>
                <w:lang w:val="en-US" w:eastAsia="zh-CN" w:bidi="ar-SA"/>
              </w:rPr>
              <w:t>热风炉</w:t>
            </w:r>
            <w:r>
              <w:rPr>
                <w:rFonts w:hint="eastAsia" w:cs="Times New Roman"/>
                <w:iCs w:val="0"/>
                <w:color w:val="auto"/>
                <w:kern w:val="2"/>
                <w:sz w:val="24"/>
                <w:szCs w:val="24"/>
                <w:highlight w:val="none"/>
                <w:lang w:val="en-US" w:eastAsia="zh-CN" w:bidi="ar-SA"/>
              </w:rPr>
              <w:t>；新</w:t>
            </w:r>
            <w:r>
              <w:rPr>
                <w:rFonts w:hint="default" w:ascii="Times New Roman" w:hAnsi="Times New Roman" w:eastAsia="宋体" w:cs="Times New Roman"/>
                <w:color w:val="auto"/>
                <w:sz w:val="24"/>
                <w:highlight w:val="none"/>
              </w:rPr>
              <w:t>建1座烘干能力为</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val="en-US" w:eastAsia="zh-CN"/>
              </w:rPr>
              <w:t>00</w:t>
            </w:r>
            <w:r>
              <w:rPr>
                <w:rFonts w:hint="default" w:ascii="Times New Roman" w:hAnsi="Times New Roman" w:eastAsia="宋体" w:cs="Times New Roman"/>
                <w:color w:val="auto"/>
                <w:sz w:val="24"/>
                <w:highlight w:val="none"/>
              </w:rPr>
              <w:t>吨</w:t>
            </w:r>
            <w:r>
              <w:rPr>
                <w:rFonts w:hint="default" w:ascii="Times New Roman" w:hAnsi="Times New Roman" w:eastAsia="宋体" w:cs="Times New Roman"/>
                <w:bCs/>
                <w:color w:val="auto"/>
                <w:sz w:val="24"/>
                <w:szCs w:val="24"/>
                <w:highlight w:val="none"/>
                <w:lang w:eastAsia="zh-CN"/>
              </w:rPr>
              <w:t>（以玉米计）</w:t>
            </w:r>
            <w:r>
              <w:rPr>
                <w:rFonts w:hint="default" w:ascii="Times New Roman" w:hAnsi="Times New Roman" w:eastAsia="宋体" w:cs="Times New Roman"/>
                <w:color w:val="auto"/>
                <w:sz w:val="24"/>
                <w:highlight w:val="none"/>
              </w:rPr>
              <w:t>的烘干塔</w:t>
            </w:r>
            <w:r>
              <w:rPr>
                <w:rFonts w:hint="default" w:ascii="Times New Roman" w:hAnsi="Times New Roman" w:eastAsia="宋体" w:cs="Times New Roman"/>
                <w:color w:val="auto"/>
                <w:sz w:val="24"/>
                <w:highlight w:val="none"/>
                <w:lang w:eastAsia="zh-CN"/>
              </w:rPr>
              <w:t>，及</w:t>
            </w:r>
            <w:r>
              <w:rPr>
                <w:rFonts w:hint="default" w:ascii="Times New Roman" w:hAnsi="Times New Roman" w:eastAsia="宋体" w:cs="Times New Roman"/>
                <w:color w:val="auto"/>
                <w:sz w:val="24"/>
                <w:highlight w:val="none"/>
              </w:rPr>
              <w:t>配套1台</w:t>
            </w:r>
            <w:r>
              <w:rPr>
                <w:rFonts w:hint="eastAsia" w:cs="Times New Roman"/>
                <w:color w:val="auto"/>
                <w:sz w:val="24"/>
                <w:highlight w:val="none"/>
                <w:lang w:val="en-US" w:eastAsia="zh-CN"/>
              </w:rPr>
              <w:t>900万kcal/h</w:t>
            </w:r>
            <w:r>
              <w:rPr>
                <w:rFonts w:hint="default" w:ascii="Times New Roman" w:hAnsi="Times New Roman" w:eastAsia="宋体" w:cs="Times New Roman"/>
                <w:color w:val="auto"/>
                <w:sz w:val="24"/>
                <w:highlight w:val="none"/>
              </w:rPr>
              <w:t>的燃生物质热风炉，用于玉米</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水稻</w:t>
            </w:r>
            <w:r>
              <w:rPr>
                <w:rFonts w:hint="default" w:ascii="Times New Roman" w:hAnsi="Times New Roman" w:eastAsia="宋体" w:cs="Times New Roman"/>
                <w:color w:val="auto"/>
                <w:sz w:val="24"/>
                <w:highlight w:val="none"/>
              </w:rPr>
              <w:t>的烘干，</w:t>
            </w:r>
            <w:r>
              <w:rPr>
                <w:rFonts w:hint="default" w:ascii="Times New Roman" w:hAnsi="Times New Roman" w:eastAsia="宋体" w:cs="Times New Roman"/>
                <w:color w:val="auto"/>
                <w:sz w:val="24"/>
                <w:highlight w:val="none"/>
                <w:lang w:val="en-US" w:eastAsia="zh-CN"/>
              </w:rPr>
              <w:t>年烘干玉米</w:t>
            </w:r>
            <w:r>
              <w:rPr>
                <w:rFonts w:hint="eastAsia" w:cs="Times New Roman"/>
                <w:color w:val="auto"/>
                <w:sz w:val="24"/>
                <w:highlight w:val="none"/>
                <w:lang w:val="en-US" w:eastAsia="zh-CN"/>
              </w:rPr>
              <w:t>30000</w:t>
            </w:r>
            <w:r>
              <w:rPr>
                <w:rFonts w:hint="default" w:ascii="Times New Roman" w:hAnsi="Times New Roman" w:eastAsia="宋体" w:cs="Times New Roman"/>
                <w:color w:val="auto"/>
                <w:sz w:val="24"/>
                <w:highlight w:val="none"/>
                <w:lang w:val="en-US" w:eastAsia="zh-CN"/>
              </w:rPr>
              <w:t>吨、水稻</w:t>
            </w:r>
            <w:r>
              <w:rPr>
                <w:rFonts w:hint="eastAsia" w:cs="Times New Roman"/>
                <w:color w:val="auto"/>
                <w:sz w:val="24"/>
                <w:highlight w:val="none"/>
                <w:lang w:val="en-US" w:eastAsia="zh-CN"/>
              </w:rPr>
              <w:t>30000</w:t>
            </w:r>
            <w:r>
              <w:rPr>
                <w:rFonts w:hint="default" w:ascii="Times New Roman" w:hAnsi="Times New Roman" w:eastAsia="宋体" w:cs="Times New Roman"/>
                <w:color w:val="auto"/>
                <w:sz w:val="24"/>
                <w:highlight w:val="none"/>
                <w:lang w:val="en-US" w:eastAsia="zh-CN"/>
              </w:rPr>
              <w:t>吨。本项目</w:t>
            </w:r>
            <w:r>
              <w:rPr>
                <w:rFonts w:hint="default" w:ascii="Times New Roman" w:hAnsi="Times New Roman" w:eastAsia="宋体" w:cs="Times New Roman"/>
                <w:color w:val="auto"/>
                <w:sz w:val="24"/>
                <w:highlight w:val="none"/>
              </w:rPr>
              <w:t>主要建设内容见下表。</w:t>
            </w:r>
          </w:p>
          <w:p w14:paraId="5C4F76EE">
            <w:pPr>
              <w:pStyle w:val="56"/>
              <w:keepNext w:val="0"/>
              <w:keepLines w:val="0"/>
              <w:suppressLineNumbers w:val="0"/>
              <w:spacing w:before="0" w:beforeAutospacing="0" w:after="0" w:afterAutospacing="0" w:line="360" w:lineRule="auto"/>
              <w:ind w:left="0" w:right="0" w:firstLine="422"/>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表2-1工程内容一览表</w:t>
            </w:r>
          </w:p>
          <w:tbl>
            <w:tblPr>
              <w:tblStyle w:val="33"/>
              <w:tblW w:w="8011"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375"/>
              <w:gridCol w:w="1040"/>
              <w:gridCol w:w="5361"/>
              <w:gridCol w:w="1235"/>
            </w:tblGrid>
            <w:tr w14:paraId="336F588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87" w:hRule="atLeast"/>
                <w:jc w:val="center"/>
              </w:trPr>
              <w:tc>
                <w:tcPr>
                  <w:tcW w:w="1415" w:type="dxa"/>
                  <w:gridSpan w:val="2"/>
                  <w:vAlign w:val="center"/>
                </w:tcPr>
                <w:p w14:paraId="618015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建设内容</w:t>
                  </w:r>
                </w:p>
              </w:tc>
              <w:tc>
                <w:tcPr>
                  <w:tcW w:w="5361" w:type="dxa"/>
                  <w:vAlign w:val="center"/>
                </w:tcPr>
                <w:p w14:paraId="50070A9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建设规模及内容</w:t>
                  </w:r>
                </w:p>
              </w:tc>
              <w:tc>
                <w:tcPr>
                  <w:tcW w:w="1235" w:type="dxa"/>
                  <w:vAlign w:val="center"/>
                </w:tcPr>
                <w:p w14:paraId="4ECC2A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备注</w:t>
                  </w:r>
                </w:p>
              </w:tc>
            </w:tr>
            <w:tr w14:paraId="46E16A7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restart"/>
                  <w:shd w:val="clear" w:color="auto" w:fill="auto"/>
                  <w:vAlign w:val="center"/>
                </w:tcPr>
                <w:p w14:paraId="21BDB1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主体工程</w:t>
                  </w:r>
                </w:p>
              </w:tc>
              <w:tc>
                <w:tcPr>
                  <w:tcW w:w="1040" w:type="dxa"/>
                  <w:shd w:val="clear" w:color="auto" w:fill="FFFFFF"/>
                  <w:vAlign w:val="center"/>
                </w:tcPr>
                <w:p w14:paraId="7F8A940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烘干塔</w:t>
                  </w:r>
                </w:p>
              </w:tc>
              <w:tc>
                <w:tcPr>
                  <w:tcW w:w="5361" w:type="dxa"/>
                  <w:shd w:val="clear" w:color="auto" w:fill="FFFFFF"/>
                  <w:vAlign w:val="center"/>
                </w:tcPr>
                <w:p w14:paraId="4563516D">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color w:val="auto"/>
                      <w:szCs w:val="21"/>
                      <w:highlight w:val="none"/>
                      <w:lang w:val="en-US"/>
                    </w:rPr>
                  </w:pPr>
                  <w:r>
                    <w:rPr>
                      <w:rFonts w:hint="default" w:ascii="Times New Roman" w:hAnsi="Times New Roman" w:eastAsia="宋体" w:cs="Times New Roman"/>
                      <w:bCs/>
                      <w:color w:val="auto"/>
                      <w:szCs w:val="21"/>
                      <w:highlight w:val="none"/>
                    </w:rPr>
                    <w:t>用于玉米</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lang w:val="en-US" w:eastAsia="zh-CN"/>
                    </w:rPr>
                    <w:t>水稻</w:t>
                  </w:r>
                  <w:r>
                    <w:rPr>
                      <w:rFonts w:hint="default" w:ascii="Times New Roman" w:hAnsi="Times New Roman" w:eastAsia="宋体" w:cs="Times New Roman"/>
                      <w:bCs/>
                      <w:color w:val="auto"/>
                      <w:szCs w:val="21"/>
                      <w:highlight w:val="none"/>
                    </w:rPr>
                    <w:t>的烘干，燃用生物质</w:t>
                  </w:r>
                  <w:r>
                    <w:rPr>
                      <w:rFonts w:hint="eastAsia" w:cs="Times New Roman"/>
                      <w:bCs/>
                      <w:color w:val="auto"/>
                      <w:szCs w:val="21"/>
                      <w:highlight w:val="none"/>
                      <w:lang w:val="en-US" w:eastAsia="zh-CN"/>
                    </w:rPr>
                    <w:t>颗粒</w:t>
                  </w:r>
                  <w:r>
                    <w:rPr>
                      <w:rFonts w:hint="default" w:ascii="Times New Roman" w:hAnsi="Times New Roman" w:eastAsia="宋体" w:cs="Times New Roman"/>
                      <w:bCs/>
                      <w:color w:val="auto"/>
                      <w:szCs w:val="21"/>
                      <w:highlight w:val="none"/>
                    </w:rPr>
                    <w:t>，</w:t>
                  </w:r>
                  <w:r>
                    <w:rPr>
                      <w:rFonts w:hint="default" w:ascii="Times New Roman" w:hAnsi="Times New Roman" w:eastAsia="宋体" w:cs="Times New Roman"/>
                      <w:color w:val="auto"/>
                      <w:szCs w:val="21"/>
                      <w:highlight w:val="none"/>
                    </w:rPr>
                    <w:t>烘干塔</w:t>
                  </w:r>
                  <w:r>
                    <w:rPr>
                      <w:rFonts w:hint="default" w:ascii="Times New Roman" w:hAnsi="Times New Roman" w:eastAsia="宋体" w:cs="Times New Roman"/>
                      <w:bCs/>
                      <w:color w:val="auto"/>
                      <w:szCs w:val="21"/>
                      <w:highlight w:val="none"/>
                    </w:rPr>
                    <w:t>年运行</w:t>
                  </w:r>
                  <w:r>
                    <w:rPr>
                      <w:rFonts w:hint="eastAsia" w:cs="Times New Roman"/>
                      <w:bCs/>
                      <w:color w:val="auto"/>
                      <w:szCs w:val="21"/>
                      <w:highlight w:val="none"/>
                      <w:lang w:val="en-US" w:eastAsia="zh-CN"/>
                    </w:rPr>
                    <w:t>75</w:t>
                  </w:r>
                  <w:r>
                    <w:rPr>
                      <w:rFonts w:hint="default" w:ascii="Times New Roman" w:hAnsi="Times New Roman" w:eastAsia="宋体" w:cs="Times New Roman"/>
                      <w:bCs/>
                      <w:color w:val="auto"/>
                      <w:szCs w:val="21"/>
                      <w:highlight w:val="none"/>
                      <w:lang w:val="en-US" w:eastAsia="zh-CN"/>
                    </w:rPr>
                    <w:t>d</w:t>
                  </w:r>
                  <w:r>
                    <w:rPr>
                      <w:rFonts w:hint="default" w:ascii="Times New Roman" w:hAnsi="Times New Roman" w:eastAsia="宋体" w:cs="Times New Roman"/>
                      <w:bCs/>
                      <w:color w:val="auto"/>
                      <w:szCs w:val="21"/>
                      <w:highlight w:val="none"/>
                    </w:rPr>
                    <w:t>，烘干塔烘干能力为</w:t>
                  </w:r>
                  <w:r>
                    <w:rPr>
                      <w:rFonts w:hint="eastAsia" w:cs="Times New Roman"/>
                      <w:bCs/>
                      <w:color w:val="auto"/>
                      <w:szCs w:val="21"/>
                      <w:highlight w:val="none"/>
                      <w:lang w:val="en-US" w:eastAsia="zh-CN"/>
                    </w:rPr>
                    <w:t>8</w:t>
                  </w:r>
                  <w:r>
                    <w:rPr>
                      <w:rFonts w:hint="default" w:ascii="Times New Roman" w:hAnsi="Times New Roman" w:eastAsia="宋体" w:cs="Times New Roman"/>
                      <w:bCs/>
                      <w:color w:val="auto"/>
                      <w:szCs w:val="21"/>
                      <w:highlight w:val="none"/>
                      <w:lang w:val="en-US" w:eastAsia="zh-CN"/>
                    </w:rPr>
                    <w:t>00</w:t>
                  </w:r>
                  <w:r>
                    <w:rPr>
                      <w:rFonts w:hint="default" w:ascii="Times New Roman" w:hAnsi="Times New Roman" w:eastAsia="宋体" w:cs="Times New Roman"/>
                      <w:bCs/>
                      <w:color w:val="auto"/>
                      <w:szCs w:val="21"/>
                      <w:highlight w:val="none"/>
                    </w:rPr>
                    <w:t>t/d</w:t>
                  </w:r>
                  <w:r>
                    <w:rPr>
                      <w:rFonts w:hint="default" w:ascii="Times New Roman" w:hAnsi="Times New Roman" w:eastAsia="宋体" w:cs="Times New Roman"/>
                      <w:bCs/>
                      <w:color w:val="auto"/>
                      <w:szCs w:val="21"/>
                      <w:highlight w:val="none"/>
                      <w:lang w:eastAsia="zh-CN"/>
                    </w:rPr>
                    <w:t>（以玉米计），</w:t>
                  </w:r>
                  <w:r>
                    <w:rPr>
                      <w:rFonts w:hint="default" w:ascii="Times New Roman" w:hAnsi="Times New Roman" w:eastAsia="宋体" w:cs="Times New Roman"/>
                      <w:bCs/>
                      <w:color w:val="auto"/>
                      <w:szCs w:val="21"/>
                      <w:highlight w:val="none"/>
                    </w:rPr>
                    <w:t>配套1台</w:t>
                  </w:r>
                  <w:r>
                    <w:rPr>
                      <w:rFonts w:hint="eastAsia" w:cs="Times New Roman"/>
                      <w:bCs/>
                      <w:color w:val="auto"/>
                      <w:szCs w:val="21"/>
                      <w:highlight w:val="none"/>
                      <w:lang w:val="en-US" w:eastAsia="zh-CN"/>
                    </w:rPr>
                    <w:t>900万kcal/h</w:t>
                  </w:r>
                  <w:r>
                    <w:rPr>
                      <w:rFonts w:hint="default" w:ascii="Times New Roman" w:hAnsi="Times New Roman" w:eastAsia="宋体" w:cs="Times New Roman"/>
                      <w:bCs/>
                      <w:color w:val="auto"/>
                      <w:szCs w:val="21"/>
                      <w:highlight w:val="none"/>
                    </w:rPr>
                    <w:t>的燃生物质热风炉，</w:t>
                  </w:r>
                  <w:r>
                    <w:rPr>
                      <w:rFonts w:hint="eastAsia" w:cs="Times New Roman"/>
                      <w:bCs/>
                      <w:color w:val="auto"/>
                      <w:szCs w:val="21"/>
                      <w:highlight w:val="none"/>
                      <w:lang w:val="en-US" w:eastAsia="zh-CN"/>
                    </w:rPr>
                    <w:t>烟囱</w:t>
                  </w:r>
                  <w:r>
                    <w:rPr>
                      <w:rFonts w:hint="default" w:ascii="Times New Roman" w:hAnsi="Times New Roman" w:eastAsia="宋体" w:cs="Times New Roman"/>
                      <w:bCs/>
                      <w:color w:val="auto"/>
                      <w:szCs w:val="21"/>
                      <w:highlight w:val="none"/>
                      <w:lang w:val="en-US" w:eastAsia="zh-CN"/>
                    </w:rPr>
                    <w:t>高约</w:t>
                  </w:r>
                  <w:r>
                    <w:rPr>
                      <w:rFonts w:hint="eastAsia" w:cs="Times New Roman"/>
                      <w:bCs/>
                      <w:color w:val="auto"/>
                      <w:szCs w:val="21"/>
                      <w:highlight w:val="none"/>
                      <w:lang w:val="en-US" w:eastAsia="zh-CN"/>
                    </w:rPr>
                    <w:t>30</w:t>
                  </w:r>
                  <w:r>
                    <w:rPr>
                      <w:rFonts w:hint="default" w:ascii="Times New Roman" w:hAnsi="Times New Roman" w:eastAsia="宋体" w:cs="Times New Roman"/>
                      <w:bCs/>
                      <w:color w:val="auto"/>
                      <w:szCs w:val="21"/>
                      <w:highlight w:val="none"/>
                      <w:lang w:val="en-US" w:eastAsia="zh-CN"/>
                    </w:rPr>
                    <w:t>m</w:t>
                  </w:r>
                </w:p>
              </w:tc>
              <w:tc>
                <w:tcPr>
                  <w:tcW w:w="1235" w:type="dxa"/>
                  <w:shd w:val="clear" w:color="auto" w:fill="FFFFFF"/>
                  <w:vAlign w:val="center"/>
                </w:tcPr>
                <w:p w14:paraId="3CAD897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rPr>
                  </w:pPr>
                  <w:r>
                    <w:rPr>
                      <w:rStyle w:val="134"/>
                      <w:rFonts w:hint="default" w:ascii="Times New Roman" w:hAnsi="Times New Roman" w:eastAsia="宋体" w:cs="Times New Roman"/>
                      <w:color w:val="auto"/>
                      <w:kern w:val="0"/>
                      <w:sz w:val="21"/>
                      <w:szCs w:val="21"/>
                      <w:highlight w:val="none"/>
                      <w:lang w:eastAsia="zh-CN"/>
                    </w:rPr>
                    <w:t>拆除原有</w:t>
                  </w:r>
                  <w:r>
                    <w:rPr>
                      <w:rStyle w:val="134"/>
                      <w:rFonts w:hint="eastAsia" w:cs="Times New Roman"/>
                      <w:color w:val="auto"/>
                      <w:kern w:val="0"/>
                      <w:sz w:val="21"/>
                      <w:szCs w:val="21"/>
                      <w:highlight w:val="none"/>
                      <w:lang w:val="en-US" w:eastAsia="zh-CN"/>
                    </w:rPr>
                    <w:t>烘干塔</w:t>
                  </w:r>
                  <w:r>
                    <w:rPr>
                      <w:rStyle w:val="134"/>
                      <w:rFonts w:hint="default" w:cs="Times New Roman"/>
                      <w:color w:val="auto"/>
                      <w:kern w:val="0"/>
                      <w:sz w:val="21"/>
                      <w:szCs w:val="21"/>
                      <w:highlight w:val="none"/>
                      <w:lang w:val="en-US" w:eastAsia="zh-CN"/>
                    </w:rPr>
                    <w:t>/新</w:t>
                  </w:r>
                  <w:r>
                    <w:rPr>
                      <w:rStyle w:val="134"/>
                      <w:rFonts w:hint="eastAsia" w:cs="Times New Roman"/>
                      <w:color w:val="auto"/>
                      <w:kern w:val="0"/>
                      <w:sz w:val="21"/>
                      <w:szCs w:val="21"/>
                      <w:highlight w:val="none"/>
                      <w:lang w:val="en-US" w:eastAsia="zh-CN"/>
                    </w:rPr>
                    <w:t>建</w:t>
                  </w:r>
                  <w:r>
                    <w:rPr>
                      <w:rStyle w:val="134"/>
                      <w:rFonts w:hint="default" w:cs="Times New Roman"/>
                      <w:color w:val="auto"/>
                      <w:kern w:val="0"/>
                      <w:sz w:val="21"/>
                      <w:szCs w:val="21"/>
                      <w:highlight w:val="none"/>
                      <w:lang w:val="en-US" w:eastAsia="zh-CN"/>
                    </w:rPr>
                    <w:t>烘干塔</w:t>
                  </w:r>
                </w:p>
              </w:tc>
            </w:tr>
            <w:tr w14:paraId="5A410D3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continue"/>
                  <w:shd w:val="clear" w:color="auto" w:fill="auto"/>
                  <w:vAlign w:val="center"/>
                </w:tcPr>
                <w:p w14:paraId="1C332C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p>
              </w:tc>
              <w:tc>
                <w:tcPr>
                  <w:tcW w:w="1040" w:type="dxa"/>
                  <w:shd w:val="clear" w:color="auto" w:fill="FFFFFF"/>
                  <w:vAlign w:val="center"/>
                </w:tcPr>
                <w:p w14:paraId="6F95EDA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热风炉房</w:t>
                  </w:r>
                </w:p>
              </w:tc>
              <w:tc>
                <w:tcPr>
                  <w:tcW w:w="5361" w:type="dxa"/>
                  <w:shd w:val="clear" w:color="auto" w:fill="FFFFFF"/>
                  <w:vAlign w:val="center"/>
                </w:tcPr>
                <w:p w14:paraId="3B18628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Cs/>
                      <w:color w:val="auto"/>
                      <w:szCs w:val="21"/>
                      <w:highlight w:val="none"/>
                      <w:lang w:eastAsia="zh-CN"/>
                    </w:rPr>
                  </w:pPr>
                  <w:r>
                    <w:rPr>
                      <w:rFonts w:hint="eastAsia" w:cs="Times New Roman"/>
                      <w:bCs/>
                      <w:color w:val="auto"/>
                      <w:szCs w:val="21"/>
                      <w:highlight w:val="none"/>
                      <w:lang w:eastAsia="zh-CN"/>
                    </w:rPr>
                    <w:t>一层</w:t>
                  </w:r>
                  <w:r>
                    <w:rPr>
                      <w:rFonts w:hint="eastAsia" w:cs="Times New Roman"/>
                      <w:bCs/>
                      <w:color w:val="auto"/>
                      <w:szCs w:val="21"/>
                      <w:highlight w:val="none"/>
                      <w:lang w:val="en-US" w:eastAsia="zh-CN"/>
                    </w:rPr>
                    <w:t>砖混</w:t>
                  </w:r>
                  <w:r>
                    <w:rPr>
                      <w:rFonts w:hint="eastAsia" w:cs="Times New Roman"/>
                      <w:bCs/>
                      <w:color w:val="auto"/>
                      <w:szCs w:val="21"/>
                      <w:highlight w:val="none"/>
                      <w:lang w:eastAsia="zh-CN"/>
                    </w:rPr>
                    <w:t>结构，</w:t>
                  </w:r>
                  <w:r>
                    <w:rPr>
                      <w:rFonts w:hint="default" w:ascii="Times New Roman" w:hAnsi="Times New Roman" w:eastAsia="宋体" w:cs="Times New Roman"/>
                      <w:bCs/>
                      <w:color w:val="auto"/>
                      <w:szCs w:val="21"/>
                      <w:highlight w:val="none"/>
                    </w:rPr>
                    <w:t>建筑面积</w:t>
                  </w:r>
                  <w:r>
                    <w:rPr>
                      <w:rFonts w:hint="eastAsia" w:cs="Times New Roman"/>
                      <w:bCs/>
                      <w:color w:val="auto"/>
                      <w:szCs w:val="21"/>
                      <w:highlight w:val="none"/>
                      <w:lang w:val="en-US" w:eastAsia="zh-CN"/>
                    </w:rPr>
                    <w:t>180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2</w:t>
                  </w:r>
                  <w:r>
                    <w:rPr>
                      <w:rFonts w:hint="default" w:ascii="Times New Roman" w:hAnsi="Times New Roman" w:eastAsia="宋体" w:cs="Times New Roman"/>
                      <w:bCs/>
                      <w:color w:val="auto"/>
                      <w:szCs w:val="21"/>
                      <w:highlight w:val="none"/>
                    </w:rPr>
                    <w:t>，内设1台</w:t>
                  </w:r>
                  <w:r>
                    <w:rPr>
                      <w:rFonts w:hint="eastAsia" w:cs="Times New Roman"/>
                      <w:bCs/>
                      <w:color w:val="auto"/>
                      <w:szCs w:val="21"/>
                      <w:highlight w:val="none"/>
                      <w:lang w:val="en-US" w:eastAsia="zh-CN"/>
                    </w:rPr>
                    <w:t>900万kcal/h</w:t>
                  </w:r>
                  <w:r>
                    <w:rPr>
                      <w:rFonts w:hint="default" w:ascii="Times New Roman" w:hAnsi="Times New Roman" w:eastAsia="宋体" w:cs="Times New Roman"/>
                      <w:bCs/>
                      <w:color w:val="auto"/>
                      <w:szCs w:val="21"/>
                      <w:highlight w:val="none"/>
                    </w:rPr>
                    <w:t>热风炉，燃用生物质成型燃料</w:t>
                  </w:r>
                </w:p>
              </w:tc>
              <w:tc>
                <w:tcPr>
                  <w:tcW w:w="1235" w:type="dxa"/>
                  <w:shd w:val="clear" w:color="auto" w:fill="FFFFFF"/>
                  <w:vAlign w:val="center"/>
                </w:tcPr>
                <w:p w14:paraId="3ED4417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rPr>
                  </w:pPr>
                  <w:r>
                    <w:rPr>
                      <w:rStyle w:val="134"/>
                      <w:rFonts w:hint="default" w:ascii="Times New Roman" w:hAnsi="Times New Roman" w:eastAsia="宋体" w:cs="Times New Roman"/>
                      <w:color w:val="auto"/>
                      <w:kern w:val="0"/>
                      <w:sz w:val="21"/>
                      <w:szCs w:val="21"/>
                      <w:highlight w:val="none"/>
                      <w:lang w:eastAsia="zh-CN"/>
                    </w:rPr>
                    <w:t>依托原有房屋改造/拆除原有热风炉/新建热风炉</w:t>
                  </w:r>
                </w:p>
              </w:tc>
            </w:tr>
            <w:tr w14:paraId="5E8760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restart"/>
                  <w:shd w:val="clear" w:color="auto" w:fill="auto"/>
                  <w:vAlign w:val="center"/>
                </w:tcPr>
                <w:p w14:paraId="5CDB750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储运工程</w:t>
                  </w:r>
                </w:p>
              </w:tc>
              <w:tc>
                <w:tcPr>
                  <w:tcW w:w="1040" w:type="dxa"/>
                  <w:shd w:val="clear" w:color="auto" w:fill="FFFFFF"/>
                  <w:vAlign w:val="center"/>
                </w:tcPr>
                <w:p w14:paraId="45F59F1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燃料</w:t>
                  </w:r>
                  <w:r>
                    <w:rPr>
                      <w:rFonts w:hint="eastAsia" w:cs="Times New Roman"/>
                      <w:color w:val="auto"/>
                      <w:szCs w:val="21"/>
                      <w:highlight w:val="none"/>
                      <w:lang w:eastAsia="zh-CN"/>
                    </w:rPr>
                    <w:t>间</w:t>
                  </w:r>
                </w:p>
              </w:tc>
              <w:tc>
                <w:tcPr>
                  <w:tcW w:w="5361" w:type="dxa"/>
                  <w:shd w:val="clear" w:color="auto" w:fill="FFFFFF"/>
                  <w:vAlign w:val="center"/>
                </w:tcPr>
                <w:p w14:paraId="1C113440">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Cs w:val="21"/>
                      <w:highlight w:val="none"/>
                      <w:lang w:eastAsia="zh-CN"/>
                    </w:rPr>
                  </w:pPr>
                  <w:r>
                    <w:rPr>
                      <w:rFonts w:hint="eastAsia" w:cs="Times New Roman"/>
                      <w:color w:val="auto"/>
                      <w:highlight w:val="none"/>
                      <w:lang w:val="en-US" w:eastAsia="zh-CN"/>
                    </w:rPr>
                    <w:t>位于锅炉房南侧内</w:t>
                  </w:r>
                  <w:r>
                    <w:rPr>
                      <w:rFonts w:hint="default" w:ascii="Times New Roman" w:hAnsi="Times New Roman" w:eastAsia="宋体" w:cs="Times New Roman"/>
                      <w:bCs/>
                      <w:color w:val="auto"/>
                      <w:szCs w:val="21"/>
                      <w:highlight w:val="none"/>
                    </w:rPr>
                    <w:t>，</w:t>
                  </w:r>
                  <w:r>
                    <w:rPr>
                      <w:rFonts w:hint="default" w:ascii="Times New Roman" w:hAnsi="Times New Roman" w:eastAsia="宋体" w:cs="Times New Roman"/>
                      <w:color w:val="auto"/>
                      <w:highlight w:val="none"/>
                      <w:lang w:val="en-US" w:eastAsia="zh-CN"/>
                    </w:rPr>
                    <w:t>独立、密闭设计</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地面均硬化，</w:t>
                  </w:r>
                  <w:r>
                    <w:rPr>
                      <w:rFonts w:hint="default" w:ascii="Times New Roman" w:hAnsi="Times New Roman" w:eastAsia="宋体" w:cs="Times New Roman"/>
                      <w:color w:val="auto"/>
                      <w:szCs w:val="21"/>
                      <w:highlight w:val="none"/>
                    </w:rPr>
                    <w:t>建筑</w:t>
                  </w:r>
                  <w:r>
                    <w:rPr>
                      <w:rFonts w:hint="default" w:ascii="Times New Roman" w:hAnsi="Times New Roman" w:eastAsia="宋体" w:cs="Times New Roman"/>
                      <w:bCs/>
                      <w:color w:val="auto"/>
                      <w:szCs w:val="21"/>
                      <w:highlight w:val="none"/>
                      <w:lang w:val="en-US" w:eastAsia="zh-CN"/>
                    </w:rPr>
                    <w:t>容积为</w:t>
                  </w:r>
                  <w:r>
                    <w:rPr>
                      <w:rFonts w:hint="eastAsia" w:cs="Times New Roman"/>
                      <w:bCs/>
                      <w:color w:val="auto"/>
                      <w:szCs w:val="21"/>
                      <w:highlight w:val="none"/>
                      <w:lang w:val="en-US" w:eastAsia="zh-CN"/>
                    </w:rPr>
                    <w:t>1</w:t>
                  </w:r>
                  <w:r>
                    <w:rPr>
                      <w:rFonts w:hint="eastAsia" w:cs="Times New Roman"/>
                      <w:color w:val="auto"/>
                      <w:szCs w:val="21"/>
                      <w:highlight w:val="none"/>
                      <w:lang w:val="en-US" w:eastAsia="zh-CN"/>
                    </w:rPr>
                    <w:t>50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3</w:t>
                  </w:r>
                  <w:r>
                    <w:rPr>
                      <w:rFonts w:hint="eastAsia" w:ascii="Times New Roman" w:hAnsi="Times New Roman" w:eastAsia="宋体" w:cs="Times New Roman"/>
                      <w:color w:val="auto"/>
                      <w:szCs w:val="21"/>
                      <w:highlight w:val="none"/>
                      <w:vertAlign w:val="baseline"/>
                      <w:lang w:eastAsia="zh-CN"/>
                    </w:rPr>
                    <w:t>，</w:t>
                  </w:r>
                  <w:r>
                    <w:rPr>
                      <w:rFonts w:hint="default" w:ascii="Times New Roman" w:hAnsi="Times New Roman" w:eastAsia="宋体" w:cs="Times New Roman"/>
                      <w:bCs/>
                      <w:color w:val="auto"/>
                      <w:szCs w:val="21"/>
                      <w:highlight w:val="none"/>
                    </w:rPr>
                    <w:t>用于存放生物质成型燃料</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最大储量为</w:t>
                  </w:r>
                  <w:r>
                    <w:rPr>
                      <w:rFonts w:hint="eastAsia" w:cs="Times New Roman"/>
                      <w:bCs/>
                      <w:color w:val="auto"/>
                      <w:szCs w:val="21"/>
                      <w:highlight w:val="none"/>
                      <w:lang w:val="en-US" w:eastAsia="zh-CN"/>
                    </w:rPr>
                    <w:t>90</w:t>
                  </w:r>
                  <w:r>
                    <w:rPr>
                      <w:rFonts w:hint="default" w:ascii="Times New Roman" w:hAnsi="Times New Roman" w:eastAsia="宋体" w:cs="Times New Roman"/>
                      <w:bCs/>
                      <w:color w:val="auto"/>
                      <w:szCs w:val="21"/>
                      <w:highlight w:val="none"/>
                    </w:rPr>
                    <w:t>t</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lang w:val="en-US" w:eastAsia="zh-CN"/>
                    </w:rPr>
                    <w:t>每天燃料总消耗量为</w:t>
                  </w:r>
                  <w:r>
                    <w:rPr>
                      <w:rFonts w:hint="eastAsia" w:cs="Times New Roman"/>
                      <w:bCs/>
                      <w:color w:val="auto"/>
                      <w:szCs w:val="21"/>
                      <w:highlight w:val="none"/>
                      <w:lang w:val="en-US" w:eastAsia="zh-CN"/>
                    </w:rPr>
                    <w:t>42.5</w:t>
                  </w:r>
                  <w:r>
                    <w:rPr>
                      <w:rFonts w:hint="default" w:ascii="Times New Roman" w:hAnsi="Times New Roman" w:eastAsia="宋体" w:cs="Times New Roman"/>
                      <w:bCs/>
                      <w:color w:val="auto"/>
                      <w:szCs w:val="21"/>
                      <w:highlight w:val="none"/>
                      <w:lang w:val="en-US" w:eastAsia="zh-CN"/>
                    </w:rPr>
                    <w:t>t，可满足</w:t>
                  </w:r>
                  <w:r>
                    <w:rPr>
                      <w:rFonts w:hint="eastAsia" w:cs="Times New Roman"/>
                      <w:bCs/>
                      <w:color w:val="auto"/>
                      <w:szCs w:val="21"/>
                      <w:highlight w:val="none"/>
                      <w:lang w:val="en-US" w:eastAsia="zh-CN"/>
                    </w:rPr>
                    <w:t>2</w:t>
                  </w:r>
                  <w:r>
                    <w:rPr>
                      <w:rFonts w:hint="default" w:ascii="Times New Roman" w:hAnsi="Times New Roman" w:eastAsia="宋体" w:cs="Times New Roman"/>
                      <w:bCs/>
                      <w:color w:val="auto"/>
                      <w:szCs w:val="21"/>
                      <w:highlight w:val="none"/>
                      <w:lang w:val="en-US" w:eastAsia="zh-CN"/>
                    </w:rPr>
                    <w:t>天需求</w:t>
                  </w:r>
                </w:p>
              </w:tc>
              <w:tc>
                <w:tcPr>
                  <w:tcW w:w="1235" w:type="dxa"/>
                  <w:shd w:val="clear" w:color="auto" w:fill="FFFFFF"/>
                  <w:vAlign w:val="center"/>
                </w:tcPr>
                <w:p w14:paraId="307182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rPr>
                    <w:t>新建</w:t>
                  </w:r>
                </w:p>
              </w:tc>
            </w:tr>
            <w:tr w14:paraId="5FCA2DC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continue"/>
                  <w:shd w:val="clear" w:color="auto" w:fill="auto"/>
                  <w:vAlign w:val="center"/>
                </w:tcPr>
                <w:p w14:paraId="511BB5F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shd w:val="clear" w:color="auto" w:fill="FFFFFF"/>
                  <w:vAlign w:val="center"/>
                </w:tcPr>
                <w:p w14:paraId="054D5A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灰渣</w:t>
                  </w:r>
                  <w:r>
                    <w:rPr>
                      <w:rFonts w:hint="eastAsia" w:cs="Times New Roman"/>
                      <w:color w:val="auto"/>
                      <w:szCs w:val="21"/>
                      <w:highlight w:val="none"/>
                      <w:lang w:val="en-US" w:eastAsia="zh-CN"/>
                    </w:rPr>
                    <w:t>间</w:t>
                  </w:r>
                </w:p>
              </w:tc>
              <w:tc>
                <w:tcPr>
                  <w:tcW w:w="5361" w:type="dxa"/>
                  <w:shd w:val="clear" w:color="auto" w:fill="FFFFFF"/>
                  <w:vAlign w:val="center"/>
                </w:tcPr>
                <w:p w14:paraId="65B34DB4">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Cs w:val="21"/>
                      <w:highlight w:val="none"/>
                      <w:lang w:val="en-US" w:eastAsia="zh-CN"/>
                    </w:rPr>
                  </w:pPr>
                  <w:r>
                    <w:rPr>
                      <w:rFonts w:hint="eastAsia" w:cs="Times New Roman"/>
                      <w:color w:val="auto"/>
                      <w:highlight w:val="none"/>
                      <w:lang w:val="en-US" w:eastAsia="zh-CN"/>
                    </w:rPr>
                    <w:t>位于锅炉房南侧内，</w:t>
                  </w:r>
                  <w:r>
                    <w:rPr>
                      <w:rFonts w:hint="default" w:ascii="Times New Roman" w:hAnsi="Times New Roman" w:eastAsia="宋体" w:cs="Times New Roman"/>
                      <w:color w:val="auto"/>
                      <w:highlight w:val="none"/>
                      <w:lang w:val="en-US" w:eastAsia="zh-CN"/>
                    </w:rPr>
                    <w:t>独立、密闭设计，</w:t>
                  </w:r>
                  <w:r>
                    <w:rPr>
                      <w:rFonts w:hint="eastAsia" w:cs="Times New Roman"/>
                      <w:color w:val="auto"/>
                      <w:highlight w:val="none"/>
                      <w:lang w:val="en-US" w:eastAsia="zh-CN"/>
                    </w:rPr>
                    <w:t>地面均硬化，</w:t>
                  </w:r>
                  <w:r>
                    <w:rPr>
                      <w:rFonts w:hint="default" w:ascii="Times New Roman" w:hAnsi="Times New Roman" w:eastAsia="宋体" w:cs="Times New Roman"/>
                      <w:color w:val="auto"/>
                      <w:szCs w:val="21"/>
                      <w:highlight w:val="none"/>
                    </w:rPr>
                    <w:t>建筑</w:t>
                  </w:r>
                  <w:r>
                    <w:rPr>
                      <w:rFonts w:hint="default" w:ascii="Times New Roman" w:hAnsi="Times New Roman" w:eastAsia="宋体" w:cs="Times New Roman"/>
                      <w:bCs/>
                      <w:color w:val="auto"/>
                      <w:szCs w:val="21"/>
                      <w:highlight w:val="none"/>
                      <w:lang w:val="en-US" w:eastAsia="zh-CN"/>
                    </w:rPr>
                    <w:t>容积为</w:t>
                  </w:r>
                  <w:r>
                    <w:rPr>
                      <w:rFonts w:hint="eastAsia" w:cs="Times New Roman"/>
                      <w:bCs/>
                      <w:color w:val="auto"/>
                      <w:szCs w:val="21"/>
                      <w:highlight w:val="none"/>
                      <w:lang w:val="en-US" w:eastAsia="zh-CN"/>
                    </w:rPr>
                    <w:t>1</w:t>
                  </w:r>
                  <w:r>
                    <w:rPr>
                      <w:rFonts w:hint="eastAsia" w:cs="Times New Roman"/>
                      <w:color w:val="auto"/>
                      <w:szCs w:val="21"/>
                      <w:highlight w:val="none"/>
                      <w:lang w:val="en-US" w:eastAsia="zh-CN"/>
                    </w:rPr>
                    <w:t>50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，用于存放灰渣，最大储量为</w:t>
                  </w:r>
                  <w:r>
                    <w:rPr>
                      <w:rFonts w:hint="eastAsia" w:cs="Times New Roman"/>
                      <w:color w:val="auto"/>
                      <w:szCs w:val="21"/>
                      <w:highlight w:val="none"/>
                      <w:lang w:val="en-US" w:eastAsia="zh-CN"/>
                    </w:rPr>
                    <w:t>100</w:t>
                  </w:r>
                  <w:r>
                    <w:rPr>
                      <w:rFonts w:hint="default" w:ascii="Times New Roman" w:hAnsi="Times New Roman" w:eastAsia="宋体" w:cs="Times New Roman"/>
                      <w:color w:val="auto"/>
                      <w:szCs w:val="21"/>
                      <w:highlight w:val="none"/>
                    </w:rPr>
                    <w:t>t</w:t>
                  </w:r>
                </w:p>
              </w:tc>
              <w:tc>
                <w:tcPr>
                  <w:tcW w:w="1235" w:type="dxa"/>
                  <w:shd w:val="clear" w:color="auto" w:fill="FFFFFF"/>
                  <w:vAlign w:val="center"/>
                </w:tcPr>
                <w:p w14:paraId="42228E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新建</w:t>
                  </w:r>
                </w:p>
              </w:tc>
            </w:tr>
            <w:tr w14:paraId="23276BC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7" w:hRule="atLeast"/>
                <w:jc w:val="center"/>
              </w:trPr>
              <w:tc>
                <w:tcPr>
                  <w:tcW w:w="375" w:type="dxa"/>
                  <w:vMerge w:val="continue"/>
                  <w:shd w:val="clear" w:color="auto" w:fill="auto"/>
                  <w:vAlign w:val="center"/>
                </w:tcPr>
                <w:p w14:paraId="08DE621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tcBorders>
                    <w:bottom w:val="single" w:color="auto" w:sz="4" w:space="0"/>
                  </w:tcBorders>
                  <w:shd w:val="clear" w:color="auto" w:fill="FFFFFF"/>
                  <w:vAlign w:val="center"/>
                </w:tcPr>
                <w:p w14:paraId="37825B5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bCs/>
                      <w:color w:val="auto"/>
                      <w:szCs w:val="21"/>
                      <w:highlight w:val="none"/>
                      <w:lang w:val="en-US" w:eastAsia="zh-CN"/>
                    </w:rPr>
                    <w:t>1#、2#筒仓</w:t>
                  </w:r>
                </w:p>
              </w:tc>
              <w:tc>
                <w:tcPr>
                  <w:tcW w:w="5361" w:type="dxa"/>
                  <w:tcBorders>
                    <w:bottom w:val="single" w:color="auto" w:sz="4" w:space="0"/>
                  </w:tcBorders>
                  <w:shd w:val="clear" w:color="auto" w:fill="FFFFFF"/>
                  <w:vAlign w:val="center"/>
                </w:tcPr>
                <w:p w14:paraId="143876D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2个</w:t>
                  </w:r>
                  <w:r>
                    <w:rPr>
                      <w:rFonts w:hint="default" w:ascii="Times New Roman" w:hAnsi="Times New Roman" w:eastAsia="宋体" w:cs="Times New Roman"/>
                      <w:bCs/>
                      <w:color w:val="auto"/>
                      <w:szCs w:val="21"/>
                      <w:highlight w:val="none"/>
                    </w:rPr>
                    <w:t>，</w:t>
                  </w:r>
                  <w:r>
                    <w:rPr>
                      <w:rFonts w:hint="default" w:ascii="Times New Roman" w:hAnsi="Times New Roman" w:eastAsia="宋体" w:cs="Times New Roman"/>
                      <w:bCs/>
                      <w:color w:val="auto"/>
                      <w:szCs w:val="21"/>
                      <w:highlight w:val="none"/>
                      <w:lang w:eastAsia="zh-CN"/>
                    </w:rPr>
                    <w:t>各</w:t>
                  </w:r>
                  <w:r>
                    <w:rPr>
                      <w:rFonts w:hint="default" w:ascii="Times New Roman" w:hAnsi="Times New Roman" w:eastAsia="宋体" w:cs="Times New Roman"/>
                      <w:bCs/>
                      <w:color w:val="auto"/>
                      <w:szCs w:val="21"/>
                      <w:highlight w:val="none"/>
                      <w:lang w:val="en-US" w:eastAsia="zh-CN"/>
                    </w:rPr>
                    <w:t>仓容</w:t>
                  </w:r>
                  <w:r>
                    <w:rPr>
                      <w:rFonts w:hint="eastAsia" w:cs="Times New Roman"/>
                      <w:bCs/>
                      <w:color w:val="auto"/>
                      <w:szCs w:val="21"/>
                      <w:highlight w:val="none"/>
                      <w:lang w:val="en-US" w:eastAsia="zh-CN"/>
                    </w:rPr>
                    <w:t>均</w:t>
                  </w:r>
                  <w:r>
                    <w:rPr>
                      <w:rFonts w:hint="eastAsia" w:cs="Times New Roman"/>
                      <w:bCs/>
                      <w:color w:val="auto"/>
                      <w:szCs w:val="21"/>
                      <w:highlight w:val="none"/>
                      <w:shd w:val="clear"/>
                      <w:lang w:val="en-US" w:eastAsia="zh-CN"/>
                    </w:rPr>
                    <w:t>为250</w:t>
                  </w:r>
                  <w:r>
                    <w:rPr>
                      <w:rFonts w:hint="default" w:ascii="Times New Roman" w:hAnsi="Times New Roman" w:eastAsia="宋体" w:cs="Times New Roman"/>
                      <w:bCs/>
                      <w:color w:val="auto"/>
                      <w:szCs w:val="21"/>
                      <w:highlight w:val="none"/>
                      <w:shd w:val="clear"/>
                      <w:lang w:val="en-US" w:eastAsia="zh-CN"/>
                    </w:rPr>
                    <w:t>0t，</w:t>
                  </w:r>
                  <w:r>
                    <w:rPr>
                      <w:rFonts w:hint="eastAsia"/>
                      <w:bCs/>
                      <w:color w:val="auto"/>
                      <w:highlight w:val="none"/>
                      <w:lang w:eastAsia="zh-CN"/>
                    </w:rPr>
                    <w:t>高</w:t>
                  </w:r>
                  <w:r>
                    <w:rPr>
                      <w:rFonts w:hint="eastAsia"/>
                      <w:bCs/>
                      <w:color w:val="auto"/>
                      <w:highlight w:val="none"/>
                      <w:lang w:val="en-US" w:eastAsia="zh-CN"/>
                    </w:rPr>
                    <w:t>度均为20m，直径为13m，</w:t>
                  </w:r>
                  <w:r>
                    <w:rPr>
                      <w:rFonts w:hint="eastAsia" w:cs="Times New Roman"/>
                      <w:bCs/>
                      <w:color w:val="auto"/>
                      <w:szCs w:val="21"/>
                      <w:highlight w:val="none"/>
                      <w:shd w:val="clear"/>
                      <w:lang w:val="en-US" w:eastAsia="zh-CN"/>
                    </w:rPr>
                    <w:t>均为湿粮粮仓</w:t>
                  </w:r>
                </w:p>
              </w:tc>
              <w:tc>
                <w:tcPr>
                  <w:tcW w:w="1235" w:type="dxa"/>
                  <w:tcBorders>
                    <w:bottom w:val="single" w:color="auto" w:sz="4" w:space="0"/>
                  </w:tcBorders>
                  <w:shd w:val="clear" w:color="auto" w:fill="FFFFFF"/>
                  <w:vAlign w:val="center"/>
                </w:tcPr>
                <w:p w14:paraId="662601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利用原有建筑物</w:t>
                  </w:r>
                </w:p>
              </w:tc>
            </w:tr>
            <w:tr w14:paraId="470B861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7" w:hRule="atLeast"/>
                <w:jc w:val="center"/>
              </w:trPr>
              <w:tc>
                <w:tcPr>
                  <w:tcW w:w="375" w:type="dxa"/>
                  <w:vMerge w:val="continue"/>
                  <w:shd w:val="clear" w:color="auto" w:fill="auto"/>
                  <w:vAlign w:val="center"/>
                </w:tcPr>
                <w:p w14:paraId="1AAD141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tcBorders>
                    <w:bottom w:val="single" w:color="auto" w:sz="4" w:space="0"/>
                  </w:tcBorders>
                  <w:shd w:val="clear" w:color="auto" w:fill="FFFFFF"/>
                  <w:vAlign w:val="center"/>
                </w:tcPr>
                <w:p w14:paraId="089BA8ED">
                  <w:pPr>
                    <w:keepNext w:val="0"/>
                    <w:keepLines w:val="0"/>
                    <w:suppressLineNumbers w:val="0"/>
                    <w:spacing w:before="0" w:beforeAutospacing="0" w:after="0" w:afterAutospacing="0" w:line="240" w:lineRule="auto"/>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3#、4#筒仓</w:t>
                  </w:r>
                </w:p>
              </w:tc>
              <w:tc>
                <w:tcPr>
                  <w:tcW w:w="5361" w:type="dxa"/>
                  <w:tcBorders>
                    <w:bottom w:val="single" w:color="auto" w:sz="4" w:space="0"/>
                  </w:tcBorders>
                  <w:shd w:val="clear" w:color="auto" w:fill="FFFFFF"/>
                  <w:vAlign w:val="center"/>
                </w:tcPr>
                <w:p w14:paraId="7899CF9B">
                  <w:pPr>
                    <w:keepNext w:val="0"/>
                    <w:keepLines w:val="0"/>
                    <w:suppressLineNumbers w:val="0"/>
                    <w:spacing w:before="0" w:beforeAutospacing="0" w:after="0" w:afterAutospacing="0" w:line="240" w:lineRule="auto"/>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2个</w:t>
                  </w:r>
                  <w:r>
                    <w:rPr>
                      <w:rFonts w:hint="default" w:ascii="Times New Roman" w:hAnsi="Times New Roman" w:eastAsia="宋体" w:cs="Times New Roman"/>
                      <w:bCs/>
                      <w:color w:val="auto"/>
                      <w:szCs w:val="21"/>
                      <w:highlight w:val="none"/>
                    </w:rPr>
                    <w:t>，</w:t>
                  </w:r>
                  <w:r>
                    <w:rPr>
                      <w:rFonts w:hint="default" w:ascii="Times New Roman" w:hAnsi="Times New Roman" w:eastAsia="宋体" w:cs="Times New Roman"/>
                      <w:bCs/>
                      <w:color w:val="auto"/>
                      <w:szCs w:val="21"/>
                      <w:highlight w:val="none"/>
                      <w:lang w:eastAsia="zh-CN"/>
                    </w:rPr>
                    <w:t>各</w:t>
                  </w:r>
                  <w:r>
                    <w:rPr>
                      <w:rFonts w:hint="default" w:ascii="Times New Roman" w:hAnsi="Times New Roman" w:eastAsia="宋体" w:cs="Times New Roman"/>
                      <w:bCs/>
                      <w:color w:val="auto"/>
                      <w:szCs w:val="21"/>
                      <w:highlight w:val="none"/>
                      <w:lang w:val="en-US" w:eastAsia="zh-CN"/>
                    </w:rPr>
                    <w:t>仓容</w:t>
                  </w:r>
                  <w:r>
                    <w:rPr>
                      <w:rFonts w:hint="eastAsia" w:cs="Times New Roman"/>
                      <w:bCs/>
                      <w:color w:val="auto"/>
                      <w:szCs w:val="21"/>
                      <w:highlight w:val="none"/>
                      <w:lang w:val="en-US" w:eastAsia="zh-CN"/>
                    </w:rPr>
                    <w:t>均为50</w:t>
                  </w:r>
                  <w:r>
                    <w:rPr>
                      <w:rFonts w:hint="default" w:ascii="Times New Roman" w:hAnsi="Times New Roman" w:eastAsia="宋体" w:cs="Times New Roman"/>
                      <w:bCs/>
                      <w:color w:val="auto"/>
                      <w:szCs w:val="21"/>
                      <w:highlight w:val="none"/>
                      <w:lang w:val="en-US" w:eastAsia="zh-CN"/>
                    </w:rPr>
                    <w:t>0t，</w:t>
                  </w:r>
                  <w:r>
                    <w:rPr>
                      <w:rFonts w:hint="eastAsia"/>
                      <w:bCs/>
                      <w:color w:val="auto"/>
                      <w:highlight w:val="none"/>
                      <w:lang w:eastAsia="zh-CN"/>
                    </w:rPr>
                    <w:t>高</w:t>
                  </w:r>
                  <w:r>
                    <w:rPr>
                      <w:rFonts w:hint="eastAsia"/>
                      <w:bCs/>
                      <w:color w:val="auto"/>
                      <w:highlight w:val="none"/>
                      <w:lang w:val="en-US" w:eastAsia="zh-CN"/>
                    </w:rPr>
                    <w:t>度均为14m，直径为7.5m，</w:t>
                  </w:r>
                  <w:r>
                    <w:rPr>
                      <w:rFonts w:hint="eastAsia" w:cs="Times New Roman"/>
                      <w:bCs/>
                      <w:color w:val="auto"/>
                      <w:szCs w:val="21"/>
                      <w:highlight w:val="none"/>
                      <w:lang w:val="en-US" w:eastAsia="zh-CN"/>
                    </w:rPr>
                    <w:t>均为干粮粮仓</w:t>
                  </w:r>
                </w:p>
              </w:tc>
              <w:tc>
                <w:tcPr>
                  <w:tcW w:w="1235" w:type="dxa"/>
                  <w:tcBorders>
                    <w:bottom w:val="single" w:color="auto" w:sz="4" w:space="0"/>
                  </w:tcBorders>
                  <w:shd w:val="clear" w:color="auto" w:fill="FFFFFF"/>
                  <w:vAlign w:val="center"/>
                </w:tcPr>
                <w:p w14:paraId="73751EB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szCs w:val="21"/>
                      <w:highlight w:val="none"/>
                    </w:rPr>
                  </w:pPr>
                  <w:r>
                    <w:rPr>
                      <w:rFonts w:hint="eastAsia" w:cs="Times New Roman"/>
                      <w:bCs/>
                      <w:color w:val="auto"/>
                      <w:szCs w:val="21"/>
                      <w:highlight w:val="none"/>
                      <w:lang w:val="en-US" w:eastAsia="zh-CN"/>
                    </w:rPr>
                    <w:t>利用原有建筑物</w:t>
                  </w:r>
                </w:p>
              </w:tc>
            </w:tr>
            <w:tr w14:paraId="40DAFD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0" w:hRule="atLeast"/>
                <w:jc w:val="center"/>
              </w:trPr>
              <w:tc>
                <w:tcPr>
                  <w:tcW w:w="375" w:type="dxa"/>
                  <w:vMerge w:val="continue"/>
                  <w:shd w:val="clear" w:color="auto" w:fill="auto"/>
                  <w:vAlign w:val="center"/>
                </w:tcPr>
                <w:p w14:paraId="22F60B2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tcBorders>
                    <w:top w:val="single" w:color="auto" w:sz="4" w:space="0"/>
                  </w:tcBorders>
                  <w:shd w:val="clear" w:color="auto" w:fill="FFFFFF"/>
                  <w:vAlign w:val="center"/>
                </w:tcPr>
                <w:p w14:paraId="3CB03160">
                  <w:pPr>
                    <w:keepNext w:val="0"/>
                    <w:keepLines w:val="0"/>
                    <w:suppressLineNumbers w:val="0"/>
                    <w:spacing w:before="0" w:beforeAutospacing="0" w:after="0" w:afterAutospacing="0" w:line="240" w:lineRule="auto"/>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危险废物贮存库</w:t>
                  </w:r>
                </w:p>
              </w:tc>
              <w:tc>
                <w:tcPr>
                  <w:tcW w:w="5361" w:type="dxa"/>
                  <w:tcBorders>
                    <w:top w:val="single" w:color="auto" w:sz="4" w:space="0"/>
                  </w:tcBorders>
                  <w:shd w:val="clear" w:color="auto" w:fill="FFFFFF"/>
                  <w:vAlign w:val="center"/>
                </w:tcPr>
                <w:p w14:paraId="27298E3C">
                  <w:pPr>
                    <w:keepNext w:val="0"/>
                    <w:keepLines w:val="0"/>
                    <w:suppressLineNumbers w:val="0"/>
                    <w:spacing w:before="0" w:beforeAutospacing="0" w:after="0" w:afterAutospacing="0" w:line="240" w:lineRule="auto"/>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在灰渣间东侧设置3m</w:t>
                  </w:r>
                  <w:r>
                    <w:rPr>
                      <w:rFonts w:hint="eastAsia" w:cs="Times New Roman"/>
                      <w:bCs/>
                      <w:color w:val="auto"/>
                      <w:szCs w:val="21"/>
                      <w:highlight w:val="none"/>
                      <w:vertAlign w:val="superscript"/>
                      <w:lang w:val="en-US" w:eastAsia="zh-CN"/>
                    </w:rPr>
                    <w:t>2</w:t>
                  </w:r>
                  <w:r>
                    <w:rPr>
                      <w:rFonts w:hint="eastAsia" w:cs="Times New Roman"/>
                      <w:bCs/>
                      <w:color w:val="auto"/>
                      <w:szCs w:val="21"/>
                      <w:highlight w:val="none"/>
                      <w:lang w:val="en-US" w:eastAsia="zh-CN"/>
                    </w:rPr>
                    <w:t>危险废物贮存库，设置标识、危险废物贮存库地面采用水泥面硬化，地面基础、裙脚必须防渗，防渗层为2mm厚高密度聚乙烯防渗，渗透系数≤1×10</w:t>
                  </w:r>
                  <w:r>
                    <w:rPr>
                      <w:rFonts w:hint="eastAsia" w:cs="Times New Roman"/>
                      <w:bCs/>
                      <w:color w:val="auto"/>
                      <w:szCs w:val="21"/>
                      <w:highlight w:val="none"/>
                      <w:vertAlign w:val="superscript"/>
                      <w:lang w:val="en-US" w:eastAsia="zh-CN"/>
                    </w:rPr>
                    <w:t>-10</w:t>
                  </w:r>
                  <w:r>
                    <w:rPr>
                      <w:rFonts w:hint="eastAsia" w:cs="Times New Roman"/>
                      <w:bCs/>
                      <w:color w:val="auto"/>
                      <w:szCs w:val="21"/>
                      <w:highlight w:val="none"/>
                      <w:lang w:val="en-US" w:eastAsia="zh-CN"/>
                    </w:rPr>
                    <w:t>cm/s，符合《危险废物贮存污染控制标准》(GB18597-2023)要求，用于储</w:t>
                  </w:r>
                  <w:r>
                    <w:rPr>
                      <w:rFonts w:hint="eastAsia" w:ascii="Times New Roman" w:hAnsi="Times New Roman" w:eastAsia="宋体" w:cs="Times New Roman"/>
                      <w:bCs/>
                      <w:color w:val="auto"/>
                      <w:szCs w:val="21"/>
                      <w:highlight w:val="none"/>
                      <w:lang w:val="en-US" w:eastAsia="zh-CN"/>
                    </w:rPr>
                    <w:t>存含油手套和抹布、废</w:t>
                  </w:r>
                  <w:r>
                    <w:rPr>
                      <w:rFonts w:hint="eastAsia" w:cs="Times New Roman"/>
                      <w:bCs/>
                      <w:color w:val="auto"/>
                      <w:szCs w:val="21"/>
                      <w:highlight w:val="none"/>
                      <w:lang w:val="en-US" w:eastAsia="zh-CN"/>
                    </w:rPr>
                    <w:t>润滑油及废润滑油油桶。废润滑油全部盛装于密封完好油桶内，拧紧密封；</w:t>
                  </w:r>
                  <w:r>
                    <w:rPr>
                      <w:rFonts w:hint="eastAsia" w:ascii="Times New Roman" w:hAnsi="Times New Roman" w:eastAsia="宋体" w:cs="Times New Roman"/>
                      <w:bCs/>
                      <w:color w:val="auto"/>
                      <w:szCs w:val="21"/>
                      <w:highlight w:val="none"/>
                      <w:lang w:val="en-US" w:eastAsia="zh-CN"/>
                    </w:rPr>
                    <w:t>含油手套和抹布统一存放在</w:t>
                  </w:r>
                  <w:r>
                    <w:rPr>
                      <w:rFonts w:hint="eastAsia" w:cs="Times New Roman"/>
                      <w:bCs/>
                      <w:color w:val="auto"/>
                      <w:szCs w:val="21"/>
                      <w:highlight w:val="none"/>
                      <w:lang w:val="en-US" w:eastAsia="zh-CN"/>
                    </w:rPr>
                    <w:t>密封完好塑料桶内；废润滑油油桶倒扣密闭存放，全程无漏天、敞口贮存。不属于仅贮存易产生粉尘、VOCs、酸雾、有毒有害废气、刺激性废气的危废仓库，因此，不建设配套的废气收集 + 净化处理设施。</w:t>
                  </w:r>
                </w:p>
              </w:tc>
              <w:tc>
                <w:tcPr>
                  <w:tcW w:w="1235" w:type="dxa"/>
                  <w:tcBorders>
                    <w:top w:val="single" w:color="auto" w:sz="4" w:space="0"/>
                  </w:tcBorders>
                  <w:shd w:val="clear" w:color="auto" w:fill="FFFFFF"/>
                  <w:vAlign w:val="center"/>
                </w:tcPr>
                <w:p w14:paraId="6695C9DF">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新建</w:t>
                  </w:r>
                </w:p>
              </w:tc>
            </w:tr>
            <w:tr w14:paraId="59CC71A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0" w:hRule="atLeast"/>
                <w:jc w:val="center"/>
              </w:trPr>
              <w:tc>
                <w:tcPr>
                  <w:tcW w:w="375" w:type="dxa"/>
                  <w:vMerge w:val="continue"/>
                  <w:shd w:val="clear" w:color="auto" w:fill="auto"/>
                  <w:vAlign w:val="center"/>
                </w:tcPr>
                <w:p w14:paraId="154DFF3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tcBorders>
                    <w:top w:val="single" w:color="auto" w:sz="4" w:space="0"/>
                  </w:tcBorders>
                  <w:shd w:val="clear" w:color="auto" w:fill="FFFFFF"/>
                  <w:vAlign w:val="center"/>
                </w:tcPr>
                <w:p w14:paraId="1B6B644E">
                  <w:pPr>
                    <w:keepNext w:val="0"/>
                    <w:keepLines w:val="0"/>
                    <w:suppressLineNumbers w:val="0"/>
                    <w:spacing w:before="0" w:beforeAutospacing="0" w:after="0" w:afterAutospacing="0" w:line="240" w:lineRule="auto"/>
                    <w:ind w:left="0" w:leftChars="0" w:right="0" w:rightChars="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原料堆场</w:t>
                  </w:r>
                </w:p>
              </w:tc>
              <w:tc>
                <w:tcPr>
                  <w:tcW w:w="5361" w:type="dxa"/>
                  <w:tcBorders>
                    <w:top w:val="single" w:color="auto" w:sz="4" w:space="0"/>
                  </w:tcBorders>
                  <w:shd w:val="clear" w:color="auto" w:fill="FFFFFF"/>
                  <w:vAlign w:val="center"/>
                </w:tcPr>
                <w:p w14:paraId="2BAF7A55">
                  <w:pPr>
                    <w:keepNext w:val="0"/>
                    <w:keepLines w:val="0"/>
                    <w:suppressLineNumbers w:val="0"/>
                    <w:spacing w:before="0" w:beforeAutospacing="0" w:after="0" w:afterAutospacing="0" w:line="240" w:lineRule="auto"/>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建设一座硬化地面原料堆场，占地面积13</w:t>
                  </w:r>
                  <w:r>
                    <w:rPr>
                      <w:rFonts w:hint="default" w:cs="Times New Roman"/>
                      <w:bCs/>
                      <w:color w:val="auto"/>
                      <w:szCs w:val="21"/>
                      <w:highlight w:val="none"/>
                      <w:lang w:val="en-US" w:eastAsia="zh-CN"/>
                    </w:rPr>
                    <w:t>00m</w:t>
                  </w:r>
                  <w:r>
                    <w:rPr>
                      <w:rFonts w:hint="default" w:cs="Times New Roman"/>
                      <w:bCs/>
                      <w:color w:val="auto"/>
                      <w:szCs w:val="21"/>
                      <w:highlight w:val="none"/>
                      <w:vertAlign w:val="superscript"/>
                      <w:lang w:val="en-US" w:eastAsia="zh-CN"/>
                    </w:rPr>
                    <w:t>2</w:t>
                  </w:r>
                  <w:r>
                    <w:rPr>
                      <w:rFonts w:hint="eastAsia" w:cs="Times New Roman"/>
                      <w:bCs/>
                      <w:color w:val="auto"/>
                      <w:szCs w:val="21"/>
                      <w:highlight w:val="none"/>
                      <w:lang w:val="en-US" w:eastAsia="zh-CN"/>
                    </w:rPr>
                    <w:t>，用于储存原粮，最大存放能力约为8320</w:t>
                  </w:r>
                  <w:r>
                    <w:rPr>
                      <w:rFonts w:hint="default" w:cs="Times New Roman"/>
                      <w:bCs/>
                      <w:color w:val="auto"/>
                      <w:szCs w:val="21"/>
                      <w:highlight w:val="none"/>
                      <w:lang w:val="en-US" w:eastAsia="zh-CN"/>
                    </w:rPr>
                    <w:t>t</w:t>
                  </w:r>
                  <w:r>
                    <w:rPr>
                      <w:rFonts w:hint="eastAsia" w:cs="Times New Roman"/>
                      <w:bCs/>
                      <w:color w:val="auto"/>
                      <w:szCs w:val="21"/>
                      <w:highlight w:val="none"/>
                      <w:lang w:val="en-US" w:eastAsia="zh-CN"/>
                    </w:rPr>
                    <w:t>，高度最高取</w:t>
                  </w:r>
                  <w:r>
                    <w:rPr>
                      <w:rFonts w:hint="default" w:cs="Times New Roman"/>
                      <w:bCs/>
                      <w:color w:val="auto"/>
                      <w:szCs w:val="21"/>
                      <w:highlight w:val="none"/>
                      <w:lang w:val="en-US" w:eastAsia="zh-CN"/>
                    </w:rPr>
                    <w:t>10</w:t>
                  </w:r>
                  <w:r>
                    <w:rPr>
                      <w:rFonts w:hint="eastAsia" w:cs="Times New Roman"/>
                      <w:bCs/>
                      <w:color w:val="auto"/>
                      <w:szCs w:val="21"/>
                      <w:highlight w:val="none"/>
                      <w:lang w:val="en-US" w:eastAsia="zh-CN"/>
                    </w:rPr>
                    <w:t>米，原料堆场加盖苫布，设置防风抑尘网（高度</w:t>
                  </w:r>
                  <w:r>
                    <w:rPr>
                      <w:rFonts w:hint="default" w:cs="Times New Roman"/>
                      <w:bCs/>
                      <w:color w:val="auto"/>
                      <w:szCs w:val="21"/>
                      <w:highlight w:val="none"/>
                      <w:lang w:val="en-US" w:eastAsia="zh-CN"/>
                    </w:rPr>
                    <w:t>12m</w:t>
                  </w:r>
                  <w:r>
                    <w:rPr>
                      <w:rFonts w:hint="eastAsia" w:cs="Times New Roman"/>
                      <w:bCs/>
                      <w:color w:val="auto"/>
                      <w:szCs w:val="21"/>
                      <w:highlight w:val="none"/>
                      <w:lang w:val="en-US" w:eastAsia="zh-CN"/>
                    </w:rPr>
                    <w:t>，长约145m）。</w:t>
                  </w:r>
                </w:p>
              </w:tc>
              <w:tc>
                <w:tcPr>
                  <w:tcW w:w="1235" w:type="dxa"/>
                  <w:tcBorders>
                    <w:top w:val="single" w:color="auto" w:sz="4" w:space="0"/>
                  </w:tcBorders>
                  <w:shd w:val="clear" w:color="auto" w:fill="FFFFFF"/>
                  <w:vAlign w:val="center"/>
                </w:tcPr>
                <w:p w14:paraId="73D69FA5">
                  <w:pPr>
                    <w:keepNext w:val="0"/>
                    <w:keepLines w:val="0"/>
                    <w:suppressLineNumbers w:val="0"/>
                    <w:spacing w:before="0" w:beforeAutospacing="0" w:after="0" w:afterAutospacing="0" w:line="240" w:lineRule="auto"/>
                    <w:ind w:left="0" w:right="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依托原有</w:t>
                  </w:r>
                </w:p>
              </w:tc>
            </w:tr>
            <w:tr w14:paraId="372F92E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01" w:hRule="atLeast"/>
                <w:jc w:val="center"/>
              </w:trPr>
              <w:tc>
                <w:tcPr>
                  <w:tcW w:w="375" w:type="dxa"/>
                  <w:vMerge w:val="restart"/>
                  <w:vAlign w:val="center"/>
                </w:tcPr>
                <w:p w14:paraId="695BF0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公用工程</w:t>
                  </w:r>
                </w:p>
              </w:tc>
              <w:tc>
                <w:tcPr>
                  <w:tcW w:w="1040" w:type="dxa"/>
                  <w:vAlign w:val="center"/>
                </w:tcPr>
                <w:p w14:paraId="628ACB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供水</w:t>
                  </w:r>
                </w:p>
              </w:tc>
              <w:tc>
                <w:tcPr>
                  <w:tcW w:w="5361" w:type="dxa"/>
                  <w:vAlign w:val="center"/>
                </w:tcPr>
                <w:p w14:paraId="310B17B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外购桶装水</w:t>
                  </w:r>
                </w:p>
              </w:tc>
              <w:tc>
                <w:tcPr>
                  <w:tcW w:w="1235" w:type="dxa"/>
                  <w:vAlign w:val="center"/>
                </w:tcPr>
                <w:p w14:paraId="31451B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依托</w:t>
                  </w:r>
                </w:p>
              </w:tc>
            </w:tr>
            <w:tr w14:paraId="2B38C1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7" w:hRule="atLeast"/>
                <w:jc w:val="center"/>
              </w:trPr>
              <w:tc>
                <w:tcPr>
                  <w:tcW w:w="375" w:type="dxa"/>
                  <w:vMerge w:val="continue"/>
                  <w:shd w:val="clear" w:color="auto" w:fill="auto"/>
                  <w:vAlign w:val="center"/>
                </w:tcPr>
                <w:p w14:paraId="7AE91C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shd w:val="clear" w:color="auto" w:fill="FFFFFF"/>
                  <w:vAlign w:val="center"/>
                </w:tcPr>
                <w:p w14:paraId="30F4DC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排水</w:t>
                  </w:r>
                </w:p>
              </w:tc>
              <w:tc>
                <w:tcPr>
                  <w:tcW w:w="5361" w:type="dxa"/>
                  <w:shd w:val="clear" w:color="auto" w:fill="FFFFFF"/>
                  <w:vAlign w:val="center"/>
                </w:tcPr>
                <w:p w14:paraId="78743E8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本项目无生产用水，生活污水排入防渗旱厕</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定期清掏</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外运堆肥。</w:t>
                  </w:r>
                </w:p>
              </w:tc>
              <w:tc>
                <w:tcPr>
                  <w:tcW w:w="1235" w:type="dxa"/>
                  <w:shd w:val="clear" w:color="auto" w:fill="FFFFFF"/>
                  <w:vAlign w:val="center"/>
                </w:tcPr>
                <w:p w14:paraId="5749BC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依托</w:t>
                  </w:r>
                </w:p>
              </w:tc>
            </w:tr>
            <w:tr w14:paraId="3124A8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57" w:hRule="atLeast"/>
                <w:jc w:val="center"/>
              </w:trPr>
              <w:tc>
                <w:tcPr>
                  <w:tcW w:w="375" w:type="dxa"/>
                  <w:vMerge w:val="continue"/>
                  <w:shd w:val="clear" w:color="auto" w:fill="auto"/>
                  <w:vAlign w:val="center"/>
                </w:tcPr>
                <w:p w14:paraId="671158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shd w:val="clear" w:color="auto" w:fill="FFFFFF"/>
                  <w:vAlign w:val="center"/>
                </w:tcPr>
                <w:p w14:paraId="711532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供热</w:t>
                  </w:r>
                </w:p>
              </w:tc>
              <w:tc>
                <w:tcPr>
                  <w:tcW w:w="5361" w:type="dxa"/>
                  <w:shd w:val="clear" w:color="auto" w:fill="FFFFFF"/>
                  <w:vAlign w:val="center"/>
                </w:tcPr>
                <w:p w14:paraId="2D82BA0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Cs w:val="21"/>
                      <w:highlight w:val="none"/>
                    </w:rPr>
                    <w:t>生产供热由新建一台</w:t>
                  </w:r>
                  <w:r>
                    <w:rPr>
                      <w:rFonts w:hint="eastAsia" w:cs="Times New Roman"/>
                      <w:color w:val="auto"/>
                      <w:szCs w:val="21"/>
                      <w:highlight w:val="none"/>
                      <w:lang w:val="en-US" w:eastAsia="zh-CN"/>
                    </w:rPr>
                    <w:t>900万kcal/h</w:t>
                  </w:r>
                  <w:r>
                    <w:rPr>
                      <w:rFonts w:hint="default" w:ascii="Times New Roman" w:hAnsi="Times New Roman" w:eastAsia="宋体" w:cs="Times New Roman"/>
                      <w:color w:val="auto"/>
                      <w:szCs w:val="21"/>
                      <w:highlight w:val="none"/>
                    </w:rPr>
                    <w:t>燃生物质热风炉提供，</w:t>
                  </w:r>
                  <w:r>
                    <w:rPr>
                      <w:rFonts w:hint="default" w:ascii="Times New Roman" w:hAnsi="Times New Roman" w:eastAsia="宋体" w:cs="Times New Roman"/>
                      <w:bCs/>
                      <w:color w:val="auto"/>
                      <w:szCs w:val="21"/>
                      <w:highlight w:val="none"/>
                    </w:rPr>
                    <w:t>燃用生物质成型燃料，</w:t>
                  </w:r>
                  <w:r>
                    <w:rPr>
                      <w:rFonts w:hint="default" w:ascii="Times New Roman" w:hAnsi="Times New Roman" w:eastAsia="宋体" w:cs="Times New Roman"/>
                      <w:color w:val="auto"/>
                      <w:szCs w:val="21"/>
                      <w:highlight w:val="none"/>
                    </w:rPr>
                    <w:t>生物质成型燃料消耗量为</w:t>
                  </w:r>
                  <w:r>
                    <w:rPr>
                      <w:rFonts w:hint="eastAsia" w:cs="Times New Roman"/>
                      <w:color w:val="auto"/>
                      <w:szCs w:val="21"/>
                      <w:highlight w:val="none"/>
                      <w:lang w:val="en-US" w:eastAsia="zh-CN"/>
                    </w:rPr>
                    <w:t>3187</w:t>
                  </w:r>
                  <w:r>
                    <w:rPr>
                      <w:rFonts w:hint="default" w:ascii="Times New Roman" w:hAnsi="Times New Roman" w:eastAsia="宋体" w:cs="Times New Roman"/>
                      <w:color w:val="auto"/>
                      <w:szCs w:val="21"/>
                      <w:highlight w:val="none"/>
                    </w:rPr>
                    <w:t>t/a，烟囱高</w:t>
                  </w:r>
                  <w:r>
                    <w:rPr>
                      <w:rFonts w:hint="eastAsia" w:cs="Times New Roman"/>
                      <w:color w:val="auto"/>
                      <w:szCs w:val="21"/>
                      <w:highlight w:val="none"/>
                      <w:lang w:val="en-US" w:eastAsia="zh-CN"/>
                    </w:rPr>
                    <w:t>30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办公室</w:t>
                  </w:r>
                  <w:r>
                    <w:rPr>
                      <w:rFonts w:hint="default" w:ascii="Times New Roman" w:hAnsi="Times New Roman" w:eastAsia="宋体" w:cs="Times New Roman"/>
                      <w:color w:val="auto"/>
                      <w:highlight w:val="none"/>
                      <w:lang w:val="en-US" w:eastAsia="zh-CN"/>
                    </w:rPr>
                    <w:t>冬季供暖为电供暖</w:t>
                  </w:r>
                </w:p>
              </w:tc>
              <w:tc>
                <w:tcPr>
                  <w:tcW w:w="1235" w:type="dxa"/>
                  <w:shd w:val="clear" w:color="auto" w:fill="FFFFFF"/>
                  <w:vAlign w:val="center"/>
                </w:tcPr>
                <w:p w14:paraId="22097D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新建</w:t>
                  </w:r>
                </w:p>
              </w:tc>
            </w:tr>
            <w:tr w14:paraId="0720CCC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continue"/>
                  <w:shd w:val="clear" w:color="auto" w:fill="auto"/>
                  <w:vAlign w:val="center"/>
                </w:tcPr>
                <w:p w14:paraId="64882D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shd w:val="clear" w:color="auto" w:fill="FFFFFF"/>
                  <w:vAlign w:val="center"/>
                </w:tcPr>
                <w:p w14:paraId="6ACEAE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供电</w:t>
                  </w:r>
                </w:p>
              </w:tc>
              <w:tc>
                <w:tcPr>
                  <w:tcW w:w="5361" w:type="dxa"/>
                  <w:shd w:val="clear" w:color="auto" w:fill="FFFFFF"/>
                  <w:vAlign w:val="center"/>
                </w:tcPr>
                <w:p w14:paraId="44A225B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用电由所在地供电电网提供</w:t>
                  </w:r>
                </w:p>
              </w:tc>
              <w:tc>
                <w:tcPr>
                  <w:tcW w:w="1235" w:type="dxa"/>
                  <w:shd w:val="clear" w:color="auto" w:fill="FFFFFF"/>
                  <w:vAlign w:val="center"/>
                </w:tcPr>
                <w:p w14:paraId="2377F3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依托</w:t>
                  </w:r>
                </w:p>
              </w:tc>
            </w:tr>
            <w:tr w14:paraId="29FC144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472" w:hRule="atLeast"/>
                <w:jc w:val="center"/>
              </w:trPr>
              <w:tc>
                <w:tcPr>
                  <w:tcW w:w="375" w:type="dxa"/>
                  <w:vMerge w:val="restart"/>
                  <w:vAlign w:val="center"/>
                </w:tcPr>
                <w:p w14:paraId="28692B8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环保工程</w:t>
                  </w:r>
                </w:p>
              </w:tc>
              <w:tc>
                <w:tcPr>
                  <w:tcW w:w="1040" w:type="dxa"/>
                  <w:vAlign w:val="center"/>
                </w:tcPr>
                <w:p w14:paraId="0CA1C3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废气防治措施</w:t>
                  </w:r>
                </w:p>
              </w:tc>
              <w:tc>
                <w:tcPr>
                  <w:tcW w:w="5361" w:type="dxa"/>
                  <w:vAlign w:val="center"/>
                </w:tcPr>
                <w:p w14:paraId="1D32691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本项目产生的废气主要包括有组织排放废气（热风炉废气）和无组织排放废气（包括装卸工段废气，筛</w:t>
                  </w:r>
                  <w:r>
                    <w:rPr>
                      <w:rFonts w:hint="default" w:ascii="Times New Roman" w:hAnsi="Times New Roman" w:eastAsia="宋体" w:cs="Times New Roman"/>
                      <w:color w:val="auto"/>
                      <w:szCs w:val="21"/>
                      <w:highlight w:val="none"/>
                      <w:lang w:val="en-US" w:eastAsia="zh-CN"/>
                    </w:rPr>
                    <w:t>分</w:t>
                  </w:r>
                  <w:r>
                    <w:rPr>
                      <w:rFonts w:hint="default" w:ascii="Times New Roman" w:hAnsi="Times New Roman" w:eastAsia="宋体" w:cs="Times New Roman"/>
                      <w:color w:val="auto"/>
                      <w:szCs w:val="21"/>
                      <w:highlight w:val="none"/>
                    </w:rPr>
                    <w:t>工段废气，烘干工段废气）。</w:t>
                  </w:r>
                </w:p>
                <w:p w14:paraId="4932437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1.装卸废气</w:t>
                  </w:r>
                </w:p>
                <w:p w14:paraId="6B453BC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原粮</w:t>
                  </w:r>
                  <w:r>
                    <w:rPr>
                      <w:rFonts w:hint="default" w:ascii="Times New Roman" w:hAnsi="Times New Roman" w:eastAsia="宋体" w:cs="Times New Roman"/>
                      <w:color w:val="auto"/>
                      <w:szCs w:val="21"/>
                      <w:highlight w:val="none"/>
                    </w:rPr>
                    <w:t>装卸过程通过设置临时围挡，减小装卸高度等措施进行降尘，粉尘排放量约减少</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0%。输送过程采用封闭输送带进行输送，减少粉尘的产生。</w:t>
                  </w:r>
                </w:p>
                <w:p w14:paraId="3DA4414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2.筛选工段废气</w:t>
                  </w:r>
                </w:p>
                <w:p w14:paraId="2FEEC98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原粮</w:t>
                  </w:r>
                  <w:r>
                    <w:rPr>
                      <w:rFonts w:hint="default" w:ascii="Times New Roman" w:hAnsi="Times New Roman" w:eastAsia="宋体" w:cs="Times New Roman"/>
                      <w:color w:val="auto"/>
                      <w:szCs w:val="21"/>
                      <w:highlight w:val="none"/>
                    </w:rPr>
                    <w:t>筛选过程中会有粉尘产生，采用</w:t>
                  </w:r>
                  <w:r>
                    <w:rPr>
                      <w:rFonts w:hint="default" w:ascii="Times New Roman" w:hAnsi="Times New Roman" w:eastAsia="宋体" w:cs="Times New Roman"/>
                      <w:color w:val="auto"/>
                      <w:szCs w:val="21"/>
                      <w:highlight w:val="none"/>
                      <w:lang w:val="en-US" w:eastAsia="zh-CN"/>
                    </w:rPr>
                    <w:t>密闭式滚筒筛</w:t>
                  </w:r>
                  <w:r>
                    <w:rPr>
                      <w:rFonts w:hint="default" w:ascii="Times New Roman" w:hAnsi="Times New Roman" w:eastAsia="宋体" w:cs="Times New Roman"/>
                      <w:color w:val="auto"/>
                      <w:szCs w:val="21"/>
                      <w:highlight w:val="none"/>
                    </w:rPr>
                    <w:t>，原粮筛分粉尘排放量约为产生量的10%，粉尘以无组织方式排放。</w:t>
                  </w:r>
                </w:p>
                <w:p w14:paraId="49E52CC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3.烘干工段废气</w:t>
                  </w:r>
                </w:p>
                <w:p w14:paraId="5747AF3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原粮</w:t>
                  </w:r>
                  <w:r>
                    <w:rPr>
                      <w:rFonts w:hint="default" w:ascii="Times New Roman" w:hAnsi="Times New Roman" w:eastAsia="宋体" w:cs="Times New Roman"/>
                      <w:color w:val="auto"/>
                      <w:szCs w:val="21"/>
                      <w:highlight w:val="none"/>
                    </w:rPr>
                    <w:t>烘干过程中会有粉尘产生，烘干塔塔体两侧排气孔设置折流挡板</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粉尘顺着折流挡板滑落至塔下集灰槽，定期</w:t>
                  </w:r>
                  <w:r>
                    <w:rPr>
                      <w:rFonts w:hint="eastAsia" w:ascii="Times New Roman" w:hAnsi="Times New Roman" w:eastAsia="宋体" w:cs="Times New Roman"/>
                      <w:color w:val="auto"/>
                      <w:szCs w:val="21"/>
                      <w:highlight w:val="none"/>
                      <w:lang w:val="en-US" w:eastAsia="zh-CN"/>
                    </w:rPr>
                    <w:t>收集</w:t>
                  </w:r>
                  <w:r>
                    <w:rPr>
                      <w:rFonts w:hint="default" w:ascii="Times New Roman" w:hAnsi="Times New Roman" w:eastAsia="宋体" w:cs="Times New Roman"/>
                      <w:color w:val="auto"/>
                      <w:szCs w:val="21"/>
                      <w:highlight w:val="none"/>
                    </w:rPr>
                    <w:t>外售综合利用</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，塔顶排气孔设滤尘网，根据企业提供数据，除尘效率可达70%，可有效阻止粉尘无组织排放。</w:t>
                  </w:r>
                </w:p>
                <w:p w14:paraId="1FB61C2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4.热风炉废气</w:t>
                  </w:r>
                </w:p>
                <w:p w14:paraId="05B8389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热风炉废气经布袋除尘器（除尘效率</w:t>
                  </w:r>
                  <w:r>
                    <w:rPr>
                      <w:rFonts w:hint="eastAsia" w:cs="Times New Roman"/>
                      <w:color w:val="auto"/>
                      <w:szCs w:val="21"/>
                      <w:highlight w:val="none"/>
                      <w:lang w:eastAsia="zh-CN"/>
                    </w:rPr>
                    <w:t>99.5%</w:t>
                  </w:r>
                  <w:r>
                    <w:rPr>
                      <w:rFonts w:hint="default" w:ascii="Times New Roman" w:hAnsi="Times New Roman" w:eastAsia="宋体" w:cs="Times New Roman"/>
                      <w:color w:val="auto"/>
                      <w:szCs w:val="21"/>
                      <w:highlight w:val="none"/>
                    </w:rPr>
                    <w:t>）除尘后，经</w:t>
                  </w:r>
                  <w:r>
                    <w:rPr>
                      <w:rFonts w:hint="eastAsia" w:cs="Times New Roman"/>
                      <w:color w:val="auto"/>
                      <w:szCs w:val="21"/>
                      <w:highlight w:val="none"/>
                      <w:lang w:val="en-US" w:eastAsia="zh-CN"/>
                    </w:rPr>
                    <w:t>30</w:t>
                  </w:r>
                  <w:r>
                    <w:rPr>
                      <w:rFonts w:hint="default" w:ascii="Times New Roman" w:hAnsi="Times New Roman" w:eastAsia="宋体" w:cs="Times New Roman"/>
                      <w:color w:val="auto"/>
                      <w:szCs w:val="21"/>
                      <w:highlight w:val="none"/>
                    </w:rPr>
                    <w:t>m高烟囱高空排放。</w:t>
                  </w:r>
                </w:p>
                <w:p w14:paraId="25768449">
                  <w:pPr>
                    <w:keepNext w:val="0"/>
                    <w:keepLines w:val="0"/>
                    <w:widowControl/>
                    <w:numPr>
                      <w:ilvl w:val="0"/>
                      <w:numId w:val="6"/>
                    </w:numPr>
                    <w:suppressLineNumbers w:val="0"/>
                    <w:spacing w:before="0" w:beforeAutospacing="0" w:after="0" w:afterAutospacing="0" w:line="240" w:lineRule="auto"/>
                    <w:ind w:left="0" w:right="0"/>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原料堆场废气</w:t>
                  </w:r>
                </w:p>
                <w:p w14:paraId="2E67D62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highlight w:val="none"/>
                    </w:rPr>
                  </w:pPr>
                  <w:r>
                    <w:rPr>
                      <w:rFonts w:hint="eastAsia" w:ascii="Times New Roman" w:hAnsi="Times New Roman" w:eastAsia="宋体" w:cs="Times New Roman"/>
                      <w:color w:val="auto"/>
                      <w:szCs w:val="21"/>
                      <w:highlight w:val="none"/>
                      <w:lang w:val="en-US" w:eastAsia="zh-CN"/>
                    </w:rPr>
                    <w:t>对原粮表面进行苫盖，设置防风抑尘网</w:t>
                  </w:r>
                  <w:r>
                    <w:rPr>
                      <w:rFonts w:hint="eastAsia" w:cs="Times New Roman"/>
                      <w:color w:val="auto"/>
                      <w:szCs w:val="21"/>
                      <w:highlight w:val="none"/>
                      <w:lang w:eastAsia="zh-CN"/>
                    </w:rPr>
                    <w:t>。</w:t>
                  </w:r>
                  <w:r>
                    <w:rPr>
                      <w:rFonts w:hint="default"/>
                      <w:color w:val="auto"/>
                      <w:sz w:val="21"/>
                      <w:szCs w:val="21"/>
                      <w:highlight w:val="none"/>
                    </w:rPr>
                    <w:t>采取上述措施后，本项目</w:t>
                  </w:r>
                  <w:r>
                    <w:rPr>
                      <w:rFonts w:hint="eastAsia"/>
                      <w:color w:val="auto"/>
                      <w:sz w:val="21"/>
                      <w:szCs w:val="21"/>
                      <w:highlight w:val="none"/>
                    </w:rPr>
                    <w:t>厂界颗粒物</w:t>
                  </w:r>
                  <w:r>
                    <w:rPr>
                      <w:rFonts w:hint="default"/>
                      <w:color w:val="auto"/>
                      <w:sz w:val="21"/>
                      <w:szCs w:val="21"/>
                      <w:highlight w:val="none"/>
                    </w:rPr>
                    <w:t>排放浓度满足《大气污染物综合排放标准》（GB16297-1996）表2无组织排放浓度限值要求。</w:t>
                  </w:r>
                </w:p>
              </w:tc>
              <w:tc>
                <w:tcPr>
                  <w:tcW w:w="1235" w:type="dxa"/>
                  <w:vAlign w:val="center"/>
                </w:tcPr>
                <w:p w14:paraId="2FA8E9A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新建</w:t>
                  </w:r>
                </w:p>
              </w:tc>
            </w:tr>
            <w:tr w14:paraId="2473866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698" w:hRule="atLeast"/>
                <w:jc w:val="center"/>
              </w:trPr>
              <w:tc>
                <w:tcPr>
                  <w:tcW w:w="375" w:type="dxa"/>
                  <w:vMerge w:val="continue"/>
                  <w:vAlign w:val="center"/>
                </w:tcPr>
                <w:p w14:paraId="0C94DD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vAlign w:val="center"/>
                </w:tcPr>
                <w:p w14:paraId="7F532A1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噪声防治措施</w:t>
                  </w:r>
                </w:p>
              </w:tc>
              <w:tc>
                <w:tcPr>
                  <w:tcW w:w="5361" w:type="dxa"/>
                  <w:vAlign w:val="center"/>
                </w:tcPr>
                <w:p w14:paraId="799AEF7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选用低噪声设备，采取隔声、减振等措施，热风炉房密闭等措施，厂界满足《工业企业厂界环境噪声排放标准》（GB12348-2008）中2类标准限值要求</w:t>
                  </w:r>
                </w:p>
              </w:tc>
              <w:tc>
                <w:tcPr>
                  <w:tcW w:w="1235" w:type="dxa"/>
                  <w:vAlign w:val="center"/>
                </w:tcPr>
                <w:p w14:paraId="4EA567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新建</w:t>
                  </w:r>
                </w:p>
              </w:tc>
            </w:tr>
            <w:tr w14:paraId="04B9255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75" w:type="dxa"/>
                  <w:vMerge w:val="continue"/>
                  <w:vAlign w:val="center"/>
                </w:tcPr>
                <w:p w14:paraId="57A03D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vAlign w:val="center"/>
                </w:tcPr>
                <w:p w14:paraId="50A862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废水防治措施</w:t>
                  </w:r>
                </w:p>
              </w:tc>
              <w:tc>
                <w:tcPr>
                  <w:tcW w:w="5361" w:type="dxa"/>
                  <w:vAlign w:val="center"/>
                </w:tcPr>
                <w:p w14:paraId="081378A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本项目无生产用水，生活污水排入防渗旱厕，定期清掏，外运堆肥</w:t>
                  </w:r>
                </w:p>
              </w:tc>
              <w:tc>
                <w:tcPr>
                  <w:tcW w:w="1235" w:type="dxa"/>
                  <w:vAlign w:val="center"/>
                </w:tcPr>
                <w:p w14:paraId="5E0B91D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依托</w:t>
                  </w:r>
                </w:p>
              </w:tc>
            </w:tr>
            <w:tr w14:paraId="216117C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073" w:hRule="atLeast"/>
                <w:jc w:val="center"/>
              </w:trPr>
              <w:tc>
                <w:tcPr>
                  <w:tcW w:w="375" w:type="dxa"/>
                  <w:vMerge w:val="continue"/>
                  <w:vAlign w:val="center"/>
                </w:tcPr>
                <w:p w14:paraId="37E3D4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1040" w:type="dxa"/>
                  <w:vAlign w:val="center"/>
                </w:tcPr>
                <w:p w14:paraId="7D2AA9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固体废物防治措施</w:t>
                  </w:r>
                </w:p>
              </w:tc>
              <w:tc>
                <w:tcPr>
                  <w:tcW w:w="5361" w:type="dxa"/>
                  <w:vAlign w:val="center"/>
                </w:tcPr>
                <w:p w14:paraId="7B88715A">
                  <w:pPr>
                    <w:keepNext w:val="0"/>
                    <w:keepLines w:val="0"/>
                    <w:suppressLineNumbers w:val="0"/>
                    <w:spacing w:before="0" w:beforeAutospacing="0" w:after="0" w:afterAutospacing="0" w:line="240" w:lineRule="auto"/>
                    <w:ind w:left="0" w:right="0"/>
                    <w:jc w:val="both"/>
                    <w:rPr>
                      <w:rFonts w:hint="default"/>
                      <w:color w:val="auto"/>
                      <w:highlight w:val="none"/>
                    </w:rPr>
                  </w:pPr>
                  <w:r>
                    <w:rPr>
                      <w:rFonts w:hint="default" w:ascii="Times New Roman" w:hAnsi="Times New Roman" w:eastAsia="宋体" w:cs="Times New Roman"/>
                      <w:color w:val="auto"/>
                      <w:szCs w:val="21"/>
                      <w:highlight w:val="none"/>
                      <w:lang w:val="en-US" w:eastAsia="zh-CN"/>
                    </w:rPr>
                    <w:t>热风炉除尘系统收尘、</w:t>
                  </w:r>
                  <w:r>
                    <w:rPr>
                      <w:rFonts w:hint="default" w:ascii="Times New Roman" w:hAnsi="Times New Roman" w:eastAsia="宋体" w:cs="Times New Roman"/>
                      <w:color w:val="auto"/>
                      <w:szCs w:val="21"/>
                      <w:highlight w:val="none"/>
                    </w:rPr>
                    <w:t>筛分</w:t>
                  </w:r>
                  <w:r>
                    <w:rPr>
                      <w:rFonts w:hint="default" w:ascii="Times New Roman" w:hAnsi="Times New Roman" w:eastAsia="宋体" w:cs="Times New Roman"/>
                      <w:color w:val="auto"/>
                      <w:szCs w:val="21"/>
                      <w:highlight w:val="none"/>
                      <w:lang w:val="en-US" w:eastAsia="zh-CN"/>
                    </w:rPr>
                    <w:t>杂质</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烘干塔除尘系统收尘</w:t>
                  </w:r>
                  <w:r>
                    <w:rPr>
                      <w:rFonts w:hint="default" w:ascii="Times New Roman" w:hAnsi="Times New Roman" w:eastAsia="宋体" w:cs="Times New Roman"/>
                      <w:color w:val="auto"/>
                      <w:szCs w:val="21"/>
                      <w:highlight w:val="none"/>
                      <w:lang w:eastAsia="zh-CN"/>
                    </w:rPr>
                    <w:t>、</w:t>
                  </w:r>
                  <w:r>
                    <w:rPr>
                      <w:rFonts w:hint="eastAsia" w:cs="Times New Roman"/>
                      <w:color w:val="auto"/>
                      <w:szCs w:val="24"/>
                      <w:highlight w:val="none"/>
                      <w:lang w:val="en-US" w:eastAsia="zh-CN"/>
                    </w:rPr>
                    <w:t>原料堆场收尘、</w:t>
                  </w:r>
                  <w:r>
                    <w:rPr>
                      <w:rFonts w:hint="default" w:ascii="Times New Roman" w:hAnsi="Times New Roman" w:eastAsia="宋体" w:cs="Times New Roman"/>
                      <w:color w:val="auto"/>
                      <w:szCs w:val="21"/>
                      <w:highlight w:val="none"/>
                      <w:lang w:val="en-US" w:eastAsia="zh-CN"/>
                    </w:rPr>
                    <w:t>热风炉灰渣装袋后统一收集暂存于</w:t>
                  </w:r>
                  <w:r>
                    <w:rPr>
                      <w:rFonts w:hint="eastAsia" w:cs="Times New Roman"/>
                      <w:color w:val="auto"/>
                      <w:szCs w:val="21"/>
                      <w:highlight w:val="none"/>
                      <w:lang w:val="en-US" w:eastAsia="zh-CN"/>
                    </w:rPr>
                    <w:t>灰渣间</w:t>
                  </w:r>
                  <w:r>
                    <w:rPr>
                      <w:rFonts w:hint="default" w:ascii="Times New Roman" w:hAnsi="Times New Roman" w:eastAsia="宋体" w:cs="Times New Roman"/>
                      <w:color w:val="auto"/>
                      <w:szCs w:val="21"/>
                      <w:highlight w:val="none"/>
                      <w:lang w:val="en-US" w:eastAsia="zh-CN"/>
                    </w:rPr>
                    <w:t>中，定期</w:t>
                  </w:r>
                  <w:r>
                    <w:rPr>
                      <w:rFonts w:hint="default" w:ascii="Times New Roman" w:hAnsi="Times New Roman" w:eastAsia="宋体" w:cs="Times New Roman"/>
                      <w:color w:val="auto"/>
                      <w:szCs w:val="21"/>
                      <w:highlight w:val="none"/>
                    </w:rPr>
                    <w:t>外售综合利用</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废布袋集中收集后，由厂家定期回收</w:t>
                  </w: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eastAsia="zh-CN"/>
                    </w:rPr>
                    <w:t>生活垃圾</w:t>
                  </w:r>
                  <w:r>
                    <w:rPr>
                      <w:rFonts w:hint="default" w:ascii="Times New Roman" w:hAnsi="Times New Roman" w:eastAsia="宋体" w:cs="Times New Roman"/>
                      <w:color w:val="auto"/>
                      <w:szCs w:val="21"/>
                      <w:highlight w:val="none"/>
                    </w:rPr>
                    <w:t>集中收集后，</w:t>
                  </w:r>
                  <w:r>
                    <w:rPr>
                      <w:rFonts w:hint="default" w:ascii="Times New Roman" w:hAnsi="Times New Roman" w:eastAsia="宋体" w:cs="Times New Roman"/>
                      <w:color w:val="auto"/>
                      <w:szCs w:val="21"/>
                      <w:highlight w:val="none"/>
                      <w:lang w:val="en-US" w:eastAsia="zh-CN"/>
                    </w:rPr>
                    <w:t>交由环卫部门统一清运处理</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维修保养时产生的</w:t>
                  </w:r>
                  <w:r>
                    <w:rPr>
                      <w:rFonts w:hint="eastAsia" w:ascii="Times New Roman" w:hAnsi="Times New Roman" w:eastAsia="宋体" w:cs="Times New Roman"/>
                      <w:color w:val="auto"/>
                      <w:szCs w:val="21"/>
                      <w:highlight w:val="none"/>
                      <w:lang w:val="en-US" w:eastAsia="zh-CN"/>
                    </w:rPr>
                    <w:t>含油手套和抹布、</w:t>
                  </w:r>
                  <w:r>
                    <w:rPr>
                      <w:rFonts w:hint="default" w:ascii="Times New Roman" w:hAnsi="Times New Roman" w:eastAsia="宋体" w:cs="Times New Roman"/>
                      <w:color w:val="auto"/>
                      <w:szCs w:val="21"/>
                      <w:highlight w:val="none"/>
                      <w:lang w:val="en-US" w:eastAsia="zh-CN"/>
                    </w:rPr>
                    <w:t>废润滑油及废润滑油油桶，</w:t>
                  </w:r>
                  <w:r>
                    <w:rPr>
                      <w:rFonts w:hint="eastAsia" w:cs="Times New Roman"/>
                      <w:color w:val="auto"/>
                      <w:szCs w:val="21"/>
                      <w:highlight w:val="none"/>
                      <w:lang w:val="en-US" w:eastAsia="zh-CN"/>
                    </w:rPr>
                    <w:t>分类收集暂存于危险废物贮存库内，</w:t>
                  </w:r>
                  <w:r>
                    <w:rPr>
                      <w:rFonts w:hint="default" w:ascii="Times New Roman" w:hAnsi="Times New Roman" w:eastAsia="宋体" w:cs="Times New Roman"/>
                      <w:color w:val="auto"/>
                      <w:szCs w:val="21"/>
                      <w:highlight w:val="none"/>
                      <w:lang w:val="en-US" w:eastAsia="zh-CN"/>
                    </w:rPr>
                    <w:t>定期交由有资质的单位处理。</w:t>
                  </w:r>
                </w:p>
              </w:tc>
              <w:tc>
                <w:tcPr>
                  <w:tcW w:w="1235" w:type="dxa"/>
                  <w:vAlign w:val="center"/>
                </w:tcPr>
                <w:p w14:paraId="2301B73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新建</w:t>
                  </w:r>
                </w:p>
              </w:tc>
            </w:tr>
          </w:tbl>
          <w:p w14:paraId="62E4178F">
            <w:pPr>
              <w:keepNext w:val="0"/>
              <w:keepLines w:val="0"/>
              <w:suppressLineNumbers w:val="0"/>
              <w:tabs>
                <w:tab w:val="left" w:pos="6480"/>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eastAsia" w:cs="Times New Roman"/>
                <w:b/>
                <w:bCs/>
                <w:color w:val="auto"/>
                <w:sz w:val="24"/>
                <w:highlight w:val="none"/>
                <w:lang w:eastAsia="zh-CN"/>
              </w:rPr>
              <w:t>二</w:t>
            </w:r>
            <w:r>
              <w:rPr>
                <w:rFonts w:hint="default" w:ascii="Times New Roman" w:hAnsi="Times New Roman" w:eastAsia="宋体" w:cs="Times New Roman"/>
                <w:b/>
                <w:bCs/>
                <w:color w:val="auto"/>
                <w:sz w:val="24"/>
                <w:highlight w:val="none"/>
              </w:rPr>
              <w:t>、主要设备</w:t>
            </w:r>
          </w:p>
          <w:p w14:paraId="72395B23">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本项目主要设备见下表2-2。</w:t>
            </w:r>
          </w:p>
          <w:p w14:paraId="51E473AE">
            <w:pPr>
              <w:keepNext w:val="0"/>
              <w:keepLines w:val="0"/>
              <w:suppressLineNumbers w:val="0"/>
              <w:spacing w:before="0" w:beforeAutospacing="0" w:after="0" w:afterAutospacing="0" w:line="360" w:lineRule="auto"/>
              <w:ind w:left="2823"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表2-2</w:t>
            </w:r>
            <w:r>
              <w:rPr>
                <w:rFonts w:hint="default" w:ascii="Times New Roman" w:hAnsi="Times New Roman" w:eastAsia="宋体" w:cs="Times New Roman"/>
                <w:b/>
                <w:bCs/>
                <w:color w:val="auto"/>
                <w:szCs w:val="21"/>
                <w:highlight w:val="none"/>
                <w:lang w:val="en-US" w:eastAsia="zh-CN"/>
              </w:rPr>
              <w:t>主要</w:t>
            </w:r>
            <w:r>
              <w:rPr>
                <w:rFonts w:hint="default" w:ascii="Times New Roman" w:hAnsi="Times New Roman" w:eastAsia="宋体" w:cs="Times New Roman"/>
                <w:b/>
                <w:bCs/>
                <w:color w:val="auto"/>
                <w:szCs w:val="21"/>
                <w:highlight w:val="none"/>
              </w:rPr>
              <w:t>设备表</w:t>
            </w:r>
          </w:p>
          <w:tbl>
            <w:tblPr>
              <w:tblStyle w:val="3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575"/>
              <w:gridCol w:w="1810"/>
              <w:gridCol w:w="914"/>
              <w:gridCol w:w="1626"/>
              <w:gridCol w:w="1119"/>
            </w:tblGrid>
            <w:tr w14:paraId="102E8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7" w:type="pct"/>
                  <w:tcBorders>
                    <w:tl2br w:val="nil"/>
                    <w:tr2bl w:val="nil"/>
                  </w:tcBorders>
                  <w:vAlign w:val="center"/>
                </w:tcPr>
                <w:p w14:paraId="1FE99C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序号</w:t>
                  </w:r>
                </w:p>
              </w:tc>
              <w:tc>
                <w:tcPr>
                  <w:tcW w:w="1013" w:type="pct"/>
                  <w:tcBorders>
                    <w:tl2br w:val="nil"/>
                    <w:tr2bl w:val="nil"/>
                  </w:tcBorders>
                  <w:vAlign w:val="center"/>
                </w:tcPr>
                <w:p w14:paraId="75A81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名称</w:t>
                  </w:r>
                </w:p>
              </w:tc>
              <w:tc>
                <w:tcPr>
                  <w:tcW w:w="1164" w:type="pct"/>
                  <w:tcBorders>
                    <w:tl2br w:val="nil"/>
                    <w:tr2bl w:val="nil"/>
                  </w:tcBorders>
                  <w:vAlign w:val="center"/>
                </w:tcPr>
                <w:p w14:paraId="05A9F4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单位</w:t>
                  </w:r>
                </w:p>
              </w:tc>
              <w:tc>
                <w:tcPr>
                  <w:tcW w:w="588" w:type="pct"/>
                  <w:tcBorders>
                    <w:tl2br w:val="nil"/>
                    <w:tr2bl w:val="nil"/>
                  </w:tcBorders>
                  <w:shd w:val="clear" w:color="auto" w:fill="auto"/>
                  <w:vAlign w:val="center"/>
                </w:tcPr>
                <w:p w14:paraId="6E655C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数量</w:t>
                  </w:r>
                </w:p>
              </w:tc>
              <w:tc>
                <w:tcPr>
                  <w:tcW w:w="1046" w:type="pct"/>
                  <w:tcBorders>
                    <w:tl2br w:val="nil"/>
                    <w:tr2bl w:val="nil"/>
                  </w:tcBorders>
                  <w:shd w:val="clear" w:color="auto" w:fill="auto"/>
                  <w:vAlign w:val="center"/>
                </w:tcPr>
                <w:p w14:paraId="3C37AA7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型号</w:t>
                  </w:r>
                </w:p>
              </w:tc>
              <w:tc>
                <w:tcPr>
                  <w:tcW w:w="720" w:type="pct"/>
                  <w:tcBorders>
                    <w:tl2br w:val="nil"/>
                    <w:tr2bl w:val="nil"/>
                  </w:tcBorders>
                  <w:vAlign w:val="center"/>
                </w:tcPr>
                <w:p w14:paraId="2409F8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备注</w:t>
                  </w:r>
                </w:p>
              </w:tc>
            </w:tr>
            <w:tr w14:paraId="1DCB8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7" w:type="pct"/>
                  <w:tcBorders>
                    <w:tl2br w:val="nil"/>
                    <w:tr2bl w:val="nil"/>
                  </w:tcBorders>
                  <w:vAlign w:val="center"/>
                </w:tcPr>
                <w:p w14:paraId="4FED0D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1</w:t>
                  </w:r>
                </w:p>
              </w:tc>
              <w:tc>
                <w:tcPr>
                  <w:tcW w:w="1013" w:type="pct"/>
                  <w:tcBorders>
                    <w:tl2br w:val="nil"/>
                    <w:tr2bl w:val="nil"/>
                  </w:tcBorders>
                  <w:shd w:val="clear" w:color="auto" w:fill="auto"/>
                  <w:vAlign w:val="center"/>
                </w:tcPr>
                <w:p w14:paraId="7E163A7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粮食烘干</w:t>
                  </w:r>
                  <w:r>
                    <w:rPr>
                      <w:rFonts w:hint="eastAsia" w:ascii="Times New Roman" w:hAnsi="Times New Roman" w:eastAsia="宋体" w:cs="Times New Roman"/>
                      <w:color w:val="auto"/>
                      <w:szCs w:val="21"/>
                      <w:highlight w:val="none"/>
                      <w:lang w:val="en-US" w:eastAsia="zh-CN"/>
                      <w14:ligatures w14:val="none"/>
                    </w:rPr>
                    <w:t>机</w:t>
                  </w:r>
                </w:p>
              </w:tc>
              <w:tc>
                <w:tcPr>
                  <w:tcW w:w="1164" w:type="pct"/>
                  <w:tcBorders>
                    <w:tl2br w:val="nil"/>
                    <w:tr2bl w:val="nil"/>
                  </w:tcBorders>
                  <w:shd w:val="clear" w:color="auto" w:fill="auto"/>
                  <w:vAlign w:val="center"/>
                </w:tcPr>
                <w:p w14:paraId="183727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588" w:type="pct"/>
                  <w:tcBorders>
                    <w:tl2br w:val="nil"/>
                    <w:tr2bl w:val="nil"/>
                  </w:tcBorders>
                  <w:shd w:val="clear" w:color="auto" w:fill="auto"/>
                  <w:vAlign w:val="center"/>
                </w:tcPr>
                <w:p w14:paraId="7BDA4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50B6637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HGJ800T</w:t>
                  </w:r>
                </w:p>
              </w:tc>
              <w:tc>
                <w:tcPr>
                  <w:tcW w:w="720" w:type="pct"/>
                  <w:tcBorders>
                    <w:tl2br w:val="nil"/>
                    <w:tr2bl w:val="nil"/>
                  </w:tcBorders>
                  <w:shd w:val="clear" w:color="auto" w:fill="auto"/>
                  <w:vAlign w:val="center"/>
                </w:tcPr>
                <w:p w14:paraId="0187E9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新建</w:t>
                  </w:r>
                </w:p>
              </w:tc>
            </w:tr>
            <w:tr w14:paraId="78F327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085415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2</w:t>
                  </w:r>
                </w:p>
              </w:tc>
              <w:tc>
                <w:tcPr>
                  <w:tcW w:w="1013" w:type="pct"/>
                  <w:tcBorders>
                    <w:tl2br w:val="nil"/>
                    <w:tr2bl w:val="nil"/>
                  </w:tcBorders>
                  <w:shd w:val="clear" w:color="auto" w:fill="auto"/>
                  <w:vAlign w:val="center"/>
                </w:tcPr>
                <w:p w14:paraId="1CB91EB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热风炉</w:t>
                  </w:r>
                </w:p>
              </w:tc>
              <w:tc>
                <w:tcPr>
                  <w:tcW w:w="1164" w:type="pct"/>
                  <w:tcBorders>
                    <w:tl2br w:val="nil"/>
                    <w:tr2bl w:val="nil"/>
                  </w:tcBorders>
                  <w:shd w:val="clear" w:color="auto" w:fill="auto"/>
                  <w:vAlign w:val="center"/>
                </w:tcPr>
                <w:p w14:paraId="540CB9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588" w:type="pct"/>
                  <w:tcBorders>
                    <w:tl2br w:val="nil"/>
                    <w:tr2bl w:val="nil"/>
                  </w:tcBorders>
                  <w:shd w:val="clear" w:color="auto" w:fill="auto"/>
                  <w:vAlign w:val="center"/>
                </w:tcPr>
                <w:p w14:paraId="25AD4E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51AF8C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900万kcal/h</w:t>
                  </w:r>
                </w:p>
              </w:tc>
              <w:tc>
                <w:tcPr>
                  <w:tcW w:w="720" w:type="pct"/>
                  <w:tcBorders>
                    <w:tl2br w:val="nil"/>
                    <w:tr2bl w:val="nil"/>
                  </w:tcBorders>
                  <w:shd w:val="clear" w:color="auto" w:fill="auto"/>
                  <w:vAlign w:val="center"/>
                </w:tcPr>
                <w:p w14:paraId="31C32EB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新建</w:t>
                  </w:r>
                </w:p>
              </w:tc>
            </w:tr>
            <w:tr w14:paraId="2DB9F1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5743C8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3</w:t>
                  </w:r>
                </w:p>
              </w:tc>
              <w:tc>
                <w:tcPr>
                  <w:tcW w:w="1013" w:type="pct"/>
                  <w:tcBorders>
                    <w:tl2br w:val="nil"/>
                    <w:tr2bl w:val="nil"/>
                  </w:tcBorders>
                  <w:shd w:val="clear" w:color="auto" w:fill="auto"/>
                  <w:vAlign w:val="center"/>
                </w:tcPr>
                <w:p w14:paraId="1B55485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提升机</w:t>
                  </w:r>
                </w:p>
              </w:tc>
              <w:tc>
                <w:tcPr>
                  <w:tcW w:w="1164" w:type="pct"/>
                  <w:tcBorders>
                    <w:tl2br w:val="nil"/>
                    <w:tr2bl w:val="nil"/>
                  </w:tcBorders>
                  <w:shd w:val="clear" w:color="auto" w:fill="auto"/>
                  <w:vAlign w:val="center"/>
                </w:tcPr>
                <w:p w14:paraId="2ABA2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588" w:type="pct"/>
                  <w:tcBorders>
                    <w:tl2br w:val="nil"/>
                    <w:tr2bl w:val="nil"/>
                  </w:tcBorders>
                  <w:shd w:val="clear" w:color="auto" w:fill="auto"/>
                  <w:vAlign w:val="center"/>
                </w:tcPr>
                <w:p w14:paraId="5C8CD6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6360A2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DTG80/47</w:t>
                  </w:r>
                </w:p>
              </w:tc>
              <w:tc>
                <w:tcPr>
                  <w:tcW w:w="720" w:type="pct"/>
                  <w:tcBorders>
                    <w:tl2br w:val="nil"/>
                    <w:tr2bl w:val="nil"/>
                  </w:tcBorders>
                  <w:shd w:val="clear" w:color="auto" w:fill="auto"/>
                  <w:vAlign w:val="center"/>
                </w:tcPr>
                <w:p w14:paraId="5733459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利旧</w:t>
                  </w:r>
                </w:p>
              </w:tc>
            </w:tr>
            <w:tr w14:paraId="6E44A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51077B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4</w:t>
                  </w:r>
                </w:p>
              </w:tc>
              <w:tc>
                <w:tcPr>
                  <w:tcW w:w="1013" w:type="pct"/>
                  <w:tcBorders>
                    <w:tl2br w:val="nil"/>
                    <w:tr2bl w:val="nil"/>
                  </w:tcBorders>
                  <w:shd w:val="clear" w:color="auto" w:fill="auto"/>
                  <w:vAlign w:val="center"/>
                </w:tcPr>
                <w:p w14:paraId="18878C5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滚筒筛</w:t>
                  </w:r>
                </w:p>
              </w:tc>
              <w:tc>
                <w:tcPr>
                  <w:tcW w:w="1164" w:type="pct"/>
                  <w:tcBorders>
                    <w:tl2br w:val="nil"/>
                    <w:tr2bl w:val="nil"/>
                  </w:tcBorders>
                  <w:shd w:val="clear" w:color="auto" w:fill="auto"/>
                  <w:vAlign w:val="center"/>
                </w:tcPr>
                <w:p w14:paraId="5F04A7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588" w:type="pct"/>
                  <w:tcBorders>
                    <w:tl2br w:val="nil"/>
                    <w:tr2bl w:val="nil"/>
                  </w:tcBorders>
                  <w:shd w:val="clear" w:color="auto" w:fill="auto"/>
                  <w:vAlign w:val="center"/>
                </w:tcPr>
                <w:p w14:paraId="6B7F18B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414754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w:t>
                  </w:r>
                </w:p>
              </w:tc>
              <w:tc>
                <w:tcPr>
                  <w:tcW w:w="720" w:type="pct"/>
                  <w:tcBorders>
                    <w:tl2br w:val="nil"/>
                    <w:tr2bl w:val="nil"/>
                  </w:tcBorders>
                  <w:shd w:val="clear" w:color="auto" w:fill="auto"/>
                  <w:vAlign w:val="center"/>
                </w:tcPr>
                <w:p w14:paraId="2CF37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利旧</w:t>
                  </w:r>
                </w:p>
              </w:tc>
            </w:tr>
            <w:tr w14:paraId="23EAB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67" w:type="pct"/>
                  <w:tcBorders>
                    <w:tl2br w:val="nil"/>
                    <w:tr2bl w:val="nil"/>
                  </w:tcBorders>
                  <w:vAlign w:val="center"/>
                </w:tcPr>
                <w:p w14:paraId="4125D7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5</w:t>
                  </w:r>
                </w:p>
              </w:tc>
              <w:tc>
                <w:tcPr>
                  <w:tcW w:w="1013" w:type="pct"/>
                  <w:tcBorders>
                    <w:tl2br w:val="nil"/>
                    <w:tr2bl w:val="nil"/>
                  </w:tcBorders>
                  <w:shd w:val="clear" w:color="auto" w:fill="auto"/>
                  <w:vAlign w:val="center"/>
                </w:tcPr>
                <w:p w14:paraId="1F3EDCB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地秤</w:t>
                  </w:r>
                </w:p>
              </w:tc>
              <w:tc>
                <w:tcPr>
                  <w:tcW w:w="1164" w:type="pct"/>
                  <w:tcBorders>
                    <w:tl2br w:val="nil"/>
                    <w:tr2bl w:val="nil"/>
                  </w:tcBorders>
                  <w:shd w:val="clear" w:color="auto" w:fill="auto"/>
                  <w:vAlign w:val="center"/>
                </w:tcPr>
                <w:p w14:paraId="67BE98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588" w:type="pct"/>
                  <w:tcBorders>
                    <w:tl2br w:val="nil"/>
                    <w:tr2bl w:val="nil"/>
                  </w:tcBorders>
                  <w:shd w:val="clear" w:color="auto" w:fill="auto"/>
                  <w:vAlign w:val="center"/>
                </w:tcPr>
                <w:p w14:paraId="0CE3F49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67A9D02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120t</w:t>
                  </w:r>
                </w:p>
              </w:tc>
              <w:tc>
                <w:tcPr>
                  <w:tcW w:w="720" w:type="pct"/>
                  <w:tcBorders>
                    <w:tl2br w:val="nil"/>
                    <w:tr2bl w:val="nil"/>
                  </w:tcBorders>
                  <w:shd w:val="clear" w:color="auto" w:fill="auto"/>
                  <w:vAlign w:val="center"/>
                </w:tcPr>
                <w:p w14:paraId="1D1FC4E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利旧</w:t>
                  </w:r>
                </w:p>
              </w:tc>
            </w:tr>
            <w:tr w14:paraId="0006C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3E949D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6</w:t>
                  </w:r>
                </w:p>
              </w:tc>
              <w:tc>
                <w:tcPr>
                  <w:tcW w:w="1013" w:type="pct"/>
                  <w:tcBorders>
                    <w:tl2br w:val="nil"/>
                    <w:tr2bl w:val="nil"/>
                  </w:tcBorders>
                  <w:shd w:val="clear" w:color="auto" w:fill="auto"/>
                  <w:vAlign w:val="center"/>
                </w:tcPr>
                <w:p w14:paraId="72158E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输送机</w:t>
                  </w:r>
                </w:p>
              </w:tc>
              <w:tc>
                <w:tcPr>
                  <w:tcW w:w="1810" w:type="dxa"/>
                  <w:tcBorders>
                    <w:tl2br w:val="nil"/>
                    <w:tr2bl w:val="nil"/>
                  </w:tcBorders>
                  <w:shd w:val="clear" w:color="auto" w:fill="auto"/>
                  <w:vAlign w:val="center"/>
                </w:tcPr>
                <w:p w14:paraId="5B3B26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914" w:type="dxa"/>
                  <w:tcBorders>
                    <w:tl2br w:val="nil"/>
                    <w:tr2bl w:val="nil"/>
                  </w:tcBorders>
                  <w:shd w:val="clear" w:color="auto" w:fill="auto"/>
                  <w:vAlign w:val="center"/>
                </w:tcPr>
                <w:p w14:paraId="6669F6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655332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w:t>
                  </w:r>
                </w:p>
              </w:tc>
              <w:tc>
                <w:tcPr>
                  <w:tcW w:w="720" w:type="pct"/>
                  <w:tcBorders>
                    <w:tl2br w:val="nil"/>
                    <w:tr2bl w:val="nil"/>
                  </w:tcBorders>
                  <w:shd w:val="clear" w:color="auto" w:fill="auto"/>
                  <w:vAlign w:val="center"/>
                </w:tcPr>
                <w:p w14:paraId="721046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利旧</w:t>
                  </w:r>
                </w:p>
              </w:tc>
            </w:tr>
            <w:tr w14:paraId="1051A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716E45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7</w:t>
                  </w:r>
                </w:p>
              </w:tc>
              <w:tc>
                <w:tcPr>
                  <w:tcW w:w="1013" w:type="pct"/>
                  <w:tcBorders>
                    <w:tl2br w:val="nil"/>
                    <w:tr2bl w:val="nil"/>
                  </w:tcBorders>
                  <w:shd w:val="clear" w:color="auto" w:fill="auto"/>
                  <w:vAlign w:val="center"/>
                </w:tcPr>
                <w:p w14:paraId="5DB404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布袋除尘器</w:t>
                  </w:r>
                </w:p>
              </w:tc>
              <w:tc>
                <w:tcPr>
                  <w:tcW w:w="1810" w:type="dxa"/>
                  <w:tcBorders>
                    <w:tl2br w:val="nil"/>
                    <w:tr2bl w:val="nil"/>
                  </w:tcBorders>
                  <w:shd w:val="clear" w:color="auto" w:fill="auto"/>
                  <w:vAlign w:val="center"/>
                </w:tcPr>
                <w:p w14:paraId="49B969B9">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914" w:type="dxa"/>
                  <w:tcBorders>
                    <w:tl2br w:val="nil"/>
                    <w:tr2bl w:val="nil"/>
                  </w:tcBorders>
                  <w:shd w:val="clear" w:color="auto" w:fill="auto"/>
                  <w:vAlign w:val="center"/>
                </w:tcPr>
                <w:p w14:paraId="19A76D8B">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1</w:t>
                  </w:r>
                </w:p>
              </w:tc>
              <w:tc>
                <w:tcPr>
                  <w:tcW w:w="1662" w:type="dxa"/>
                  <w:tcBorders>
                    <w:tl2br w:val="nil"/>
                    <w:tr2bl w:val="nil"/>
                  </w:tcBorders>
                  <w:shd w:val="clear" w:color="auto" w:fill="auto"/>
                  <w:vAlign w:val="center"/>
                </w:tcPr>
                <w:p w14:paraId="37E8C2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w:t>
                  </w:r>
                </w:p>
              </w:tc>
              <w:tc>
                <w:tcPr>
                  <w:tcW w:w="1119" w:type="dxa"/>
                  <w:tcBorders>
                    <w:tl2br w:val="nil"/>
                    <w:tr2bl w:val="nil"/>
                  </w:tcBorders>
                  <w:shd w:val="clear" w:color="auto" w:fill="auto"/>
                  <w:vAlign w:val="center"/>
                </w:tcPr>
                <w:p w14:paraId="3FAF06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新建</w:t>
                  </w:r>
                </w:p>
              </w:tc>
            </w:tr>
            <w:tr w14:paraId="0A049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467" w:type="pct"/>
                  <w:tcBorders>
                    <w:tl2br w:val="nil"/>
                    <w:tr2bl w:val="nil"/>
                  </w:tcBorders>
                  <w:vAlign w:val="center"/>
                </w:tcPr>
                <w:p w14:paraId="49FE0500">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8</w:t>
                  </w:r>
                </w:p>
              </w:tc>
              <w:tc>
                <w:tcPr>
                  <w:tcW w:w="1013" w:type="pct"/>
                  <w:tcBorders>
                    <w:tl2br w:val="nil"/>
                    <w:tr2bl w:val="nil"/>
                  </w:tcBorders>
                  <w:shd w:val="clear" w:color="auto" w:fill="auto"/>
                  <w:vAlign w:val="center"/>
                </w:tcPr>
                <w:p w14:paraId="43C0C8C1">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风机</w:t>
                  </w:r>
                </w:p>
              </w:tc>
              <w:tc>
                <w:tcPr>
                  <w:tcW w:w="1810" w:type="dxa"/>
                  <w:tcBorders>
                    <w:tl2br w:val="nil"/>
                    <w:tr2bl w:val="nil"/>
                  </w:tcBorders>
                  <w:shd w:val="clear" w:color="auto" w:fill="auto"/>
                  <w:vAlign w:val="center"/>
                </w:tcPr>
                <w:p w14:paraId="2258FBDD">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台</w:t>
                  </w:r>
                </w:p>
              </w:tc>
              <w:tc>
                <w:tcPr>
                  <w:tcW w:w="914" w:type="dxa"/>
                  <w:tcBorders>
                    <w:tl2br w:val="nil"/>
                    <w:tr2bl w:val="nil"/>
                  </w:tcBorders>
                  <w:shd w:val="clear" w:color="auto" w:fill="auto"/>
                  <w:vAlign w:val="center"/>
                </w:tcPr>
                <w:p w14:paraId="2ACD7221">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4</w:t>
                  </w:r>
                </w:p>
              </w:tc>
              <w:tc>
                <w:tcPr>
                  <w:tcW w:w="1662" w:type="dxa"/>
                  <w:tcBorders>
                    <w:tl2br w:val="nil"/>
                    <w:tr2bl w:val="nil"/>
                  </w:tcBorders>
                  <w:shd w:val="clear" w:color="auto" w:fill="auto"/>
                  <w:vAlign w:val="center"/>
                </w:tcPr>
                <w:p w14:paraId="5921E8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w:t>
                  </w:r>
                </w:p>
              </w:tc>
              <w:tc>
                <w:tcPr>
                  <w:tcW w:w="1119" w:type="dxa"/>
                  <w:tcBorders>
                    <w:tl2br w:val="nil"/>
                    <w:tr2bl w:val="nil"/>
                  </w:tcBorders>
                  <w:shd w:val="clear" w:color="auto" w:fill="auto"/>
                  <w:vAlign w:val="center"/>
                </w:tcPr>
                <w:p w14:paraId="7D401D4F">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新建</w:t>
                  </w:r>
                </w:p>
              </w:tc>
            </w:tr>
          </w:tbl>
          <w:p w14:paraId="6269C551">
            <w:pPr>
              <w:keepNext w:val="0"/>
              <w:keepLines w:val="0"/>
              <w:suppressLineNumbers w:val="0"/>
              <w:spacing w:before="0" w:beforeAutospacing="0" w:after="0" w:afterAutospacing="0" w:line="82" w:lineRule="auto"/>
              <w:ind w:left="0" w:right="0"/>
              <w:rPr>
                <w:rFonts w:hint="default" w:ascii="Times New Roman" w:hAnsi="Times New Roman" w:eastAsia="宋体" w:cs="Times New Roman"/>
                <w:color w:val="auto"/>
                <w:sz w:val="2"/>
                <w:highlight w:val="none"/>
              </w:rPr>
            </w:pPr>
          </w:p>
          <w:p w14:paraId="1A5C1DC4">
            <w:pPr>
              <w:keepNext w:val="0"/>
              <w:keepLines w:val="0"/>
              <w:suppressLineNumbers w:val="0"/>
              <w:tabs>
                <w:tab w:val="left" w:pos="6480"/>
              </w:tabs>
              <w:spacing w:before="0" w:beforeAutospacing="0" w:after="0" w:afterAutospacing="0" w:line="360" w:lineRule="auto"/>
              <w:ind w:left="0" w:right="0"/>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注：拆除原有6台风机，新建4台配套风机。</w:t>
            </w:r>
          </w:p>
          <w:p w14:paraId="14CE0581">
            <w:pPr>
              <w:keepNext w:val="0"/>
              <w:keepLines w:val="0"/>
              <w:suppressLineNumbers w:val="0"/>
              <w:tabs>
                <w:tab w:val="left" w:pos="6480"/>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eastAsia="zh-CN"/>
              </w:rPr>
            </w:pPr>
            <w:r>
              <w:rPr>
                <w:rFonts w:hint="eastAsia" w:cs="Times New Roman"/>
                <w:b/>
                <w:bCs/>
                <w:color w:val="auto"/>
                <w:sz w:val="24"/>
                <w:highlight w:val="none"/>
                <w:lang w:eastAsia="zh-CN"/>
              </w:rPr>
              <w:t>三</w:t>
            </w:r>
            <w:r>
              <w:rPr>
                <w:rFonts w:hint="default" w:ascii="Times New Roman" w:hAnsi="Times New Roman" w:eastAsia="宋体" w:cs="Times New Roman"/>
                <w:b/>
                <w:bCs/>
                <w:color w:val="auto"/>
                <w:sz w:val="24"/>
                <w:highlight w:val="none"/>
              </w:rPr>
              <w:t>、主要原辅材料及能耗情况</w:t>
            </w:r>
          </w:p>
          <w:p w14:paraId="6AEA87D5">
            <w:pPr>
              <w:keepNext w:val="0"/>
              <w:keepLines w:val="0"/>
              <w:suppressLineNumbers w:val="0"/>
              <w:spacing w:before="0" w:beforeAutospacing="0" w:after="0" w:afterAutospacing="0" w:line="360" w:lineRule="auto"/>
              <w:ind w:left="2823"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表2-3原辅材料一览表</w:t>
            </w:r>
          </w:p>
          <w:tbl>
            <w:tblPr>
              <w:tblStyle w:val="33"/>
              <w:tblW w:w="793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30" w:type="dxa"/>
                <w:bottom w:w="0" w:type="dxa"/>
                <w:right w:w="30" w:type="dxa"/>
              </w:tblCellMar>
            </w:tblPr>
            <w:tblGrid>
              <w:gridCol w:w="978"/>
              <w:gridCol w:w="2574"/>
              <w:gridCol w:w="952"/>
              <w:gridCol w:w="1940"/>
              <w:gridCol w:w="1493"/>
            </w:tblGrid>
            <w:tr w14:paraId="5DB482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90" w:hRule="atLeast"/>
                <w:jc w:val="center"/>
              </w:trPr>
              <w:tc>
                <w:tcPr>
                  <w:tcW w:w="679" w:type="dxa"/>
                  <w:vAlign w:val="center"/>
                </w:tcPr>
                <w:p w14:paraId="70D25F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napToGrid w:val="0"/>
                      <w:color w:val="auto"/>
                      <w:szCs w:val="21"/>
                      <w:highlight w:val="none"/>
                      <w14:ligatures w14:val="none"/>
                    </w:rPr>
                  </w:pPr>
                  <w:r>
                    <w:rPr>
                      <w:rFonts w:hint="default" w:ascii="Times New Roman" w:hAnsi="Times New Roman" w:eastAsia="宋体" w:cs="Times New Roman"/>
                      <w:bCs/>
                      <w:snapToGrid w:val="0"/>
                      <w:color w:val="auto"/>
                      <w:szCs w:val="21"/>
                      <w:highlight w:val="none"/>
                      <w14:ligatures w14:val="none"/>
                    </w:rPr>
                    <w:t>序号</w:t>
                  </w:r>
                </w:p>
              </w:tc>
              <w:tc>
                <w:tcPr>
                  <w:tcW w:w="1785" w:type="dxa"/>
                  <w:vAlign w:val="center"/>
                </w:tcPr>
                <w:p w14:paraId="519D688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14:ligatures w14:val="none"/>
                    </w:rPr>
                  </w:pPr>
                  <w:r>
                    <w:rPr>
                      <w:rFonts w:hint="default" w:ascii="Times New Roman" w:hAnsi="Times New Roman" w:eastAsia="宋体" w:cs="Times New Roman"/>
                      <w:bCs/>
                      <w:color w:val="auto"/>
                      <w:szCs w:val="21"/>
                      <w:highlight w:val="none"/>
                      <w14:ligatures w14:val="none"/>
                    </w:rPr>
                    <w:t>名称</w:t>
                  </w:r>
                </w:p>
              </w:tc>
              <w:tc>
                <w:tcPr>
                  <w:tcW w:w="660" w:type="dxa"/>
                  <w:vAlign w:val="center"/>
                </w:tcPr>
                <w:p w14:paraId="1EBFDF2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14:ligatures w14:val="none"/>
                    </w:rPr>
                  </w:pPr>
                  <w:r>
                    <w:rPr>
                      <w:rFonts w:hint="default" w:ascii="Times New Roman" w:hAnsi="Times New Roman" w:eastAsia="宋体" w:cs="Times New Roman"/>
                      <w:bCs/>
                      <w:color w:val="auto"/>
                      <w:szCs w:val="21"/>
                      <w:highlight w:val="none"/>
                      <w14:ligatures w14:val="none"/>
                    </w:rPr>
                    <w:t>单位</w:t>
                  </w:r>
                </w:p>
              </w:tc>
              <w:tc>
                <w:tcPr>
                  <w:tcW w:w="1345" w:type="dxa"/>
                  <w:vAlign w:val="center"/>
                </w:tcPr>
                <w:p w14:paraId="69348F9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14:ligatures w14:val="none"/>
                    </w:rPr>
                  </w:pPr>
                  <w:r>
                    <w:rPr>
                      <w:rFonts w:hint="eastAsia" w:eastAsia="宋体" w:cs="Times New Roman"/>
                      <w:bCs/>
                      <w:color w:val="auto"/>
                      <w:szCs w:val="21"/>
                      <w:highlight w:val="none"/>
                      <w:lang w:val="en-US" w:eastAsia="zh-CN"/>
                      <w14:ligatures w14:val="none"/>
                    </w:rPr>
                    <w:t>年用量</w:t>
                  </w:r>
                </w:p>
              </w:tc>
              <w:tc>
                <w:tcPr>
                  <w:tcW w:w="1035" w:type="dxa"/>
                  <w:vAlign w:val="center"/>
                </w:tcPr>
                <w:p w14:paraId="436A3D0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14:ligatures w14:val="none"/>
                    </w:rPr>
                  </w:pPr>
                  <w:r>
                    <w:rPr>
                      <w:rFonts w:hint="default" w:ascii="Times New Roman" w:hAnsi="Times New Roman" w:eastAsia="宋体" w:cs="Times New Roman"/>
                      <w:bCs/>
                      <w:color w:val="auto"/>
                      <w:szCs w:val="21"/>
                      <w:highlight w:val="none"/>
                      <w14:ligatures w14:val="none"/>
                    </w:rPr>
                    <w:t>备注</w:t>
                  </w:r>
                </w:p>
              </w:tc>
            </w:tr>
            <w:tr w14:paraId="49EB55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90" w:hRule="atLeast"/>
                <w:jc w:val="center"/>
              </w:trPr>
              <w:tc>
                <w:tcPr>
                  <w:tcW w:w="679" w:type="dxa"/>
                  <w:vAlign w:val="center"/>
                </w:tcPr>
                <w:p w14:paraId="70EFCE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default" w:ascii="Times New Roman" w:hAnsi="Times New Roman" w:eastAsia="宋体" w:cs="Times New Roman"/>
                      <w:color w:val="auto"/>
                      <w:szCs w:val="21"/>
                      <w:highlight w:val="none"/>
                      <w14:ligatures w14:val="none"/>
                    </w:rPr>
                    <w:t>1</w:t>
                  </w:r>
                </w:p>
              </w:tc>
              <w:tc>
                <w:tcPr>
                  <w:tcW w:w="1785" w:type="dxa"/>
                  <w:vAlign w:val="center"/>
                </w:tcPr>
                <w:p w14:paraId="3AC941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default" w:ascii="Times New Roman" w:hAnsi="Times New Roman" w:eastAsia="宋体" w:cs="Times New Roman"/>
                      <w:color w:val="auto"/>
                      <w:szCs w:val="21"/>
                      <w:highlight w:val="none"/>
                      <w14:ligatures w14:val="none"/>
                    </w:rPr>
                    <w:t>玉米（含水率30%）</w:t>
                  </w:r>
                </w:p>
              </w:tc>
              <w:tc>
                <w:tcPr>
                  <w:tcW w:w="660" w:type="dxa"/>
                  <w:vAlign w:val="center"/>
                </w:tcPr>
                <w:p w14:paraId="55DFBE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default" w:ascii="Times New Roman" w:hAnsi="Times New Roman" w:eastAsia="宋体" w:cs="Times New Roman"/>
                      <w:color w:val="auto"/>
                      <w:szCs w:val="21"/>
                      <w:highlight w:val="none"/>
                      <w14:ligatures w14:val="none"/>
                    </w:rPr>
                    <w:t>t/a</w:t>
                  </w:r>
                </w:p>
              </w:tc>
              <w:tc>
                <w:tcPr>
                  <w:tcW w:w="1345" w:type="dxa"/>
                  <w:vAlign w:val="center"/>
                </w:tcPr>
                <w:p w14:paraId="2395C97F">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14:ligatures w14:val="none"/>
                    </w:rPr>
                  </w:pPr>
                  <w:r>
                    <w:rPr>
                      <w:rFonts w:hint="eastAsia" w:eastAsia="宋体" w:cs="Times New Roman"/>
                      <w:color w:val="auto"/>
                      <w:szCs w:val="21"/>
                      <w:highlight w:val="none"/>
                      <w:lang w:val="en-US" w:eastAsia="zh-CN"/>
                      <w14:ligatures w14:val="none"/>
                    </w:rPr>
                    <w:t>30000</w:t>
                  </w:r>
                </w:p>
              </w:tc>
              <w:tc>
                <w:tcPr>
                  <w:tcW w:w="1035" w:type="dxa"/>
                  <w:vAlign w:val="center"/>
                </w:tcPr>
                <w:p w14:paraId="2A884C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eastAsia" w:ascii="Times New Roman" w:hAnsi="Times New Roman" w:eastAsia="宋体" w:cs="Times New Roman"/>
                      <w:color w:val="auto"/>
                      <w:szCs w:val="21"/>
                      <w:highlight w:val="none"/>
                      <w:lang w:val="en-US" w:eastAsia="zh-CN"/>
                      <w14:ligatures w14:val="none"/>
                    </w:rPr>
                    <w:t>外购</w:t>
                  </w:r>
                </w:p>
              </w:tc>
            </w:tr>
            <w:tr w14:paraId="3A65E9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90" w:hRule="atLeast"/>
                <w:jc w:val="center"/>
              </w:trPr>
              <w:tc>
                <w:tcPr>
                  <w:tcW w:w="679" w:type="dxa"/>
                  <w:vAlign w:val="center"/>
                </w:tcPr>
                <w:p w14:paraId="4D92C8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default" w:ascii="Times New Roman" w:hAnsi="Times New Roman" w:eastAsia="宋体" w:cs="Times New Roman"/>
                      <w:color w:val="auto"/>
                      <w:szCs w:val="21"/>
                      <w:highlight w:val="none"/>
                      <w14:ligatures w14:val="none"/>
                    </w:rPr>
                    <w:t>2</w:t>
                  </w:r>
                </w:p>
              </w:tc>
              <w:tc>
                <w:tcPr>
                  <w:tcW w:w="1785" w:type="dxa"/>
                  <w:shd w:val="clear" w:color="auto" w:fill="auto"/>
                  <w:vAlign w:val="center"/>
                </w:tcPr>
                <w:p w14:paraId="010D257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2"/>
                      <w:highlight w:val="none"/>
                      <w:lang w:val="en-US" w:eastAsia="zh-CN" w:bidi="ar-SA"/>
                      <w14:ligatures w14:val="standardContextual"/>
                    </w:rPr>
                  </w:pPr>
                  <w:r>
                    <w:rPr>
                      <w:rFonts w:hint="default" w:ascii="Times New Roman" w:hAnsi="Times New Roman" w:eastAsia="宋体" w:cs="Times New Roman"/>
                      <w:color w:val="auto"/>
                      <w:highlight w:val="none"/>
                    </w:rPr>
                    <w:t>水稻</w:t>
                  </w:r>
                  <w:r>
                    <w:rPr>
                      <w:rFonts w:hint="eastAsia" w:eastAsia="宋体" w:cs="Times New Roman"/>
                      <w:color w:val="auto"/>
                      <w:highlight w:val="none"/>
                      <w:lang w:eastAsia="zh-CN"/>
                    </w:rPr>
                    <w:t>（</w:t>
                  </w:r>
                  <w:r>
                    <w:rPr>
                      <w:rFonts w:hint="default" w:ascii="Times New Roman" w:hAnsi="Times New Roman" w:eastAsia="宋体" w:cs="Times New Roman"/>
                      <w:color w:val="auto"/>
                      <w:szCs w:val="21"/>
                      <w:highlight w:val="none"/>
                      <w:lang w:val="en-US" w:eastAsia="zh-CN"/>
                    </w:rPr>
                    <w:t>含水率</w:t>
                  </w:r>
                  <w:r>
                    <w:rPr>
                      <w:rFonts w:hint="eastAsia" w:cs="Times New Roman"/>
                      <w:color w:val="auto"/>
                      <w:szCs w:val="21"/>
                      <w:highlight w:val="none"/>
                      <w:lang w:val="en-US" w:eastAsia="zh-CN"/>
                    </w:rPr>
                    <w:t>20</w:t>
                  </w:r>
                  <w:r>
                    <w:rPr>
                      <w:rFonts w:hint="default" w:ascii="Times New Roman" w:hAnsi="Times New Roman" w:eastAsia="宋体" w:cs="Times New Roman"/>
                      <w:color w:val="auto"/>
                      <w:szCs w:val="21"/>
                      <w:highlight w:val="none"/>
                      <w:lang w:val="en-US" w:eastAsia="zh-CN"/>
                    </w:rPr>
                    <w:t>%</w:t>
                  </w:r>
                  <w:r>
                    <w:rPr>
                      <w:rFonts w:hint="eastAsia" w:eastAsia="宋体" w:cs="Times New Roman"/>
                      <w:color w:val="auto"/>
                      <w:highlight w:val="none"/>
                      <w:lang w:eastAsia="zh-CN"/>
                    </w:rPr>
                    <w:t>）</w:t>
                  </w:r>
                </w:p>
              </w:tc>
              <w:tc>
                <w:tcPr>
                  <w:tcW w:w="660" w:type="dxa"/>
                  <w:shd w:val="clear" w:color="auto" w:fill="auto"/>
                  <w:vAlign w:val="top"/>
                </w:tcPr>
                <w:p w14:paraId="08B6B7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2"/>
                      <w:highlight w:val="none"/>
                      <w:lang w:val="en-US" w:eastAsia="zh-CN" w:bidi="ar-SA"/>
                      <w14:ligatures w14:val="standardContextual"/>
                    </w:rPr>
                  </w:pPr>
                  <w:r>
                    <w:rPr>
                      <w:rFonts w:hint="default" w:ascii="Times New Roman" w:hAnsi="Times New Roman" w:eastAsia="宋体" w:cs="Times New Roman"/>
                      <w:color w:val="auto"/>
                      <w:highlight w:val="none"/>
                    </w:rPr>
                    <w:t>t/a</w:t>
                  </w:r>
                </w:p>
              </w:tc>
              <w:tc>
                <w:tcPr>
                  <w:tcW w:w="1345" w:type="dxa"/>
                  <w:vAlign w:val="center"/>
                </w:tcPr>
                <w:p w14:paraId="6448AB71">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14:ligatures w14:val="none"/>
                    </w:rPr>
                  </w:pPr>
                  <w:r>
                    <w:rPr>
                      <w:rFonts w:hint="eastAsia" w:eastAsia="宋体" w:cs="Times New Roman"/>
                      <w:color w:val="auto"/>
                      <w:szCs w:val="21"/>
                      <w:highlight w:val="none"/>
                      <w:lang w:val="en-US" w:eastAsia="zh-CN"/>
                      <w14:ligatures w14:val="none"/>
                    </w:rPr>
                    <w:t>30000</w:t>
                  </w:r>
                </w:p>
              </w:tc>
              <w:tc>
                <w:tcPr>
                  <w:tcW w:w="1035" w:type="dxa"/>
                  <w:vAlign w:val="center"/>
                </w:tcPr>
                <w:p w14:paraId="0C9620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外购</w:t>
                  </w:r>
                </w:p>
              </w:tc>
            </w:tr>
            <w:tr w14:paraId="540BE1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30" w:type="dxa"/>
                  <w:bottom w:w="0" w:type="dxa"/>
                  <w:right w:w="30" w:type="dxa"/>
                </w:tblCellMar>
              </w:tblPrEx>
              <w:trPr>
                <w:cantSplit/>
                <w:trHeight w:val="20" w:hRule="atLeast"/>
                <w:jc w:val="center"/>
              </w:trPr>
              <w:tc>
                <w:tcPr>
                  <w:tcW w:w="679" w:type="dxa"/>
                  <w:vAlign w:val="center"/>
                </w:tcPr>
                <w:p w14:paraId="6433D7B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3</w:t>
                  </w:r>
                </w:p>
              </w:tc>
              <w:tc>
                <w:tcPr>
                  <w:tcW w:w="1785" w:type="dxa"/>
                  <w:vAlign w:val="center"/>
                </w:tcPr>
                <w:p w14:paraId="33E76D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default" w:ascii="Times New Roman" w:hAnsi="Times New Roman" w:eastAsia="宋体" w:cs="Times New Roman"/>
                      <w:color w:val="auto"/>
                      <w:szCs w:val="21"/>
                      <w:highlight w:val="none"/>
                      <w14:ligatures w14:val="none"/>
                    </w:rPr>
                    <w:t>生物质成型燃料</w:t>
                  </w:r>
                </w:p>
              </w:tc>
              <w:tc>
                <w:tcPr>
                  <w:tcW w:w="660" w:type="dxa"/>
                  <w:vAlign w:val="center"/>
                </w:tcPr>
                <w:p w14:paraId="5061E3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14:ligatures w14:val="none"/>
                    </w:rPr>
                  </w:pPr>
                  <w:r>
                    <w:rPr>
                      <w:rFonts w:hint="eastAsia" w:ascii="Times New Roman" w:hAnsi="Times New Roman" w:eastAsia="宋体" w:cs="Times New Roman"/>
                      <w:color w:val="auto"/>
                      <w:szCs w:val="21"/>
                      <w:highlight w:val="none"/>
                      <w:lang w:val="en-US" w:eastAsia="zh-CN"/>
                      <w14:ligatures w14:val="none"/>
                    </w:rPr>
                    <w:t>t/a</w:t>
                  </w:r>
                </w:p>
              </w:tc>
              <w:tc>
                <w:tcPr>
                  <w:tcW w:w="1345" w:type="dxa"/>
                  <w:vAlign w:val="center"/>
                </w:tcPr>
                <w:p w14:paraId="4142975F">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14:ligatures w14:val="none"/>
                    </w:rPr>
                  </w:pPr>
                  <w:r>
                    <w:rPr>
                      <w:rFonts w:hint="eastAsia" w:cs="Times New Roman"/>
                      <w:color w:val="auto"/>
                      <w:szCs w:val="21"/>
                      <w:highlight w:val="none"/>
                      <w:lang w:val="en-US" w:eastAsia="zh-CN"/>
                      <w14:ligatures w14:val="none"/>
                    </w:rPr>
                    <w:t>3187</w:t>
                  </w:r>
                </w:p>
              </w:tc>
              <w:tc>
                <w:tcPr>
                  <w:tcW w:w="1035" w:type="dxa"/>
                  <w:vAlign w:val="center"/>
                </w:tcPr>
                <w:p w14:paraId="45E743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14:ligatures w14:val="none"/>
                    </w:rPr>
                  </w:pPr>
                  <w:r>
                    <w:rPr>
                      <w:rFonts w:hint="eastAsia" w:ascii="Times New Roman" w:hAnsi="Times New Roman" w:eastAsia="宋体" w:cs="Times New Roman"/>
                      <w:color w:val="auto"/>
                      <w:szCs w:val="21"/>
                      <w:highlight w:val="none"/>
                      <w:lang w:val="en-US" w:eastAsia="zh-CN"/>
                      <w14:ligatures w14:val="none"/>
                    </w:rPr>
                    <w:t>外购</w:t>
                  </w:r>
                </w:p>
              </w:tc>
            </w:tr>
          </w:tbl>
          <w:p w14:paraId="0EF43E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lang w:val="en-US" w:eastAsia="zh-CN" w:bidi="ar-SA"/>
              </w:rPr>
            </w:pPr>
          </w:p>
          <w:p w14:paraId="0D7E582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表2-</w:t>
            </w:r>
            <w:r>
              <w:rPr>
                <w:rFonts w:hint="eastAsia" w:cs="Times New Roman"/>
                <w:b/>
                <w:bCs/>
                <w:color w:val="auto"/>
                <w:kern w:val="0"/>
                <w:sz w:val="21"/>
                <w:szCs w:val="21"/>
                <w:highlight w:val="none"/>
                <w:lang w:val="en-US" w:eastAsia="zh-CN" w:bidi="ar-SA"/>
              </w:rPr>
              <w:t>4</w:t>
            </w:r>
            <w:r>
              <w:rPr>
                <w:rFonts w:hint="default" w:ascii="Times New Roman" w:hAnsi="Times New Roman" w:eastAsia="宋体" w:cs="Times New Roman"/>
                <w:b/>
                <w:bCs/>
                <w:color w:val="auto"/>
                <w:kern w:val="0"/>
                <w:sz w:val="21"/>
                <w:szCs w:val="21"/>
                <w:highlight w:val="none"/>
                <w:lang w:val="en-US" w:eastAsia="zh-CN" w:bidi="ar-SA"/>
              </w:rPr>
              <w:t>燃料生物质成分分析一览表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65"/>
              <w:gridCol w:w="1278"/>
              <w:gridCol w:w="1496"/>
              <w:gridCol w:w="2135"/>
            </w:tblGrid>
            <w:tr w14:paraId="367FD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1843" w:type="pct"/>
                  <w:noWrap w:val="0"/>
                  <w:vAlign w:val="center"/>
                </w:tcPr>
                <w:p w14:paraId="5D7933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名称</w:t>
                  </w:r>
                </w:p>
              </w:tc>
              <w:tc>
                <w:tcPr>
                  <w:tcW w:w="822" w:type="pct"/>
                  <w:noWrap w:val="0"/>
                  <w:vAlign w:val="center"/>
                </w:tcPr>
                <w:p w14:paraId="51EE39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符号</w:t>
                  </w:r>
                </w:p>
              </w:tc>
              <w:tc>
                <w:tcPr>
                  <w:tcW w:w="962" w:type="pct"/>
                  <w:noWrap w:val="0"/>
                  <w:vAlign w:val="center"/>
                </w:tcPr>
                <w:p w14:paraId="2E9B87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单位</w:t>
                  </w:r>
                </w:p>
              </w:tc>
              <w:tc>
                <w:tcPr>
                  <w:tcW w:w="1373" w:type="pct"/>
                  <w:noWrap w:val="0"/>
                  <w:vAlign w:val="center"/>
                </w:tcPr>
                <w:p w14:paraId="6342A4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数值</w:t>
                  </w:r>
                </w:p>
              </w:tc>
            </w:tr>
            <w:tr w14:paraId="050C7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center"/>
                </w:tcPr>
                <w:p w14:paraId="2603D4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全水分</w:t>
                  </w:r>
                </w:p>
              </w:tc>
              <w:tc>
                <w:tcPr>
                  <w:tcW w:w="822" w:type="pct"/>
                  <w:noWrap w:val="0"/>
                  <w:vAlign w:val="center"/>
                </w:tcPr>
                <w:p w14:paraId="619117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Mar</w:t>
                  </w:r>
                </w:p>
              </w:tc>
              <w:tc>
                <w:tcPr>
                  <w:tcW w:w="962" w:type="pct"/>
                  <w:noWrap w:val="0"/>
                  <w:vAlign w:val="center"/>
                </w:tcPr>
                <w:p w14:paraId="588E9E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3F489F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29.48</w:t>
                  </w:r>
                </w:p>
              </w:tc>
            </w:tr>
            <w:tr w14:paraId="6D4D7D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center"/>
                </w:tcPr>
                <w:p w14:paraId="089C0A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收到基灰分</w:t>
                  </w:r>
                </w:p>
              </w:tc>
              <w:tc>
                <w:tcPr>
                  <w:tcW w:w="822" w:type="pct"/>
                  <w:noWrap w:val="0"/>
                  <w:vAlign w:val="center"/>
                </w:tcPr>
                <w:p w14:paraId="125375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Aar</w:t>
                  </w:r>
                </w:p>
              </w:tc>
              <w:tc>
                <w:tcPr>
                  <w:tcW w:w="962" w:type="pct"/>
                  <w:noWrap w:val="0"/>
                  <w:vAlign w:val="center"/>
                </w:tcPr>
                <w:p w14:paraId="581CB3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0F0C2F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4.65</w:t>
                  </w:r>
                </w:p>
              </w:tc>
            </w:tr>
            <w:tr w14:paraId="6D48C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top"/>
                </w:tcPr>
                <w:p w14:paraId="025C1C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收到基碳</w:t>
                  </w:r>
                </w:p>
              </w:tc>
              <w:tc>
                <w:tcPr>
                  <w:tcW w:w="822" w:type="pct"/>
                  <w:noWrap w:val="0"/>
                  <w:vAlign w:val="top"/>
                </w:tcPr>
                <w:p w14:paraId="303C85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C,ar</w:t>
                  </w:r>
                </w:p>
              </w:tc>
              <w:tc>
                <w:tcPr>
                  <w:tcW w:w="962" w:type="pct"/>
                  <w:noWrap w:val="0"/>
                  <w:vAlign w:val="center"/>
                </w:tcPr>
                <w:p w14:paraId="09836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24D158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11.14</w:t>
                  </w:r>
                </w:p>
              </w:tc>
            </w:tr>
            <w:tr w14:paraId="4EF25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top"/>
                </w:tcPr>
                <w:p w14:paraId="5B632C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收到基氢</w:t>
                  </w:r>
                </w:p>
              </w:tc>
              <w:tc>
                <w:tcPr>
                  <w:tcW w:w="822" w:type="pct"/>
                  <w:noWrap w:val="0"/>
                  <w:vAlign w:val="top"/>
                </w:tcPr>
                <w:p w14:paraId="4201CF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H,ar</w:t>
                  </w:r>
                </w:p>
              </w:tc>
              <w:tc>
                <w:tcPr>
                  <w:tcW w:w="962" w:type="pct"/>
                  <w:noWrap w:val="0"/>
                  <w:vAlign w:val="center"/>
                </w:tcPr>
                <w:p w14:paraId="0E3EB2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721EBE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w:t>
                  </w:r>
                  <w:r>
                    <w:rPr>
                      <w:rFonts w:hint="eastAsia" w:ascii="Times New Roman" w:hAnsi="Times New Roman" w:eastAsia="宋体" w:cs="Times New Roman"/>
                      <w:color w:val="auto"/>
                      <w:szCs w:val="21"/>
                      <w:highlight w:val="none"/>
                      <w:lang w:val="en-US" w:eastAsia="zh-CN"/>
                    </w:rPr>
                    <w:t>09</w:t>
                  </w:r>
                </w:p>
              </w:tc>
            </w:tr>
            <w:tr w14:paraId="4763D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top"/>
                </w:tcPr>
                <w:p w14:paraId="0B5AEF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收到基氮</w:t>
                  </w:r>
                </w:p>
              </w:tc>
              <w:tc>
                <w:tcPr>
                  <w:tcW w:w="822" w:type="pct"/>
                  <w:noWrap w:val="0"/>
                  <w:vAlign w:val="top"/>
                </w:tcPr>
                <w:p w14:paraId="48F277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N,ar</w:t>
                  </w:r>
                </w:p>
              </w:tc>
              <w:tc>
                <w:tcPr>
                  <w:tcW w:w="962" w:type="pct"/>
                  <w:noWrap w:val="0"/>
                  <w:vAlign w:val="center"/>
                </w:tcPr>
                <w:p w14:paraId="4BAA07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0FF1A9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&lt;0.01</w:t>
                  </w:r>
                </w:p>
              </w:tc>
            </w:tr>
            <w:tr w14:paraId="7D454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noWrap w:val="0"/>
                  <w:vAlign w:val="top"/>
                </w:tcPr>
                <w:p w14:paraId="1D3289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收到基氧</w:t>
                  </w:r>
                </w:p>
              </w:tc>
              <w:tc>
                <w:tcPr>
                  <w:tcW w:w="822" w:type="pct"/>
                  <w:noWrap w:val="0"/>
                  <w:vAlign w:val="top"/>
                </w:tcPr>
                <w:p w14:paraId="759C11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O,ar</w:t>
                  </w:r>
                </w:p>
              </w:tc>
              <w:tc>
                <w:tcPr>
                  <w:tcW w:w="962" w:type="pct"/>
                  <w:noWrap w:val="0"/>
                  <w:vAlign w:val="center"/>
                </w:tcPr>
                <w:p w14:paraId="452D12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57EDE9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29.43</w:t>
                  </w:r>
                </w:p>
              </w:tc>
            </w:tr>
            <w:tr w14:paraId="4916E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843" w:type="pct"/>
                  <w:noWrap w:val="0"/>
                  <w:vAlign w:val="center"/>
                </w:tcPr>
                <w:p w14:paraId="783FD4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收到基全硫</w:t>
                  </w:r>
                </w:p>
              </w:tc>
              <w:tc>
                <w:tcPr>
                  <w:tcW w:w="822" w:type="pct"/>
                  <w:noWrap w:val="0"/>
                  <w:vAlign w:val="center"/>
                </w:tcPr>
                <w:p w14:paraId="0D48FA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St,ar</w:t>
                  </w:r>
                </w:p>
              </w:tc>
              <w:tc>
                <w:tcPr>
                  <w:tcW w:w="962" w:type="pct"/>
                  <w:noWrap w:val="0"/>
                  <w:vAlign w:val="center"/>
                </w:tcPr>
                <w:p w14:paraId="3C4681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1373" w:type="pct"/>
                  <w:noWrap w:val="0"/>
                  <w:vAlign w:val="center"/>
                </w:tcPr>
                <w:p w14:paraId="7C98E9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0.0</w:t>
                  </w:r>
                  <w:r>
                    <w:rPr>
                      <w:rFonts w:hint="eastAsia" w:ascii="Times New Roman" w:hAnsi="Times New Roman" w:eastAsia="宋体" w:cs="Times New Roman"/>
                      <w:color w:val="auto"/>
                      <w:szCs w:val="21"/>
                      <w:highlight w:val="none"/>
                      <w:lang w:val="en-US" w:eastAsia="zh-CN"/>
                    </w:rPr>
                    <w:t>5</w:t>
                  </w:r>
                </w:p>
              </w:tc>
            </w:tr>
            <w:tr w14:paraId="3354B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vMerge w:val="restart"/>
                  <w:noWrap w:val="0"/>
                  <w:vAlign w:val="center"/>
                </w:tcPr>
                <w:p w14:paraId="1C7A6C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收到基低位发热量</w:t>
                  </w:r>
                </w:p>
              </w:tc>
              <w:tc>
                <w:tcPr>
                  <w:tcW w:w="822" w:type="pct"/>
                  <w:vMerge w:val="restart"/>
                  <w:noWrap w:val="0"/>
                  <w:vAlign w:val="center"/>
                </w:tcPr>
                <w:p w14:paraId="5EEDF8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Qnet,ar</w:t>
                  </w:r>
                </w:p>
              </w:tc>
              <w:tc>
                <w:tcPr>
                  <w:tcW w:w="962" w:type="pct"/>
                  <w:noWrap w:val="0"/>
                  <w:vAlign w:val="center"/>
                </w:tcPr>
                <w:p w14:paraId="70C180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MJ/kg</w:t>
                  </w:r>
                </w:p>
              </w:tc>
              <w:tc>
                <w:tcPr>
                  <w:tcW w:w="1373" w:type="pct"/>
                  <w:noWrap w:val="0"/>
                  <w:vAlign w:val="center"/>
                </w:tcPr>
                <w:p w14:paraId="7F146F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14.40</w:t>
                  </w:r>
                </w:p>
              </w:tc>
            </w:tr>
            <w:tr w14:paraId="46143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43" w:type="pct"/>
                  <w:vMerge w:val="continue"/>
                  <w:noWrap w:val="0"/>
                  <w:vAlign w:val="center"/>
                </w:tcPr>
                <w:p w14:paraId="6642BA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822" w:type="pct"/>
                  <w:vMerge w:val="continue"/>
                  <w:noWrap w:val="0"/>
                  <w:vAlign w:val="center"/>
                </w:tcPr>
                <w:p w14:paraId="77F94D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962" w:type="pct"/>
                  <w:noWrap w:val="0"/>
                  <w:vAlign w:val="center"/>
                </w:tcPr>
                <w:p w14:paraId="4A5E18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Kcal/kg</w:t>
                  </w:r>
                </w:p>
              </w:tc>
              <w:tc>
                <w:tcPr>
                  <w:tcW w:w="1373" w:type="pct"/>
                  <w:noWrap w:val="0"/>
                  <w:vAlign w:val="center"/>
                </w:tcPr>
                <w:p w14:paraId="3AD38A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3600</w:t>
                  </w:r>
                </w:p>
              </w:tc>
            </w:tr>
          </w:tbl>
          <w:p w14:paraId="5594BAC8">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本项目水分蒸发量依据W=G（ω1-ω2）÷（100-ω2）进行计算。</w:t>
            </w:r>
          </w:p>
          <w:p w14:paraId="0D6E8C4A">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W：水分蒸发量</w:t>
            </w:r>
          </w:p>
          <w:p w14:paraId="1297C34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G：处理量（玉米为</w:t>
            </w:r>
            <w:r>
              <w:rPr>
                <w:rFonts w:hint="eastAsia" w:cs="Times New Roman"/>
                <w:color w:val="auto"/>
                <w:kern w:val="0"/>
                <w:sz w:val="24"/>
                <w:szCs w:val="24"/>
                <w:highlight w:val="none"/>
                <w:lang w:val="en-US" w:eastAsia="zh-CN" w:bidi="ar"/>
              </w:rPr>
              <w:t>300</w:t>
            </w:r>
            <w:r>
              <w:rPr>
                <w:rFonts w:hint="default" w:ascii="Times New Roman" w:hAnsi="Times New Roman" w:eastAsia="宋体" w:cs="Times New Roman"/>
                <w:color w:val="auto"/>
                <w:kern w:val="0"/>
                <w:sz w:val="24"/>
                <w:szCs w:val="24"/>
                <w:highlight w:val="none"/>
                <w:lang w:val="en-US" w:eastAsia="zh-CN" w:bidi="ar"/>
              </w:rPr>
              <w:t>00</w:t>
            </w:r>
            <w:r>
              <w:rPr>
                <w:rFonts w:hint="default" w:ascii="Times New Roman" w:hAnsi="Times New Roman" w:eastAsia="宋体" w:cs="Times New Roman"/>
                <w:color w:val="auto"/>
                <w:kern w:val="0"/>
                <w:sz w:val="24"/>
                <w:szCs w:val="24"/>
                <w:highlight w:val="none"/>
                <w:lang w:bidi="ar"/>
              </w:rPr>
              <w:t>吨</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val="en-US" w:eastAsia="zh-CN" w:bidi="ar"/>
              </w:rPr>
              <w:t>水稻</w:t>
            </w:r>
            <w:r>
              <w:rPr>
                <w:rFonts w:hint="eastAsia" w:cs="Times New Roman"/>
                <w:color w:val="auto"/>
                <w:kern w:val="0"/>
                <w:sz w:val="24"/>
                <w:szCs w:val="24"/>
                <w:highlight w:val="none"/>
                <w:lang w:val="en-US" w:eastAsia="zh-CN" w:bidi="ar"/>
              </w:rPr>
              <w:t>300</w:t>
            </w:r>
            <w:r>
              <w:rPr>
                <w:rFonts w:hint="default" w:ascii="Times New Roman" w:hAnsi="Times New Roman" w:eastAsia="宋体" w:cs="Times New Roman"/>
                <w:color w:val="auto"/>
                <w:kern w:val="0"/>
                <w:sz w:val="24"/>
                <w:szCs w:val="24"/>
                <w:highlight w:val="none"/>
                <w:lang w:val="en-US" w:eastAsia="zh-CN" w:bidi="ar"/>
              </w:rPr>
              <w:t>00吨</w:t>
            </w:r>
            <w:r>
              <w:rPr>
                <w:rFonts w:hint="default" w:ascii="Times New Roman" w:hAnsi="Times New Roman" w:eastAsia="宋体" w:cs="Times New Roman"/>
                <w:color w:val="auto"/>
                <w:kern w:val="0"/>
                <w:sz w:val="24"/>
                <w:szCs w:val="24"/>
                <w:highlight w:val="none"/>
                <w:lang w:bidi="ar"/>
              </w:rPr>
              <w:t>）</w:t>
            </w:r>
          </w:p>
          <w:p w14:paraId="198ABBC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ω1：进料含水量百分数（玉米为30%</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val="en-US" w:eastAsia="zh-CN" w:bidi="ar"/>
              </w:rPr>
              <w:t>水稻为</w:t>
            </w:r>
            <w:r>
              <w:rPr>
                <w:rFonts w:hint="eastAsia" w:cs="Times New Roman"/>
                <w:color w:val="auto"/>
                <w:kern w:val="0"/>
                <w:sz w:val="24"/>
                <w:szCs w:val="24"/>
                <w:highlight w:val="none"/>
                <w:lang w:val="en-US" w:eastAsia="zh-CN" w:bidi="ar"/>
              </w:rPr>
              <w:t>20</w:t>
            </w:r>
            <w:r>
              <w:rPr>
                <w:rFonts w:hint="default" w:ascii="Times New Roman" w:hAnsi="Times New Roman" w:eastAsia="宋体" w:cs="Times New Roman"/>
                <w:color w:val="auto"/>
                <w:kern w:val="0"/>
                <w:sz w:val="24"/>
                <w:szCs w:val="24"/>
                <w:highlight w:val="none"/>
                <w:lang w:bidi="ar"/>
              </w:rPr>
              <w:t>%）</w:t>
            </w:r>
          </w:p>
          <w:p w14:paraId="356CB4E1">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ω2：出料含水量百分数（玉米为1</w:t>
            </w:r>
            <w:r>
              <w:rPr>
                <w:rFonts w:hint="default" w:ascii="Times New Roman" w:hAnsi="Times New Roman" w:eastAsia="宋体"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val="en-US" w:eastAsia="zh-CN" w:bidi="ar"/>
              </w:rPr>
              <w:t>水稻</w:t>
            </w:r>
            <w:r>
              <w:rPr>
                <w:rFonts w:hint="default" w:ascii="Times New Roman" w:hAnsi="Times New Roman" w:eastAsia="宋体" w:cs="Times New Roman"/>
                <w:color w:val="auto"/>
                <w:kern w:val="0"/>
                <w:sz w:val="24"/>
                <w:szCs w:val="24"/>
                <w:highlight w:val="none"/>
                <w:lang w:bidi="ar"/>
              </w:rPr>
              <w:t>为1</w:t>
            </w:r>
            <w:r>
              <w:rPr>
                <w:rFonts w:hint="default" w:ascii="Times New Roman" w:hAnsi="Times New Roman" w:eastAsia="宋体" w:cs="Times New Roman"/>
                <w:color w:val="auto"/>
                <w:kern w:val="0"/>
                <w:sz w:val="24"/>
                <w:szCs w:val="24"/>
                <w:highlight w:val="none"/>
                <w:lang w:val="en-US" w:eastAsia="zh-CN" w:bidi="ar"/>
              </w:rPr>
              <w:t>4.5</w:t>
            </w:r>
            <w:r>
              <w:rPr>
                <w:rFonts w:hint="default" w:ascii="Times New Roman" w:hAnsi="Times New Roman" w:eastAsia="宋体" w:cs="Times New Roman"/>
                <w:color w:val="auto"/>
                <w:kern w:val="0"/>
                <w:sz w:val="24"/>
                <w:szCs w:val="24"/>
                <w:highlight w:val="none"/>
                <w:lang w:bidi="ar"/>
              </w:rPr>
              <w:t>%）</w:t>
            </w:r>
          </w:p>
          <w:p w14:paraId="7AA5B913">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1千卡（kcal）=4186焦耳（J）</w:t>
            </w:r>
          </w:p>
          <w:p w14:paraId="444CD29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本项目水分蒸发量为：</w:t>
            </w:r>
          </w:p>
          <w:p w14:paraId="3ECD0E76">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W</w:t>
            </w:r>
            <w:r>
              <w:rPr>
                <w:rFonts w:hint="default" w:ascii="Times New Roman" w:hAnsi="Times New Roman" w:eastAsia="宋体" w:cs="Times New Roman"/>
                <w:color w:val="auto"/>
                <w:kern w:val="0"/>
                <w:sz w:val="24"/>
                <w:szCs w:val="24"/>
                <w:highlight w:val="none"/>
                <w:vertAlign w:val="subscript"/>
                <w:lang w:val="en-US" w:eastAsia="zh-CN" w:bidi="ar"/>
              </w:rPr>
              <w:t>玉米</w:t>
            </w:r>
            <w:r>
              <w:rPr>
                <w:rFonts w:hint="default" w:ascii="Times New Roman" w:hAnsi="Times New Roman" w:eastAsia="宋体" w:cs="Times New Roman"/>
                <w:color w:val="auto"/>
                <w:kern w:val="0"/>
                <w:sz w:val="24"/>
                <w:szCs w:val="24"/>
                <w:highlight w:val="none"/>
                <w:lang w:bidi="ar"/>
              </w:rPr>
              <w:t>=G（ω1-ω2）÷（100-ω2）</w:t>
            </w:r>
          </w:p>
          <w:p w14:paraId="5E71E1BF">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szCs w:val="24"/>
                <w:highlight w:val="none"/>
                <w:lang w:eastAsia="zh-CN" w:bidi="ar"/>
              </w:rPr>
            </w:pPr>
            <w:r>
              <w:rPr>
                <w:rFonts w:hint="default" w:ascii="Times New Roman" w:hAnsi="Times New Roman" w:eastAsia="宋体" w:cs="Times New Roman"/>
                <w:color w:val="auto"/>
                <w:kern w:val="0"/>
                <w:sz w:val="24"/>
                <w:szCs w:val="24"/>
                <w:highlight w:val="none"/>
                <w:lang w:bidi="ar"/>
              </w:rPr>
              <w:t>=</w:t>
            </w:r>
            <w:r>
              <w:rPr>
                <w:rFonts w:hint="eastAsia" w:cs="Times New Roman"/>
                <w:color w:val="auto"/>
                <w:kern w:val="0"/>
                <w:sz w:val="24"/>
                <w:szCs w:val="24"/>
                <w:highlight w:val="none"/>
                <w:lang w:val="en-US" w:eastAsia="zh-CN" w:bidi="ar"/>
              </w:rPr>
              <w:t>300</w:t>
            </w:r>
            <w:r>
              <w:rPr>
                <w:rFonts w:hint="default" w:ascii="Times New Roman" w:hAnsi="Times New Roman" w:eastAsia="宋体" w:cs="Times New Roman"/>
                <w:color w:val="auto"/>
                <w:kern w:val="0"/>
                <w:sz w:val="24"/>
                <w:szCs w:val="24"/>
                <w:highlight w:val="none"/>
                <w:lang w:val="en-US" w:eastAsia="zh-CN" w:bidi="ar"/>
              </w:rPr>
              <w:t>00</w:t>
            </w:r>
            <w:r>
              <w:rPr>
                <w:rFonts w:hint="default" w:ascii="Times New Roman" w:hAnsi="Times New Roman" w:eastAsia="宋体" w:cs="Times New Roman"/>
                <w:color w:val="auto"/>
                <w:kern w:val="0"/>
                <w:sz w:val="24"/>
                <w:szCs w:val="24"/>
                <w:highlight w:val="none"/>
                <w:lang w:bidi="ar"/>
              </w:rPr>
              <w:t>×（30-1</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）÷（100-1</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w:t>
            </w:r>
            <w:r>
              <w:rPr>
                <w:rFonts w:hint="eastAsia" w:cs="Times New Roman"/>
                <w:color w:val="auto"/>
                <w:kern w:val="0"/>
                <w:sz w:val="24"/>
                <w:szCs w:val="24"/>
                <w:highlight w:val="none"/>
                <w:lang w:val="en-US" w:eastAsia="zh-CN" w:bidi="ar"/>
              </w:rPr>
              <w:t>5294.12</w:t>
            </w:r>
            <w:r>
              <w:rPr>
                <w:rFonts w:hint="default" w:ascii="Times New Roman" w:hAnsi="Times New Roman" w:eastAsia="宋体" w:cs="Times New Roman"/>
                <w:color w:val="auto"/>
                <w:kern w:val="0"/>
                <w:sz w:val="24"/>
                <w:szCs w:val="24"/>
                <w:highlight w:val="none"/>
                <w:lang w:bidi="ar"/>
              </w:rPr>
              <w:t>t</w:t>
            </w:r>
          </w:p>
          <w:p w14:paraId="4535A2D2">
            <w:pPr>
              <w:pStyle w:val="32"/>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w:t>
            </w:r>
            <w:r>
              <w:rPr>
                <w:rFonts w:hint="default" w:ascii="Times New Roman" w:hAnsi="Times New Roman" w:eastAsia="宋体" w:cs="Times New Roman"/>
                <w:color w:val="auto"/>
                <w:kern w:val="0"/>
                <w:sz w:val="24"/>
                <w:szCs w:val="24"/>
                <w:highlight w:val="none"/>
                <w:vertAlign w:val="subscript"/>
                <w:lang w:val="en-US" w:eastAsia="zh-CN" w:bidi="ar"/>
              </w:rPr>
              <w:t>水稻</w:t>
            </w:r>
            <w:r>
              <w:rPr>
                <w:rFonts w:hint="default" w:ascii="Times New Roman" w:hAnsi="Times New Roman" w:eastAsia="宋体" w:cs="Times New Roman"/>
                <w:color w:val="auto"/>
                <w:kern w:val="0"/>
                <w:sz w:val="24"/>
                <w:szCs w:val="24"/>
                <w:highlight w:val="none"/>
                <w:vertAlign w:val="baseline"/>
                <w:lang w:val="en-US" w:eastAsia="zh-CN" w:bidi="ar"/>
              </w:rPr>
              <w:t>=</w:t>
            </w:r>
            <w:r>
              <w:rPr>
                <w:rFonts w:hint="eastAsia" w:cs="Times New Roman"/>
                <w:color w:val="auto"/>
                <w:kern w:val="0"/>
                <w:sz w:val="24"/>
                <w:szCs w:val="24"/>
                <w:highlight w:val="none"/>
                <w:vertAlign w:val="baseline"/>
                <w:lang w:val="en-US" w:eastAsia="zh-CN" w:bidi="ar"/>
              </w:rPr>
              <w:t>300</w:t>
            </w:r>
            <w:r>
              <w:rPr>
                <w:rFonts w:hint="default" w:ascii="Times New Roman" w:hAnsi="Times New Roman" w:eastAsia="宋体" w:cs="Times New Roman"/>
                <w:color w:val="auto"/>
                <w:kern w:val="0"/>
                <w:sz w:val="24"/>
                <w:szCs w:val="24"/>
                <w:highlight w:val="none"/>
                <w:vertAlign w:val="baseline"/>
                <w:lang w:val="en-US" w:eastAsia="zh-CN" w:bidi="ar"/>
              </w:rPr>
              <w:t>00</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eastAsia="zh-CN" w:bidi="ar"/>
              </w:rPr>
              <w:t>（</w:t>
            </w:r>
            <w:r>
              <w:rPr>
                <w:rFonts w:hint="eastAsia" w:cs="Times New Roman"/>
                <w:color w:val="auto"/>
                <w:kern w:val="0"/>
                <w:sz w:val="24"/>
                <w:szCs w:val="24"/>
                <w:highlight w:val="none"/>
                <w:lang w:val="en-US" w:eastAsia="zh-CN" w:bidi="ar"/>
              </w:rPr>
              <w:t>20</w:t>
            </w:r>
            <w:r>
              <w:rPr>
                <w:rFonts w:hint="default" w:ascii="Times New Roman" w:hAnsi="Times New Roman" w:eastAsia="宋体" w:cs="Times New Roman"/>
                <w:color w:val="auto"/>
                <w:kern w:val="0"/>
                <w:sz w:val="24"/>
                <w:szCs w:val="24"/>
                <w:highlight w:val="none"/>
                <w:lang w:val="en-US" w:eastAsia="zh-CN" w:bidi="ar"/>
              </w:rPr>
              <w:t>-14.5</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val="en-US" w:eastAsia="zh-CN" w:bidi="ar"/>
              </w:rPr>
              <w:t>100-14.5</w:t>
            </w:r>
            <w:r>
              <w:rPr>
                <w:rFonts w:hint="default" w:ascii="Times New Roman" w:hAnsi="Times New Roman" w:eastAsia="宋体" w:cs="Times New Roman"/>
                <w:color w:val="auto"/>
                <w:kern w:val="0"/>
                <w:sz w:val="24"/>
                <w:szCs w:val="24"/>
                <w:highlight w:val="none"/>
                <w:lang w:eastAsia="zh-CN" w:bidi="ar"/>
              </w:rPr>
              <w:t>）</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1929.82</w:t>
            </w:r>
            <w:r>
              <w:rPr>
                <w:rFonts w:hint="default" w:ascii="Times New Roman" w:hAnsi="Times New Roman" w:eastAsia="宋体" w:cs="Times New Roman"/>
                <w:color w:val="auto"/>
                <w:kern w:val="0"/>
                <w:sz w:val="24"/>
                <w:szCs w:val="24"/>
                <w:highlight w:val="none"/>
                <w:lang w:val="en-US" w:eastAsia="zh-CN" w:bidi="ar"/>
              </w:rPr>
              <w:t>t</w:t>
            </w:r>
          </w:p>
          <w:p w14:paraId="720A9A3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w:t>
            </w:r>
            <w:r>
              <w:rPr>
                <w:rFonts w:hint="default" w:ascii="Times New Roman" w:hAnsi="Times New Roman" w:eastAsia="宋体" w:cs="Times New Roman"/>
                <w:color w:val="auto"/>
                <w:kern w:val="0"/>
                <w:sz w:val="24"/>
                <w:szCs w:val="24"/>
                <w:highlight w:val="none"/>
                <w:vertAlign w:val="baseline"/>
                <w:lang w:val="en-US" w:eastAsia="zh-CN" w:bidi="ar"/>
              </w:rPr>
              <w:t>=</w:t>
            </w:r>
            <w:r>
              <w:rPr>
                <w:rFonts w:hint="default" w:ascii="Times New Roman" w:hAnsi="Times New Roman" w:eastAsia="宋体" w:cs="Times New Roman"/>
                <w:color w:val="auto"/>
                <w:kern w:val="0"/>
                <w:sz w:val="24"/>
                <w:szCs w:val="24"/>
                <w:highlight w:val="none"/>
                <w:lang w:val="en-US" w:eastAsia="zh-CN" w:bidi="ar"/>
              </w:rPr>
              <w:t>W</w:t>
            </w:r>
            <w:r>
              <w:rPr>
                <w:rFonts w:hint="default" w:ascii="Times New Roman" w:hAnsi="Times New Roman" w:eastAsia="宋体" w:cs="Times New Roman"/>
                <w:color w:val="auto"/>
                <w:kern w:val="0"/>
                <w:sz w:val="24"/>
                <w:szCs w:val="24"/>
                <w:highlight w:val="none"/>
                <w:vertAlign w:val="subscript"/>
                <w:lang w:val="en-US" w:eastAsia="zh-CN" w:bidi="ar"/>
              </w:rPr>
              <w:t>水稻</w:t>
            </w:r>
            <w:r>
              <w:rPr>
                <w:rFonts w:hint="eastAsia" w:ascii="Times New Roman" w:hAnsi="Times New Roman" w:eastAsia="宋体" w:cs="Times New Roman"/>
                <w:color w:val="auto"/>
                <w:kern w:val="0"/>
                <w:sz w:val="24"/>
                <w:szCs w:val="24"/>
                <w:highlight w:val="none"/>
                <w:vertAlign w:val="baseline"/>
                <w:lang w:val="en-US" w:eastAsia="zh-CN" w:bidi="ar"/>
              </w:rPr>
              <w:t>+</w:t>
            </w:r>
            <w:r>
              <w:rPr>
                <w:rFonts w:hint="default" w:ascii="Times New Roman" w:hAnsi="Times New Roman" w:eastAsia="宋体" w:cs="Times New Roman"/>
                <w:color w:val="auto"/>
                <w:kern w:val="0"/>
                <w:sz w:val="24"/>
                <w:szCs w:val="24"/>
                <w:highlight w:val="none"/>
                <w:lang w:bidi="ar"/>
              </w:rPr>
              <w:t>W</w:t>
            </w:r>
            <w:r>
              <w:rPr>
                <w:rFonts w:hint="default" w:ascii="Times New Roman" w:hAnsi="Times New Roman" w:eastAsia="宋体" w:cs="Times New Roman"/>
                <w:color w:val="auto"/>
                <w:kern w:val="0"/>
                <w:sz w:val="24"/>
                <w:szCs w:val="24"/>
                <w:highlight w:val="none"/>
                <w:vertAlign w:val="subscript"/>
                <w:lang w:val="en-US" w:eastAsia="zh-CN" w:bidi="ar"/>
              </w:rPr>
              <w:t>玉米</w:t>
            </w:r>
            <w:r>
              <w:rPr>
                <w:rFonts w:hint="eastAsia" w:ascii="Times New Roman" w:hAnsi="Times New Roman" w:eastAsia="宋体" w:cs="Times New Roman"/>
                <w:color w:val="auto"/>
                <w:kern w:val="0"/>
                <w:sz w:val="24"/>
                <w:szCs w:val="24"/>
                <w:highlight w:val="none"/>
                <w:vertAlign w:val="baseline"/>
                <w:lang w:val="en-US" w:eastAsia="zh-CN" w:bidi="ar"/>
              </w:rPr>
              <w:t>=</w:t>
            </w:r>
            <w:r>
              <w:rPr>
                <w:rFonts w:hint="eastAsia" w:cs="Times New Roman"/>
                <w:color w:val="auto"/>
                <w:kern w:val="0"/>
                <w:sz w:val="24"/>
                <w:szCs w:val="24"/>
                <w:highlight w:val="none"/>
                <w:lang w:val="en-US" w:eastAsia="zh-CN" w:bidi="ar"/>
              </w:rPr>
              <w:t>5294.12+1929.82=7223.94</w:t>
            </w:r>
            <w:r>
              <w:rPr>
                <w:rFonts w:hint="default" w:ascii="Times New Roman" w:hAnsi="Times New Roman" w:eastAsia="宋体" w:cs="Times New Roman"/>
                <w:color w:val="auto"/>
                <w:kern w:val="0"/>
                <w:sz w:val="24"/>
                <w:szCs w:val="24"/>
                <w:highlight w:val="none"/>
                <w:lang w:val="en-US" w:eastAsia="zh-CN" w:bidi="ar"/>
              </w:rPr>
              <w:t>t</w:t>
            </w:r>
          </w:p>
          <w:p w14:paraId="07A0896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4"/>
                <w:szCs w:val="24"/>
                <w:highlight w:val="none"/>
                <w:lang w:bidi="ar"/>
              </w:rPr>
              <w:t>热风炉热效率为</w:t>
            </w:r>
            <w:r>
              <w:rPr>
                <w:rFonts w:hint="default" w:ascii="Times New Roman" w:hAnsi="Times New Roman" w:eastAsia="宋体" w:cs="Times New Roman"/>
                <w:color w:val="auto"/>
                <w:kern w:val="0"/>
                <w:sz w:val="24"/>
                <w:szCs w:val="24"/>
                <w:highlight w:val="none"/>
                <w:lang w:val="en-US" w:eastAsia="zh-CN" w:bidi="ar"/>
              </w:rPr>
              <w:t>8</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w:t>
            </w:r>
          </w:p>
          <w:p w14:paraId="23E6C352">
            <w:pPr>
              <w:keepNext w:val="0"/>
              <w:keepLines w:val="0"/>
              <w:suppressLineNumbers w:val="0"/>
              <w:tabs>
                <w:tab w:val="left" w:pos="648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烘干能耗：E=W×能耗=</w:t>
            </w:r>
            <w:r>
              <w:rPr>
                <w:rFonts w:hint="eastAsia" w:cs="Times New Roman"/>
                <w:color w:val="auto"/>
                <w:kern w:val="0"/>
                <w:sz w:val="24"/>
                <w:szCs w:val="24"/>
                <w:highlight w:val="none"/>
                <w:lang w:val="en-US" w:eastAsia="zh-CN" w:bidi="ar"/>
              </w:rPr>
              <w:t>7223.94</w:t>
            </w:r>
            <w:r>
              <w:rPr>
                <w:rFonts w:hint="default" w:ascii="Times New Roman" w:hAnsi="Times New Roman" w:eastAsia="宋体" w:cs="Times New Roman"/>
                <w:color w:val="auto"/>
                <w:kern w:val="0"/>
                <w:sz w:val="24"/>
                <w:szCs w:val="24"/>
                <w:highlight w:val="none"/>
                <w:lang w:val="en-US" w:eastAsia="zh-CN" w:bidi="ar"/>
              </w:rPr>
              <w:t>×5400kJ/kg×10</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39009276</w:t>
            </w:r>
            <w:r>
              <w:rPr>
                <w:rFonts w:hint="default" w:ascii="Times New Roman" w:hAnsi="Times New Roman" w:eastAsia="宋体" w:cs="Times New Roman"/>
                <w:color w:val="auto"/>
                <w:kern w:val="0"/>
                <w:sz w:val="24"/>
                <w:szCs w:val="24"/>
                <w:highlight w:val="none"/>
                <w:lang w:val="en-US" w:eastAsia="zh-CN" w:bidi="ar"/>
              </w:rPr>
              <w:t>000kJ/a；</w:t>
            </w:r>
          </w:p>
          <w:p w14:paraId="1EA9979D">
            <w:pPr>
              <w:keepNext w:val="0"/>
              <w:keepLines w:val="0"/>
              <w:suppressLineNumbers w:val="0"/>
              <w:tabs>
                <w:tab w:val="left" w:pos="648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燃料消耗量=E÷热值÷热效率=</w:t>
            </w:r>
            <w:r>
              <w:rPr>
                <w:rFonts w:hint="eastAsia" w:cs="Times New Roman"/>
                <w:color w:val="auto"/>
                <w:kern w:val="0"/>
                <w:sz w:val="24"/>
                <w:szCs w:val="24"/>
                <w:highlight w:val="none"/>
                <w:lang w:val="en-US" w:eastAsia="zh-CN" w:bidi="ar"/>
              </w:rPr>
              <w:t>39009276</w:t>
            </w:r>
            <w:r>
              <w:rPr>
                <w:rFonts w:hint="default" w:ascii="Times New Roman" w:hAnsi="Times New Roman" w:eastAsia="宋体" w:cs="Times New Roman"/>
                <w:color w:val="auto"/>
                <w:kern w:val="0"/>
                <w:sz w:val="24"/>
                <w:szCs w:val="24"/>
                <w:highlight w:val="none"/>
                <w:lang w:val="en-US" w:eastAsia="zh-CN" w:bidi="ar"/>
              </w:rPr>
              <w:t>000÷1</w:t>
            </w:r>
            <w:r>
              <w:rPr>
                <w:rFonts w:hint="eastAsia" w:cs="Times New Roman"/>
                <w:color w:val="auto"/>
                <w:kern w:val="0"/>
                <w:sz w:val="24"/>
                <w:szCs w:val="24"/>
                <w:highlight w:val="none"/>
                <w:lang w:val="en-US" w:eastAsia="zh-CN" w:bidi="ar"/>
              </w:rPr>
              <w:t>4.40</w:t>
            </w:r>
            <w:r>
              <w:rPr>
                <w:rFonts w:hint="default" w:ascii="Times New Roman" w:hAnsi="Times New Roman" w:eastAsia="宋体" w:cs="Times New Roman"/>
                <w:color w:val="auto"/>
                <w:kern w:val="0"/>
                <w:sz w:val="24"/>
                <w:szCs w:val="24"/>
                <w:highlight w:val="none"/>
                <w:lang w:val="en-US" w:eastAsia="zh-CN" w:bidi="ar"/>
              </w:rPr>
              <w:t>÷8</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%×10</w:t>
            </w:r>
            <w:r>
              <w:rPr>
                <w:rFonts w:hint="default" w:ascii="Times New Roman" w:hAnsi="Times New Roman" w:eastAsia="宋体" w:cs="Times New Roman"/>
                <w:color w:val="auto"/>
                <w:kern w:val="0"/>
                <w:sz w:val="24"/>
                <w:szCs w:val="24"/>
                <w:highlight w:val="none"/>
                <w:vertAlign w:val="superscript"/>
                <w:lang w:val="en-US" w:eastAsia="zh-CN" w:bidi="ar"/>
              </w:rPr>
              <w:t>-6</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3187</w:t>
            </w:r>
            <w:r>
              <w:rPr>
                <w:rFonts w:hint="default" w:ascii="Times New Roman" w:hAnsi="Times New Roman" w:eastAsia="宋体" w:cs="Times New Roman"/>
                <w:color w:val="auto"/>
                <w:kern w:val="0"/>
                <w:sz w:val="24"/>
                <w:szCs w:val="24"/>
                <w:highlight w:val="none"/>
                <w:lang w:val="en-US" w:eastAsia="zh-CN" w:bidi="ar"/>
              </w:rPr>
              <w:t>t/a；</w:t>
            </w:r>
          </w:p>
          <w:p w14:paraId="78A877DB">
            <w:pPr>
              <w:keepNext w:val="0"/>
              <w:keepLines w:val="0"/>
              <w:suppressLineNumbers w:val="0"/>
              <w:tabs>
                <w:tab w:val="left" w:pos="648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综上，本项目生物质燃料总量为</w:t>
            </w:r>
            <w:r>
              <w:rPr>
                <w:rFonts w:hint="eastAsia" w:cs="Times New Roman"/>
                <w:color w:val="auto"/>
                <w:kern w:val="0"/>
                <w:sz w:val="24"/>
                <w:szCs w:val="24"/>
                <w:highlight w:val="none"/>
                <w:lang w:val="en-US" w:eastAsia="zh-CN" w:bidi="ar"/>
              </w:rPr>
              <w:t>3187</w:t>
            </w:r>
            <w:r>
              <w:rPr>
                <w:rFonts w:hint="default" w:ascii="Times New Roman" w:hAnsi="Times New Roman" w:eastAsia="宋体" w:cs="Times New Roman"/>
                <w:color w:val="auto"/>
                <w:kern w:val="0"/>
                <w:sz w:val="24"/>
                <w:szCs w:val="24"/>
                <w:highlight w:val="none"/>
                <w:lang w:val="en-US" w:eastAsia="zh-CN" w:bidi="ar"/>
              </w:rPr>
              <w:t>t/a</w:t>
            </w:r>
          </w:p>
          <w:p w14:paraId="3FDB5A71">
            <w:pPr>
              <w:keepNext w:val="0"/>
              <w:keepLines w:val="0"/>
              <w:suppressLineNumbers w:val="0"/>
              <w:tabs>
                <w:tab w:val="left" w:pos="6480"/>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eastAsia="zh-CN"/>
              </w:rPr>
              <w:t>四</w:t>
            </w:r>
            <w:r>
              <w:rPr>
                <w:rFonts w:hint="default" w:ascii="Times New Roman" w:hAnsi="Times New Roman" w:eastAsia="宋体" w:cs="Times New Roman"/>
                <w:b/>
                <w:bCs/>
                <w:color w:val="auto"/>
                <w:sz w:val="24"/>
                <w:highlight w:val="none"/>
              </w:rPr>
              <w:t>、产品方案</w:t>
            </w:r>
            <w:r>
              <w:rPr>
                <w:rFonts w:hint="eastAsia" w:cs="Times New Roman"/>
                <w:b/>
                <w:bCs/>
                <w:color w:val="auto"/>
                <w:sz w:val="24"/>
                <w:highlight w:val="none"/>
                <w:lang w:val="en-US" w:eastAsia="zh-CN"/>
              </w:rPr>
              <w:t>及物料平衡</w:t>
            </w:r>
          </w:p>
          <w:p w14:paraId="114A35A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239" w:leftChars="114"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项目拟</w:t>
            </w:r>
            <w:r>
              <w:rPr>
                <w:rFonts w:hint="eastAsia" w:cs="Times New Roman"/>
                <w:color w:val="auto"/>
                <w:sz w:val="24"/>
                <w:highlight w:val="none"/>
                <w:lang w:val="en-US" w:eastAsia="zh-CN"/>
              </w:rPr>
              <w:t>建设</w:t>
            </w:r>
            <w:r>
              <w:rPr>
                <w:rFonts w:hint="default" w:ascii="Times New Roman" w:hAnsi="Times New Roman" w:eastAsia="宋体" w:cs="Times New Roman"/>
                <w:color w:val="auto"/>
                <w:sz w:val="24"/>
                <w:highlight w:val="none"/>
                <w:lang w:val="en-US" w:eastAsia="zh-CN"/>
              </w:rPr>
              <w:t>一座</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val="en-US" w:eastAsia="zh-CN"/>
              </w:rPr>
              <w:t>00t/d烘干塔，配备一台</w:t>
            </w:r>
            <w:r>
              <w:rPr>
                <w:rFonts w:hint="eastAsia" w:cs="Times New Roman"/>
                <w:color w:val="auto"/>
                <w:sz w:val="24"/>
                <w:highlight w:val="none"/>
                <w:lang w:val="en-US" w:eastAsia="zh-CN"/>
              </w:rPr>
              <w:t>900万kcal/h</w:t>
            </w:r>
            <w:r>
              <w:rPr>
                <w:rFonts w:hint="default" w:ascii="Times New Roman" w:hAnsi="Times New Roman" w:eastAsia="宋体" w:cs="Times New Roman"/>
                <w:color w:val="auto"/>
                <w:sz w:val="24"/>
                <w:highlight w:val="none"/>
                <w:lang w:val="en-US" w:eastAsia="zh-CN"/>
              </w:rPr>
              <w:t>燃生物质热风炉，年烘干玉米</w:t>
            </w:r>
            <w:r>
              <w:rPr>
                <w:rFonts w:hint="eastAsia" w:cs="Times New Roman"/>
                <w:color w:val="auto"/>
                <w:sz w:val="24"/>
                <w:highlight w:val="none"/>
                <w:lang w:val="en-US" w:eastAsia="zh-CN"/>
              </w:rPr>
              <w:t>30000</w:t>
            </w:r>
            <w:r>
              <w:rPr>
                <w:rFonts w:hint="default" w:ascii="Times New Roman" w:hAnsi="Times New Roman" w:eastAsia="宋体" w:cs="Times New Roman"/>
                <w:color w:val="auto"/>
                <w:sz w:val="24"/>
                <w:highlight w:val="none"/>
                <w:lang w:val="en-US" w:eastAsia="zh-CN"/>
              </w:rPr>
              <w:t>吨、水稻</w:t>
            </w:r>
            <w:r>
              <w:rPr>
                <w:rFonts w:hint="eastAsia" w:cs="Times New Roman"/>
                <w:color w:val="auto"/>
                <w:sz w:val="24"/>
                <w:highlight w:val="none"/>
                <w:lang w:val="en-US" w:eastAsia="zh-CN"/>
              </w:rPr>
              <w:t>30000</w:t>
            </w:r>
            <w:r>
              <w:rPr>
                <w:rFonts w:hint="default" w:ascii="Times New Roman" w:hAnsi="Times New Roman" w:eastAsia="宋体" w:cs="Times New Roman"/>
                <w:color w:val="auto"/>
                <w:sz w:val="24"/>
                <w:highlight w:val="none"/>
                <w:lang w:val="en-US" w:eastAsia="zh-CN"/>
              </w:rPr>
              <w:t>吨；厂区</w:t>
            </w:r>
            <w:r>
              <w:rPr>
                <w:rFonts w:hint="default" w:ascii="Times New Roman" w:hAnsi="Times New Roman" w:eastAsia="宋体" w:cs="Times New Roman"/>
                <w:color w:val="auto"/>
                <w:sz w:val="24"/>
                <w:highlight w:val="none"/>
              </w:rPr>
              <w:t>产品方案见表2-5。</w:t>
            </w:r>
          </w:p>
          <w:p w14:paraId="10ED8F35">
            <w:pPr>
              <w:keepNext w:val="0"/>
              <w:keepLines w:val="0"/>
              <w:suppressLineNumbers w:val="0"/>
              <w:adjustRightInd w:val="0"/>
              <w:snapToGrid w:val="0"/>
              <w:spacing w:before="0" w:beforeAutospacing="0" w:after="0" w:afterAutospacing="0"/>
              <w:ind w:left="0" w:right="0" w:firstLine="48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表2</w:t>
            </w:r>
            <w:r>
              <w:rPr>
                <w:rFonts w:hint="eastAsia" w:ascii="Times New Roman" w:hAnsi="Times New Roman" w:eastAsia="宋体" w:cs="Times New Roman"/>
                <w:b/>
                <w:bCs/>
                <w:color w:val="auto"/>
                <w:kern w:val="0"/>
                <w:sz w:val="21"/>
                <w:szCs w:val="21"/>
                <w:highlight w:val="none"/>
                <w:lang w:val="en-US" w:eastAsia="zh-CN" w:bidi="ar-SA"/>
              </w:rPr>
              <w:t>-5</w:t>
            </w:r>
            <w:r>
              <w:rPr>
                <w:rFonts w:hint="default" w:ascii="Times New Roman" w:hAnsi="Times New Roman" w:eastAsia="宋体" w:cs="Times New Roman"/>
                <w:b/>
                <w:bCs/>
                <w:color w:val="auto"/>
                <w:kern w:val="0"/>
                <w:sz w:val="21"/>
                <w:szCs w:val="21"/>
                <w:highlight w:val="none"/>
                <w:lang w:val="en-US" w:eastAsia="zh-CN" w:bidi="ar-SA"/>
              </w:rPr>
              <w:t>厂区产品方案一览表</w:t>
            </w:r>
          </w:p>
          <w:tbl>
            <w:tblPr>
              <w:tblStyle w:val="33"/>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96"/>
              <w:gridCol w:w="3355"/>
              <w:gridCol w:w="1065"/>
              <w:gridCol w:w="1373"/>
              <w:gridCol w:w="1176"/>
            </w:tblGrid>
            <w:tr w14:paraId="007BFF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513" w:type="pct"/>
                  <w:tcBorders>
                    <w:tl2br w:val="nil"/>
                    <w:tr2bl w:val="nil"/>
                  </w:tcBorders>
                  <w:noWrap w:val="0"/>
                  <w:vAlign w:val="center"/>
                </w:tcPr>
                <w:p w14:paraId="742ADA70">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b/>
                      <w:bCs/>
                      <w:color w:val="auto"/>
                      <w:sz w:val="21"/>
                      <w:szCs w:val="21"/>
                      <w:highlight w:val="none"/>
                    </w:rPr>
                  </w:pPr>
                  <w:r>
                    <w:rPr>
                      <w:rFonts w:hint="default"/>
                      <w:b/>
                      <w:bCs/>
                      <w:color w:val="auto"/>
                      <w:sz w:val="21"/>
                      <w:szCs w:val="21"/>
                      <w:highlight w:val="none"/>
                    </w:rPr>
                    <w:t>序号</w:t>
                  </w:r>
                </w:p>
              </w:tc>
              <w:tc>
                <w:tcPr>
                  <w:tcW w:w="2160" w:type="pct"/>
                  <w:tcBorders>
                    <w:tl2br w:val="nil"/>
                    <w:tr2bl w:val="nil"/>
                  </w:tcBorders>
                  <w:noWrap w:val="0"/>
                  <w:vAlign w:val="center"/>
                </w:tcPr>
                <w:p w14:paraId="08A30B78">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b/>
                      <w:bCs/>
                      <w:color w:val="auto"/>
                      <w:sz w:val="21"/>
                      <w:szCs w:val="21"/>
                      <w:highlight w:val="none"/>
                    </w:rPr>
                  </w:pPr>
                  <w:r>
                    <w:rPr>
                      <w:rFonts w:hint="default"/>
                      <w:b/>
                      <w:bCs/>
                      <w:color w:val="auto"/>
                      <w:sz w:val="21"/>
                      <w:szCs w:val="21"/>
                      <w:highlight w:val="none"/>
                    </w:rPr>
                    <w:t>产品名称</w:t>
                  </w:r>
                </w:p>
              </w:tc>
              <w:tc>
                <w:tcPr>
                  <w:tcW w:w="686" w:type="pct"/>
                  <w:tcBorders>
                    <w:tl2br w:val="nil"/>
                    <w:tr2bl w:val="nil"/>
                  </w:tcBorders>
                  <w:noWrap w:val="0"/>
                  <w:vAlign w:val="center"/>
                </w:tcPr>
                <w:p w14:paraId="34F0F611">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b/>
                      <w:bCs/>
                      <w:color w:val="auto"/>
                      <w:sz w:val="21"/>
                      <w:szCs w:val="21"/>
                      <w:highlight w:val="none"/>
                    </w:rPr>
                  </w:pPr>
                  <w:r>
                    <w:rPr>
                      <w:rFonts w:hint="default"/>
                      <w:b/>
                      <w:bCs/>
                      <w:color w:val="auto"/>
                      <w:sz w:val="21"/>
                      <w:szCs w:val="21"/>
                      <w:highlight w:val="none"/>
                    </w:rPr>
                    <w:t>单位</w:t>
                  </w:r>
                </w:p>
              </w:tc>
              <w:tc>
                <w:tcPr>
                  <w:tcW w:w="884" w:type="pct"/>
                  <w:tcBorders>
                    <w:tl2br w:val="nil"/>
                    <w:tr2bl w:val="nil"/>
                  </w:tcBorders>
                  <w:noWrap w:val="0"/>
                  <w:vAlign w:val="center"/>
                </w:tcPr>
                <w:p w14:paraId="49DB7308">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b/>
                      <w:bCs/>
                      <w:color w:val="auto"/>
                      <w:sz w:val="21"/>
                      <w:szCs w:val="21"/>
                      <w:highlight w:val="none"/>
                    </w:rPr>
                  </w:pPr>
                  <w:r>
                    <w:rPr>
                      <w:rFonts w:hint="default"/>
                      <w:b/>
                      <w:bCs/>
                      <w:color w:val="auto"/>
                      <w:sz w:val="21"/>
                      <w:szCs w:val="21"/>
                      <w:highlight w:val="none"/>
                    </w:rPr>
                    <w:t>年产量</w:t>
                  </w:r>
                </w:p>
              </w:tc>
              <w:tc>
                <w:tcPr>
                  <w:tcW w:w="757" w:type="pct"/>
                  <w:tcBorders>
                    <w:tl2br w:val="nil"/>
                    <w:tr2bl w:val="nil"/>
                  </w:tcBorders>
                  <w:noWrap w:val="0"/>
                  <w:vAlign w:val="center"/>
                </w:tcPr>
                <w:p w14:paraId="5AD78066">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b/>
                      <w:bCs/>
                      <w:color w:val="auto"/>
                      <w:sz w:val="21"/>
                      <w:szCs w:val="21"/>
                      <w:highlight w:val="none"/>
                    </w:rPr>
                  </w:pPr>
                  <w:r>
                    <w:rPr>
                      <w:rFonts w:hint="default"/>
                      <w:b/>
                      <w:bCs/>
                      <w:color w:val="auto"/>
                      <w:sz w:val="21"/>
                      <w:szCs w:val="21"/>
                      <w:highlight w:val="none"/>
                    </w:rPr>
                    <w:t>备注</w:t>
                  </w:r>
                </w:p>
              </w:tc>
            </w:tr>
            <w:tr w14:paraId="186D1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513" w:type="pct"/>
                  <w:tcBorders>
                    <w:tl2br w:val="nil"/>
                    <w:tr2bl w:val="nil"/>
                  </w:tcBorders>
                  <w:noWrap w:val="0"/>
                  <w:vAlign w:val="center"/>
                </w:tcPr>
                <w:p w14:paraId="6DB5CD17">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color w:val="auto"/>
                      <w:sz w:val="21"/>
                      <w:szCs w:val="21"/>
                      <w:highlight w:val="none"/>
                    </w:rPr>
                  </w:pPr>
                  <w:r>
                    <w:rPr>
                      <w:rFonts w:hint="default"/>
                      <w:color w:val="auto"/>
                      <w:sz w:val="21"/>
                      <w:szCs w:val="21"/>
                      <w:highlight w:val="none"/>
                    </w:rPr>
                    <w:t>1</w:t>
                  </w:r>
                </w:p>
              </w:tc>
              <w:tc>
                <w:tcPr>
                  <w:tcW w:w="2160" w:type="pct"/>
                  <w:tcBorders>
                    <w:tl2br w:val="nil"/>
                    <w:tr2bl w:val="nil"/>
                  </w:tcBorders>
                  <w:noWrap w:val="0"/>
                  <w:vAlign w:val="center"/>
                </w:tcPr>
                <w:p w14:paraId="50808FD3">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color w:val="auto"/>
                      <w:sz w:val="21"/>
                      <w:szCs w:val="21"/>
                      <w:highlight w:val="none"/>
                    </w:rPr>
                  </w:pPr>
                  <w:r>
                    <w:rPr>
                      <w:rFonts w:hint="default"/>
                      <w:color w:val="auto"/>
                      <w:sz w:val="21"/>
                      <w:szCs w:val="21"/>
                      <w:highlight w:val="none"/>
                    </w:rPr>
                    <w:t>水稻（烘干后含水率为14</w:t>
                  </w:r>
                  <w:r>
                    <w:rPr>
                      <w:rFonts w:hint="eastAsia"/>
                      <w:color w:val="auto"/>
                      <w:sz w:val="21"/>
                      <w:szCs w:val="21"/>
                      <w:highlight w:val="none"/>
                      <w:lang w:val="en-US" w:eastAsia="zh-CN"/>
                    </w:rPr>
                    <w:t>.5</w:t>
                  </w:r>
                  <w:r>
                    <w:rPr>
                      <w:rFonts w:hint="default"/>
                      <w:color w:val="auto"/>
                      <w:sz w:val="21"/>
                      <w:szCs w:val="21"/>
                      <w:highlight w:val="none"/>
                    </w:rPr>
                    <w:t>%）</w:t>
                  </w:r>
                </w:p>
              </w:tc>
              <w:tc>
                <w:tcPr>
                  <w:tcW w:w="686" w:type="pct"/>
                  <w:tcBorders>
                    <w:tl2br w:val="nil"/>
                    <w:tr2bl w:val="nil"/>
                  </w:tcBorders>
                  <w:noWrap w:val="0"/>
                  <w:vAlign w:val="center"/>
                </w:tcPr>
                <w:p w14:paraId="312E04FF">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color w:val="auto"/>
                      <w:sz w:val="21"/>
                      <w:szCs w:val="21"/>
                      <w:highlight w:val="none"/>
                    </w:rPr>
                  </w:pPr>
                  <w:r>
                    <w:rPr>
                      <w:rFonts w:hint="default"/>
                      <w:color w:val="auto"/>
                      <w:sz w:val="21"/>
                      <w:szCs w:val="21"/>
                      <w:highlight w:val="none"/>
                      <w:lang w:val="fr"/>
                    </w:rPr>
                    <w:t>t/a</w:t>
                  </w:r>
                </w:p>
              </w:tc>
              <w:tc>
                <w:tcPr>
                  <w:tcW w:w="884" w:type="pct"/>
                  <w:tcBorders>
                    <w:tl2br w:val="nil"/>
                    <w:tr2bl w:val="nil"/>
                  </w:tcBorders>
                  <w:noWrap w:val="0"/>
                  <w:vAlign w:val="center"/>
                </w:tcPr>
                <w:p w14:paraId="0DDF50D8">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26488.13</w:t>
                  </w:r>
                </w:p>
              </w:tc>
              <w:tc>
                <w:tcPr>
                  <w:tcW w:w="757" w:type="pct"/>
                  <w:tcBorders>
                    <w:tl2br w:val="nil"/>
                    <w:tr2bl w:val="nil"/>
                  </w:tcBorders>
                  <w:noWrap w:val="0"/>
                  <w:vAlign w:val="center"/>
                </w:tcPr>
                <w:p w14:paraId="504BE698">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default"/>
                      <w:color w:val="auto"/>
                      <w:sz w:val="21"/>
                      <w:szCs w:val="21"/>
                      <w:highlight w:val="none"/>
                    </w:rPr>
                  </w:pPr>
                  <w:r>
                    <w:rPr>
                      <w:rFonts w:hint="default"/>
                      <w:color w:val="auto"/>
                      <w:sz w:val="21"/>
                      <w:szCs w:val="21"/>
                      <w:highlight w:val="none"/>
                    </w:rPr>
                    <w:t>外售</w:t>
                  </w:r>
                </w:p>
              </w:tc>
            </w:tr>
            <w:tr w14:paraId="32DFE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513" w:type="pct"/>
                  <w:tcBorders>
                    <w:tl2br w:val="nil"/>
                    <w:tr2bl w:val="nil"/>
                  </w:tcBorders>
                  <w:noWrap w:val="0"/>
                  <w:vAlign w:val="center"/>
                </w:tcPr>
                <w:p w14:paraId="73FC4E89">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3429" w:type="dxa"/>
                  <w:tcBorders>
                    <w:tl2br w:val="nil"/>
                    <w:tr2bl w:val="nil"/>
                  </w:tcBorders>
                  <w:noWrap w:val="0"/>
                  <w:vAlign w:val="center"/>
                </w:tcPr>
                <w:p w14:paraId="227980F1">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textAlignment w:val="auto"/>
                    <w:rPr>
                      <w:rFonts w:hint="default"/>
                      <w:color w:val="auto"/>
                      <w:sz w:val="21"/>
                      <w:szCs w:val="21"/>
                      <w:highlight w:val="none"/>
                    </w:rPr>
                  </w:pPr>
                  <w:r>
                    <w:rPr>
                      <w:rFonts w:hint="eastAsia"/>
                      <w:color w:val="auto"/>
                      <w:sz w:val="21"/>
                      <w:szCs w:val="21"/>
                      <w:highlight w:val="none"/>
                      <w:lang w:eastAsia="zh-CN"/>
                    </w:rPr>
                    <w:t>玉米</w:t>
                  </w:r>
                  <w:r>
                    <w:rPr>
                      <w:rFonts w:hint="default"/>
                      <w:color w:val="auto"/>
                      <w:sz w:val="21"/>
                      <w:szCs w:val="21"/>
                      <w:highlight w:val="none"/>
                    </w:rPr>
                    <w:t>（烘干后含水率为1</w:t>
                  </w:r>
                  <w:r>
                    <w:rPr>
                      <w:rFonts w:hint="eastAsia"/>
                      <w:color w:val="auto"/>
                      <w:sz w:val="21"/>
                      <w:szCs w:val="21"/>
                      <w:highlight w:val="none"/>
                      <w:lang w:val="en-US" w:eastAsia="zh-CN"/>
                    </w:rPr>
                    <w:t>5</w:t>
                  </w:r>
                  <w:r>
                    <w:rPr>
                      <w:rFonts w:hint="default"/>
                      <w:color w:val="auto"/>
                      <w:sz w:val="21"/>
                      <w:szCs w:val="21"/>
                      <w:highlight w:val="none"/>
                    </w:rPr>
                    <w:t>%）</w:t>
                  </w:r>
                </w:p>
              </w:tc>
              <w:tc>
                <w:tcPr>
                  <w:tcW w:w="1088" w:type="dxa"/>
                  <w:tcBorders>
                    <w:tl2br w:val="nil"/>
                    <w:tr2bl w:val="nil"/>
                  </w:tcBorders>
                  <w:noWrap w:val="0"/>
                  <w:vAlign w:val="center"/>
                </w:tcPr>
                <w:p w14:paraId="0D4117B9">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textAlignment w:val="auto"/>
                    <w:rPr>
                      <w:rFonts w:hint="default"/>
                      <w:color w:val="auto"/>
                      <w:sz w:val="21"/>
                      <w:szCs w:val="21"/>
                      <w:highlight w:val="none"/>
                      <w:lang w:val="fr"/>
                    </w:rPr>
                  </w:pPr>
                  <w:r>
                    <w:rPr>
                      <w:rFonts w:hint="default"/>
                      <w:color w:val="auto"/>
                      <w:sz w:val="21"/>
                      <w:szCs w:val="21"/>
                      <w:highlight w:val="none"/>
                      <w:lang w:val="fr"/>
                    </w:rPr>
                    <w:t>t/a</w:t>
                  </w:r>
                </w:p>
              </w:tc>
              <w:tc>
                <w:tcPr>
                  <w:tcW w:w="1403" w:type="dxa"/>
                  <w:tcBorders>
                    <w:tl2br w:val="nil"/>
                    <w:tr2bl w:val="nil"/>
                  </w:tcBorders>
                  <w:noWrap w:val="0"/>
                  <w:vAlign w:val="center"/>
                </w:tcPr>
                <w:p w14:paraId="7B9C3642">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26200.33</w:t>
                  </w:r>
                </w:p>
              </w:tc>
              <w:tc>
                <w:tcPr>
                  <w:tcW w:w="1202" w:type="dxa"/>
                  <w:tcBorders>
                    <w:tl2br w:val="nil"/>
                    <w:tr2bl w:val="nil"/>
                  </w:tcBorders>
                  <w:noWrap w:val="0"/>
                  <w:vAlign w:val="center"/>
                </w:tcPr>
                <w:p w14:paraId="75ADF13E">
                  <w:pPr>
                    <w:pStyle w:val="129"/>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textAlignment w:val="auto"/>
                    <w:rPr>
                      <w:rFonts w:hint="default"/>
                      <w:color w:val="auto"/>
                      <w:sz w:val="21"/>
                      <w:szCs w:val="21"/>
                      <w:highlight w:val="none"/>
                    </w:rPr>
                  </w:pPr>
                  <w:r>
                    <w:rPr>
                      <w:rFonts w:hint="default"/>
                      <w:color w:val="auto"/>
                      <w:sz w:val="21"/>
                      <w:szCs w:val="21"/>
                      <w:highlight w:val="none"/>
                    </w:rPr>
                    <w:t>外售</w:t>
                  </w:r>
                </w:p>
              </w:tc>
            </w:tr>
          </w:tbl>
          <w:p w14:paraId="79A12540">
            <w:pPr>
              <w:keepNext w:val="0"/>
              <w:keepLines w:val="0"/>
              <w:suppressLineNumbers w:val="0"/>
              <w:adjustRightInd w:val="0"/>
              <w:snapToGrid w:val="0"/>
              <w:spacing w:before="0" w:beforeAutospacing="0" w:after="0" w:afterAutospacing="0"/>
              <w:ind w:left="0" w:right="0" w:firstLine="48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表2-</w:t>
            </w:r>
            <w:r>
              <w:rPr>
                <w:rFonts w:hint="eastAsia" w:cs="Times New Roman"/>
                <w:b/>
                <w:bCs/>
                <w:color w:val="auto"/>
                <w:kern w:val="0"/>
                <w:sz w:val="21"/>
                <w:szCs w:val="21"/>
                <w:highlight w:val="none"/>
                <w:lang w:val="en-US" w:eastAsia="zh-CN" w:bidi="ar-SA"/>
              </w:rPr>
              <w:t>6</w:t>
            </w:r>
            <w:r>
              <w:rPr>
                <w:rFonts w:hint="default" w:ascii="Times New Roman" w:hAnsi="Times New Roman" w:eastAsia="宋体" w:cs="Times New Roman"/>
                <w:b/>
                <w:bCs/>
                <w:color w:val="auto"/>
                <w:kern w:val="0"/>
                <w:sz w:val="21"/>
                <w:szCs w:val="21"/>
                <w:highlight w:val="none"/>
                <w:lang w:val="en-US" w:eastAsia="zh-CN" w:bidi="ar-SA"/>
              </w:rPr>
              <w:t>本项目物料平衡表</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630"/>
              <w:gridCol w:w="2791"/>
              <w:gridCol w:w="1788"/>
            </w:tblGrid>
            <w:tr w14:paraId="60FD3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 w:hRule="atLeast"/>
                <w:jc w:val="center"/>
              </w:trPr>
              <w:tc>
                <w:tcPr>
                  <w:tcW w:w="1007" w:type="pct"/>
                  <w:tcBorders>
                    <w:top w:val="single" w:color="auto" w:sz="12" w:space="0"/>
                    <w:left w:val="nil"/>
                    <w:bottom w:val="single" w:color="auto" w:sz="4" w:space="0"/>
                    <w:right w:val="single" w:color="auto" w:sz="4" w:space="0"/>
                  </w:tcBorders>
                  <w:vAlign w:val="center"/>
                </w:tcPr>
                <w:p w14:paraId="406FC9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原料</w:t>
                  </w:r>
                </w:p>
              </w:tc>
              <w:tc>
                <w:tcPr>
                  <w:tcW w:w="1048" w:type="pct"/>
                  <w:tcBorders>
                    <w:top w:val="single" w:color="auto" w:sz="12" w:space="0"/>
                    <w:left w:val="single" w:color="auto" w:sz="4" w:space="0"/>
                    <w:bottom w:val="single" w:color="auto" w:sz="4" w:space="0"/>
                    <w:right w:val="single" w:color="auto" w:sz="4" w:space="0"/>
                  </w:tcBorders>
                  <w:vAlign w:val="center"/>
                </w:tcPr>
                <w:p w14:paraId="2AEC7C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进料量（t/a）</w:t>
                  </w:r>
                </w:p>
              </w:tc>
              <w:tc>
                <w:tcPr>
                  <w:tcW w:w="1794" w:type="pct"/>
                  <w:tcBorders>
                    <w:top w:val="single" w:color="auto" w:sz="12" w:space="0"/>
                    <w:left w:val="single" w:color="auto" w:sz="4" w:space="0"/>
                    <w:bottom w:val="single" w:color="auto" w:sz="4" w:space="0"/>
                    <w:right w:val="single" w:color="auto" w:sz="4" w:space="0"/>
                  </w:tcBorders>
                  <w:vAlign w:val="center"/>
                </w:tcPr>
                <w:p w14:paraId="512FE3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w:t>
                  </w:r>
                </w:p>
              </w:tc>
              <w:tc>
                <w:tcPr>
                  <w:tcW w:w="1149" w:type="pct"/>
                  <w:tcBorders>
                    <w:top w:val="single" w:color="auto" w:sz="12" w:space="0"/>
                    <w:left w:val="single" w:color="auto" w:sz="4" w:space="0"/>
                    <w:bottom w:val="single" w:color="auto" w:sz="4" w:space="0"/>
                    <w:right w:val="nil"/>
                  </w:tcBorders>
                  <w:vAlign w:val="center"/>
                </w:tcPr>
                <w:p w14:paraId="3E6F27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产生量（t/a）</w:t>
                  </w:r>
                </w:p>
              </w:tc>
            </w:tr>
            <w:tr w14:paraId="07F46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 w:hRule="atLeast"/>
                <w:jc w:val="center"/>
              </w:trPr>
              <w:tc>
                <w:tcPr>
                  <w:tcW w:w="1007" w:type="pct"/>
                  <w:tcBorders>
                    <w:top w:val="single" w:color="auto" w:sz="4" w:space="0"/>
                    <w:left w:val="nil"/>
                    <w:bottom w:val="single" w:color="auto" w:sz="4" w:space="0"/>
                    <w:right w:val="single" w:color="auto" w:sz="4" w:space="0"/>
                  </w:tcBorders>
                  <w:vAlign w:val="center"/>
                </w:tcPr>
                <w:p w14:paraId="517308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fr-FR"/>
                    </w:rPr>
                  </w:pPr>
                  <w:r>
                    <w:rPr>
                      <w:rFonts w:hint="default" w:ascii="Times New Roman" w:hAnsi="Times New Roman" w:eastAsia="宋体" w:cs="Times New Roman"/>
                      <w:color w:val="auto"/>
                      <w:szCs w:val="21"/>
                      <w:highlight w:val="none"/>
                    </w:rPr>
                    <w:t>玉米</w:t>
                  </w:r>
                  <w:r>
                    <w:rPr>
                      <w:rFonts w:hint="default" w:ascii="Times New Roman" w:hAnsi="Times New Roman" w:eastAsia="宋体" w:cs="Times New Roman"/>
                      <w:color w:val="auto"/>
                      <w:szCs w:val="21"/>
                      <w:highlight w:val="none"/>
                      <w:lang w:val="fr-FR"/>
                    </w:rPr>
                    <w:t>（</w:t>
                  </w:r>
                  <w:r>
                    <w:rPr>
                      <w:rFonts w:hint="default" w:ascii="Times New Roman" w:hAnsi="Times New Roman" w:eastAsia="宋体" w:cs="Times New Roman"/>
                      <w:color w:val="auto"/>
                      <w:szCs w:val="21"/>
                      <w:highlight w:val="none"/>
                    </w:rPr>
                    <w:t>含水率30%</w:t>
                  </w:r>
                  <w:r>
                    <w:rPr>
                      <w:rFonts w:hint="default" w:ascii="Times New Roman" w:hAnsi="Times New Roman" w:eastAsia="宋体" w:cs="Times New Roman"/>
                      <w:color w:val="auto"/>
                      <w:szCs w:val="21"/>
                      <w:highlight w:val="none"/>
                      <w:lang w:val="fr-FR"/>
                    </w:rPr>
                    <w:t>）</w:t>
                  </w:r>
                </w:p>
                <w:p w14:paraId="72AE757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水稻（</w:t>
                  </w:r>
                  <w:r>
                    <w:rPr>
                      <w:rFonts w:hint="default" w:ascii="Times New Roman" w:hAnsi="Times New Roman" w:eastAsia="宋体" w:cs="Times New Roman"/>
                      <w:color w:val="auto"/>
                      <w:szCs w:val="21"/>
                      <w:highlight w:val="none"/>
                    </w:rPr>
                    <w:t>含水率</w:t>
                  </w:r>
                  <w:r>
                    <w:rPr>
                      <w:rFonts w:hint="eastAsia" w:cs="Times New Roman"/>
                      <w:color w:val="auto"/>
                      <w:szCs w:val="21"/>
                      <w:highlight w:val="none"/>
                      <w:lang w:val="en-US" w:eastAsia="zh-CN"/>
                    </w:rPr>
                    <w:t>20</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w:t>
                  </w:r>
                </w:p>
              </w:tc>
              <w:tc>
                <w:tcPr>
                  <w:tcW w:w="1048" w:type="pct"/>
                  <w:tcBorders>
                    <w:top w:val="single" w:color="auto" w:sz="4" w:space="0"/>
                    <w:left w:val="single" w:color="auto" w:sz="4" w:space="0"/>
                    <w:bottom w:val="single" w:color="auto" w:sz="4" w:space="0"/>
                    <w:right w:val="single" w:color="auto" w:sz="4" w:space="0"/>
                  </w:tcBorders>
                  <w:vAlign w:val="center"/>
                </w:tcPr>
                <w:p w14:paraId="16121E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600</w:t>
                  </w:r>
                  <w:r>
                    <w:rPr>
                      <w:rFonts w:hint="eastAsia" w:ascii="Times New Roman" w:hAnsi="Times New Roman" w:eastAsia="宋体" w:cs="Times New Roman"/>
                      <w:color w:val="auto"/>
                      <w:szCs w:val="21"/>
                      <w:highlight w:val="none"/>
                      <w:lang w:val="en-US" w:eastAsia="zh-CN"/>
                    </w:rPr>
                    <w:t>00</w:t>
                  </w:r>
                </w:p>
              </w:tc>
              <w:tc>
                <w:tcPr>
                  <w:tcW w:w="1794" w:type="pct"/>
                  <w:tcBorders>
                    <w:top w:val="single" w:color="auto" w:sz="4" w:space="0"/>
                    <w:left w:val="single" w:color="auto" w:sz="4" w:space="0"/>
                    <w:bottom w:val="single" w:color="auto" w:sz="4" w:space="0"/>
                    <w:right w:val="single" w:color="auto" w:sz="4" w:space="0"/>
                  </w:tcBorders>
                  <w:vAlign w:val="center"/>
                </w:tcPr>
                <w:p w14:paraId="5D3B7B6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干玉米</w:t>
                  </w:r>
                </w:p>
                <w:p w14:paraId="2CCF28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干水稻</w:t>
                  </w:r>
                </w:p>
              </w:tc>
              <w:tc>
                <w:tcPr>
                  <w:tcW w:w="1149" w:type="pct"/>
                  <w:tcBorders>
                    <w:top w:val="single" w:color="auto" w:sz="4" w:space="0"/>
                    <w:left w:val="single" w:color="auto" w:sz="4" w:space="0"/>
                    <w:bottom w:val="single" w:color="auto" w:sz="4" w:space="0"/>
                    <w:right w:val="nil"/>
                  </w:tcBorders>
                  <w:vAlign w:val="center"/>
                </w:tcPr>
                <w:p w14:paraId="3D9C337C">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52688.46</w:t>
                  </w:r>
                </w:p>
              </w:tc>
            </w:tr>
            <w:tr w14:paraId="050E9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 w:hRule="atLeast"/>
                <w:jc w:val="center"/>
              </w:trPr>
              <w:tc>
                <w:tcPr>
                  <w:tcW w:w="1007" w:type="pct"/>
                  <w:tcBorders>
                    <w:top w:val="single" w:color="auto" w:sz="4" w:space="0"/>
                    <w:left w:val="nil"/>
                    <w:bottom w:val="single" w:color="auto" w:sz="4" w:space="0"/>
                    <w:right w:val="single" w:color="auto" w:sz="4" w:space="0"/>
                  </w:tcBorders>
                  <w:vAlign w:val="center"/>
                </w:tcPr>
                <w:p w14:paraId="7515B2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vAlign w:val="center"/>
                </w:tcPr>
                <w:p w14:paraId="047A23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1C9AD3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蒸发水量</w:t>
                  </w:r>
                </w:p>
              </w:tc>
              <w:tc>
                <w:tcPr>
                  <w:tcW w:w="1149" w:type="pct"/>
                  <w:tcBorders>
                    <w:top w:val="single" w:color="auto" w:sz="4" w:space="0"/>
                    <w:left w:val="single" w:color="auto" w:sz="4" w:space="0"/>
                    <w:bottom w:val="single" w:color="auto" w:sz="4" w:space="0"/>
                    <w:right w:val="nil"/>
                  </w:tcBorders>
                  <w:vAlign w:val="center"/>
                </w:tcPr>
                <w:p w14:paraId="1AA2E458">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7223.94</w:t>
                  </w:r>
                </w:p>
              </w:tc>
            </w:tr>
            <w:tr w14:paraId="6EC414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1007" w:type="pct"/>
                  <w:tcBorders>
                    <w:top w:val="single" w:color="auto" w:sz="4" w:space="0"/>
                    <w:left w:val="nil"/>
                    <w:bottom w:val="single" w:color="auto" w:sz="4" w:space="0"/>
                    <w:right w:val="single" w:color="auto" w:sz="4" w:space="0"/>
                  </w:tcBorders>
                </w:tcPr>
                <w:p w14:paraId="6A25DC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tcPr>
                <w:p w14:paraId="2DE64D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591476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粮食杂质</w:t>
                  </w:r>
                </w:p>
              </w:tc>
              <w:tc>
                <w:tcPr>
                  <w:tcW w:w="1149" w:type="pct"/>
                  <w:tcBorders>
                    <w:top w:val="single" w:color="auto" w:sz="4" w:space="0"/>
                    <w:left w:val="single" w:color="auto" w:sz="4" w:space="0"/>
                    <w:bottom w:val="single" w:color="auto" w:sz="4" w:space="0"/>
                    <w:right w:val="nil"/>
                  </w:tcBorders>
                  <w:vAlign w:val="center"/>
                </w:tcPr>
                <w:p w14:paraId="2338E438">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60</w:t>
                  </w:r>
                </w:p>
              </w:tc>
            </w:tr>
            <w:tr w14:paraId="54A9E3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4" w:hRule="atLeast"/>
                <w:jc w:val="center"/>
              </w:trPr>
              <w:tc>
                <w:tcPr>
                  <w:tcW w:w="1007" w:type="pct"/>
                  <w:tcBorders>
                    <w:top w:val="single" w:color="auto" w:sz="4" w:space="0"/>
                    <w:left w:val="nil"/>
                    <w:bottom w:val="single" w:color="auto" w:sz="4" w:space="0"/>
                    <w:right w:val="single" w:color="auto" w:sz="4" w:space="0"/>
                  </w:tcBorders>
                  <w:vAlign w:val="center"/>
                </w:tcPr>
                <w:p w14:paraId="3886B3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vAlign w:val="center"/>
                </w:tcPr>
                <w:p w14:paraId="145DC1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7D65B6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输送粉尘</w:t>
                  </w:r>
                </w:p>
              </w:tc>
              <w:tc>
                <w:tcPr>
                  <w:tcW w:w="1149" w:type="pct"/>
                  <w:tcBorders>
                    <w:top w:val="single" w:color="auto" w:sz="4" w:space="0"/>
                    <w:left w:val="single" w:color="auto" w:sz="4" w:space="0"/>
                    <w:bottom w:val="single" w:color="auto" w:sz="4" w:space="0"/>
                    <w:right w:val="nil"/>
                  </w:tcBorders>
                  <w:vAlign w:val="center"/>
                </w:tcPr>
                <w:p w14:paraId="6F49D9E3">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9.6</w:t>
                  </w:r>
                </w:p>
              </w:tc>
            </w:tr>
            <w:tr w14:paraId="03BF8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4" w:hRule="atLeast"/>
                <w:jc w:val="center"/>
              </w:trPr>
              <w:tc>
                <w:tcPr>
                  <w:tcW w:w="1007" w:type="pct"/>
                  <w:tcBorders>
                    <w:top w:val="single" w:color="auto" w:sz="4" w:space="0"/>
                    <w:left w:val="nil"/>
                    <w:bottom w:val="single" w:color="auto" w:sz="4" w:space="0"/>
                    <w:right w:val="single" w:color="auto" w:sz="4" w:space="0"/>
                  </w:tcBorders>
                  <w:vAlign w:val="center"/>
                </w:tcPr>
                <w:p w14:paraId="038517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vAlign w:val="center"/>
                </w:tcPr>
                <w:p w14:paraId="0B5763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0CD8A9AC">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rPr>
                  </w:pPr>
                  <w:r>
                    <w:rPr>
                      <w:rFonts w:hint="default" w:ascii="Times New Roman" w:hAnsi="Times New Roman" w:eastAsia="宋体" w:cs="Times New Roman"/>
                      <w:color w:val="auto"/>
                      <w:szCs w:val="21"/>
                      <w:highlight w:val="none"/>
                    </w:rPr>
                    <w:t>筛分粉尘</w:t>
                  </w:r>
                </w:p>
              </w:tc>
              <w:tc>
                <w:tcPr>
                  <w:tcW w:w="1149" w:type="pct"/>
                  <w:tcBorders>
                    <w:top w:val="single" w:color="auto" w:sz="4" w:space="0"/>
                    <w:left w:val="single" w:color="auto" w:sz="4" w:space="0"/>
                    <w:bottom w:val="single" w:color="auto" w:sz="4" w:space="0"/>
                    <w:right w:val="nil"/>
                  </w:tcBorders>
                  <w:vAlign w:val="center"/>
                </w:tcPr>
                <w:p w14:paraId="3A4E28F3">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w:t>
                  </w:r>
                </w:p>
              </w:tc>
            </w:tr>
            <w:tr w14:paraId="3B9F0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4" w:hRule="atLeast"/>
                <w:jc w:val="center"/>
              </w:trPr>
              <w:tc>
                <w:tcPr>
                  <w:tcW w:w="1007" w:type="pct"/>
                  <w:tcBorders>
                    <w:top w:val="single" w:color="auto" w:sz="4" w:space="0"/>
                    <w:left w:val="nil"/>
                    <w:bottom w:val="single" w:color="auto" w:sz="4" w:space="0"/>
                    <w:right w:val="single" w:color="auto" w:sz="4" w:space="0"/>
                  </w:tcBorders>
                  <w:vAlign w:val="center"/>
                </w:tcPr>
                <w:p w14:paraId="760ED1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vAlign w:val="center"/>
                </w:tcPr>
                <w:p w14:paraId="2587C9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02E5B7B7">
                  <w:pPr>
                    <w:keepNext w:val="0"/>
                    <w:keepLines w:val="0"/>
                    <w:suppressLineNumbers w:val="0"/>
                    <w:spacing w:before="0" w:beforeAutospacing="0" w:after="0" w:afterAutospacing="0"/>
                    <w:ind w:left="0" w:leftChars="0" w:right="0" w:rightChars="0"/>
                    <w:jc w:val="center"/>
                    <w:rPr>
                      <w:rFonts w:hint="eastAsia" w:cs="Times New Roman"/>
                      <w:color w:val="auto"/>
                      <w:szCs w:val="21"/>
                      <w:highlight w:val="none"/>
                      <w:lang w:val="en-US" w:eastAsia="zh-CN"/>
                    </w:rPr>
                  </w:pPr>
                  <w:r>
                    <w:rPr>
                      <w:rFonts w:hint="default" w:ascii="Times New Roman" w:hAnsi="Times New Roman" w:eastAsia="宋体" w:cs="Times New Roman"/>
                      <w:color w:val="auto"/>
                      <w:szCs w:val="21"/>
                      <w:highlight w:val="none"/>
                    </w:rPr>
                    <w:t>烘干粉尘</w:t>
                  </w:r>
                </w:p>
              </w:tc>
              <w:tc>
                <w:tcPr>
                  <w:tcW w:w="1149" w:type="pct"/>
                  <w:tcBorders>
                    <w:top w:val="single" w:color="auto" w:sz="4" w:space="0"/>
                    <w:left w:val="single" w:color="auto" w:sz="4" w:space="0"/>
                    <w:bottom w:val="single" w:color="auto" w:sz="4" w:space="0"/>
                    <w:right w:val="nil"/>
                  </w:tcBorders>
                  <w:vAlign w:val="center"/>
                </w:tcPr>
                <w:p w14:paraId="4ED6357C">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w:t>
                  </w:r>
                </w:p>
              </w:tc>
            </w:tr>
            <w:tr w14:paraId="2396B0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4" w:hRule="atLeast"/>
                <w:jc w:val="center"/>
              </w:trPr>
              <w:tc>
                <w:tcPr>
                  <w:tcW w:w="1007" w:type="pct"/>
                  <w:tcBorders>
                    <w:top w:val="single" w:color="auto" w:sz="4" w:space="0"/>
                    <w:left w:val="nil"/>
                    <w:bottom w:val="single" w:color="auto" w:sz="4" w:space="0"/>
                    <w:right w:val="single" w:color="auto" w:sz="4" w:space="0"/>
                  </w:tcBorders>
                  <w:vAlign w:val="center"/>
                </w:tcPr>
                <w:p w14:paraId="2B5853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048" w:type="pct"/>
                  <w:tcBorders>
                    <w:top w:val="single" w:color="auto" w:sz="4" w:space="0"/>
                    <w:left w:val="single" w:color="auto" w:sz="4" w:space="0"/>
                    <w:bottom w:val="single" w:color="auto" w:sz="4" w:space="0"/>
                    <w:right w:val="single" w:color="auto" w:sz="4" w:space="0"/>
                  </w:tcBorders>
                  <w:vAlign w:val="center"/>
                </w:tcPr>
                <w:p w14:paraId="12963C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1794" w:type="pct"/>
                  <w:tcBorders>
                    <w:top w:val="single" w:color="auto" w:sz="4" w:space="0"/>
                    <w:left w:val="single" w:color="auto" w:sz="4" w:space="0"/>
                    <w:bottom w:val="single" w:color="auto" w:sz="4" w:space="0"/>
                    <w:right w:val="single" w:color="auto" w:sz="4" w:space="0"/>
                  </w:tcBorders>
                  <w:vAlign w:val="center"/>
                </w:tcPr>
                <w:p w14:paraId="55951C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原料堆场粉尘</w:t>
                  </w:r>
                </w:p>
              </w:tc>
              <w:tc>
                <w:tcPr>
                  <w:tcW w:w="1149" w:type="pct"/>
                  <w:tcBorders>
                    <w:top w:val="single" w:color="auto" w:sz="4" w:space="0"/>
                    <w:left w:val="single" w:color="auto" w:sz="4" w:space="0"/>
                    <w:bottom w:val="single" w:color="auto" w:sz="4" w:space="0"/>
                    <w:right w:val="nil"/>
                  </w:tcBorders>
                  <w:vAlign w:val="center"/>
                </w:tcPr>
                <w:p w14:paraId="5E304F55">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w:t>
                  </w:r>
                </w:p>
              </w:tc>
            </w:tr>
            <w:tr w14:paraId="1249CB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07" w:type="pct"/>
                  <w:tcBorders>
                    <w:top w:val="single" w:color="auto" w:sz="4" w:space="0"/>
                    <w:left w:val="nil"/>
                    <w:bottom w:val="single" w:color="auto" w:sz="12" w:space="0"/>
                    <w:right w:val="single" w:color="auto" w:sz="4" w:space="0"/>
                  </w:tcBorders>
                  <w:vAlign w:val="center"/>
                </w:tcPr>
                <w:p w14:paraId="4483AC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总计</w:t>
                  </w:r>
                </w:p>
              </w:tc>
              <w:tc>
                <w:tcPr>
                  <w:tcW w:w="1048" w:type="pct"/>
                  <w:tcBorders>
                    <w:top w:val="single" w:color="auto" w:sz="4" w:space="0"/>
                    <w:left w:val="single" w:color="auto" w:sz="4" w:space="0"/>
                    <w:bottom w:val="single" w:color="auto" w:sz="12" w:space="0"/>
                    <w:right w:val="single" w:color="auto" w:sz="4" w:space="0"/>
                  </w:tcBorders>
                  <w:vAlign w:val="center"/>
                </w:tcPr>
                <w:p w14:paraId="200A0A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60000</w:t>
                  </w:r>
                </w:p>
              </w:tc>
              <w:tc>
                <w:tcPr>
                  <w:tcW w:w="1794" w:type="pct"/>
                  <w:tcBorders>
                    <w:top w:val="single" w:color="auto" w:sz="4" w:space="0"/>
                    <w:left w:val="single" w:color="auto" w:sz="4" w:space="0"/>
                    <w:bottom w:val="single" w:color="auto" w:sz="12" w:space="0"/>
                    <w:right w:val="single" w:color="auto" w:sz="4" w:space="0"/>
                  </w:tcBorders>
                  <w:vAlign w:val="center"/>
                </w:tcPr>
                <w:p w14:paraId="1BEBC3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总计</w:t>
                  </w:r>
                </w:p>
              </w:tc>
              <w:tc>
                <w:tcPr>
                  <w:tcW w:w="1149" w:type="pct"/>
                  <w:tcBorders>
                    <w:top w:val="single" w:color="auto" w:sz="4" w:space="0"/>
                    <w:left w:val="single" w:color="auto" w:sz="4" w:space="0"/>
                    <w:bottom w:val="single" w:color="auto" w:sz="12" w:space="0"/>
                    <w:right w:val="nil"/>
                  </w:tcBorders>
                  <w:vAlign w:val="center"/>
                </w:tcPr>
                <w:p w14:paraId="6EDFC5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60000</w:t>
                  </w:r>
                </w:p>
              </w:tc>
            </w:tr>
          </w:tbl>
          <w:p w14:paraId="48A877BB">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kern w:val="2"/>
                <w:szCs w:val="24"/>
                <w:highlight w:val="none"/>
              </w:rPr>
            </w:pPr>
            <w:r>
              <w:rPr>
                <w:rFonts w:hint="eastAsia" w:cs="Times New Roman"/>
                <w:b/>
                <w:bCs/>
                <w:color w:val="auto"/>
                <w:kern w:val="2"/>
                <w:szCs w:val="24"/>
                <w:highlight w:val="none"/>
                <w:lang w:val="en-US" w:eastAsia="zh-CN"/>
              </w:rPr>
              <w:t>五</w:t>
            </w:r>
            <w:r>
              <w:rPr>
                <w:rFonts w:hint="default" w:ascii="Times New Roman" w:hAnsi="Times New Roman" w:eastAsia="宋体" w:cs="Times New Roman"/>
                <w:b/>
                <w:bCs/>
                <w:color w:val="auto"/>
                <w:kern w:val="2"/>
                <w:szCs w:val="24"/>
                <w:highlight w:val="none"/>
              </w:rPr>
              <w:t>、员工及工作制度</w:t>
            </w:r>
          </w:p>
          <w:p w14:paraId="498DCB3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本项目劳动定员</w:t>
            </w:r>
            <w:r>
              <w:rPr>
                <w:rFonts w:hint="eastAsia" w:cs="Times New Roman"/>
                <w:color w:val="auto"/>
                <w:highlight w:val="none"/>
                <w:lang w:val="en-US" w:eastAsia="zh-CN"/>
              </w:rPr>
              <w:t>5</w:t>
            </w:r>
            <w:r>
              <w:rPr>
                <w:rFonts w:hint="default" w:ascii="Times New Roman" w:hAnsi="Times New Roman" w:eastAsia="宋体" w:cs="Times New Roman"/>
                <w:color w:val="auto"/>
                <w:highlight w:val="none"/>
              </w:rPr>
              <w:t>人，项目投产后，生产期间实行2班制，每班12小时，年工作</w:t>
            </w:r>
            <w:r>
              <w:rPr>
                <w:rFonts w:hint="eastAsia" w:cs="Times New Roman"/>
                <w:color w:val="auto"/>
                <w:highlight w:val="none"/>
                <w:lang w:val="en-US" w:eastAsia="zh-CN"/>
              </w:rPr>
              <w:t>75</w:t>
            </w:r>
            <w:r>
              <w:rPr>
                <w:rFonts w:hint="default" w:ascii="Times New Roman" w:hAnsi="Times New Roman" w:eastAsia="宋体" w:cs="Times New Roman"/>
                <w:color w:val="auto"/>
                <w:highlight w:val="none"/>
              </w:rPr>
              <w:t>天</w:t>
            </w:r>
            <w:r>
              <w:rPr>
                <w:rFonts w:hint="eastAsia" w:cs="Times New Roman"/>
                <w:color w:val="auto"/>
                <w:highlight w:val="none"/>
                <w:lang w:eastAsia="zh-CN"/>
              </w:rPr>
              <w:t>（</w:t>
            </w:r>
            <w:r>
              <w:rPr>
                <w:rFonts w:hint="eastAsia" w:cs="Times New Roman"/>
                <w:color w:val="auto"/>
                <w:highlight w:val="none"/>
                <w:lang w:val="en-US" w:eastAsia="zh-CN"/>
              </w:rPr>
              <w:t>粮食年仓储时间也为75天：</w:t>
            </w:r>
            <w:r>
              <w:rPr>
                <w:rFonts w:hint="default" w:ascii="宋体" w:hAnsi="宋体" w:eastAsia="宋体" w:cs="宋体"/>
                <w:color w:val="auto"/>
                <w:sz w:val="24"/>
                <w:szCs w:val="24"/>
                <w:highlight w:val="none"/>
              </w:rPr>
              <w:t>粮食烘干工序、配套仓储使用周期完全同步</w:t>
            </w:r>
            <w:r>
              <w:rPr>
                <w:rFonts w:hint="eastAsia" w:cs="Times New Roman"/>
                <w:color w:val="auto"/>
                <w:highlight w:val="none"/>
                <w:lang w:eastAsia="zh-CN"/>
              </w:rPr>
              <w:t>）</w:t>
            </w:r>
            <w:r>
              <w:rPr>
                <w:rFonts w:hint="default" w:ascii="Times New Roman" w:hAnsi="Times New Roman" w:eastAsia="宋体" w:cs="Times New Roman"/>
                <w:color w:val="auto"/>
                <w:highlight w:val="none"/>
              </w:rPr>
              <w:t>，10月</w:t>
            </w:r>
            <w:r>
              <w:rPr>
                <w:rFonts w:hint="eastAsia" w:cs="Times New Roman"/>
                <w:color w:val="auto"/>
                <w:highlight w:val="none"/>
                <w:lang w:val="en-US" w:eastAsia="zh-CN"/>
              </w:rPr>
              <w:t>中下</w:t>
            </w:r>
            <w:r>
              <w:rPr>
                <w:rFonts w:hint="default" w:ascii="Times New Roman" w:hAnsi="Times New Roman" w:eastAsia="宋体" w:cs="Times New Roman"/>
                <w:color w:val="auto"/>
                <w:highlight w:val="none"/>
              </w:rPr>
              <w:t>旬至1</w:t>
            </w:r>
            <w:r>
              <w:rPr>
                <w:rFonts w:hint="eastAsia" w:cs="Times New Roman"/>
                <w:color w:val="auto"/>
                <w:highlight w:val="none"/>
                <w:lang w:val="en-US" w:eastAsia="zh-CN"/>
              </w:rPr>
              <w:t>2</w:t>
            </w:r>
            <w:r>
              <w:rPr>
                <w:rFonts w:hint="default" w:ascii="Times New Roman" w:hAnsi="Times New Roman" w:eastAsia="宋体" w:cs="Times New Roman"/>
                <w:color w:val="auto"/>
                <w:highlight w:val="none"/>
              </w:rPr>
              <w:t>月末。</w:t>
            </w:r>
            <w:r>
              <w:rPr>
                <w:rFonts w:hint="eastAsia" w:cs="Times New Roman"/>
                <w:color w:val="auto"/>
                <w:highlight w:val="none"/>
                <w:lang w:val="en-US" w:eastAsia="zh-CN"/>
              </w:rPr>
              <w:t>厂区内不设宿舍、食堂。</w:t>
            </w:r>
          </w:p>
          <w:p w14:paraId="11E903E4">
            <w:pPr>
              <w:keepNext w:val="0"/>
              <w:keepLines w:val="0"/>
              <w:suppressLineNumbers w:val="0"/>
              <w:autoSpaceDE w:val="0"/>
              <w:autoSpaceDN w:val="0"/>
              <w:adjustRightInd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rPr>
            </w:pPr>
            <w:r>
              <w:rPr>
                <w:rFonts w:hint="eastAsia" w:cs="Times New Roman"/>
                <w:b/>
                <w:color w:val="auto"/>
                <w:sz w:val="24"/>
                <w:highlight w:val="none"/>
                <w:lang w:val="en-US" w:eastAsia="zh-CN"/>
              </w:rPr>
              <w:t>六</w:t>
            </w:r>
            <w:r>
              <w:rPr>
                <w:rFonts w:hint="default" w:ascii="Times New Roman" w:hAnsi="Times New Roman" w:eastAsia="宋体" w:cs="Times New Roman"/>
                <w:b/>
                <w:color w:val="auto"/>
                <w:sz w:val="24"/>
                <w:highlight w:val="none"/>
              </w:rPr>
              <w:t>、公用工程</w:t>
            </w:r>
          </w:p>
          <w:p w14:paraId="62B3178F">
            <w:pPr>
              <w:pStyle w:val="56"/>
              <w:keepNext w:val="0"/>
              <w:keepLines w:val="0"/>
              <w:suppressLineNumbers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1、给水</w:t>
            </w:r>
          </w:p>
          <w:p w14:paraId="22354E87">
            <w:pPr>
              <w:pStyle w:val="56"/>
              <w:keepNext w:val="0"/>
              <w:keepLines w:val="0"/>
              <w:suppressLineNumbers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本项目无生产用水，无生产废水。</w:t>
            </w:r>
          </w:p>
          <w:p w14:paraId="55216473">
            <w:pPr>
              <w:pStyle w:val="56"/>
              <w:keepNext w:val="0"/>
              <w:keepLines w:val="0"/>
              <w:suppressLineNumbers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本项目厂区劳动定员</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人，按年工作</w:t>
            </w:r>
            <w:r>
              <w:rPr>
                <w:rFonts w:hint="eastAsia"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rPr>
              <w:t>天计，根据黑龙江省地方标准《用水定额》（DB23/T727-202</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），生活用水按每人80L/d计，则生活用水量为0.4t/d，</w:t>
            </w:r>
            <w:r>
              <w:rPr>
                <w:rFonts w:hint="eastAsia"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t/a。</w:t>
            </w:r>
          </w:p>
          <w:p w14:paraId="76DB5835">
            <w:pPr>
              <w:pStyle w:val="56"/>
              <w:keepNext w:val="0"/>
              <w:keepLines w:val="0"/>
              <w:suppressLineNumbers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2、排水</w:t>
            </w:r>
          </w:p>
          <w:p w14:paraId="783289F6">
            <w:pPr>
              <w:pStyle w:val="56"/>
              <w:keepNext w:val="0"/>
              <w:keepLines w:val="0"/>
              <w:suppressLineNumbers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本项目排放的废水主要为生活污水，生活污水按照用水量的80%计，则本项目产生的生活污水量为0.3</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t/d，</w:t>
            </w:r>
            <w:r>
              <w:rPr>
                <w:rFonts w:hint="eastAsia"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t/a。生活污水排入防渗旱厕，定期清掏，外运堆肥，不外排。</w:t>
            </w:r>
          </w:p>
          <w:p w14:paraId="3573B7C5">
            <w:pPr>
              <w:pStyle w:val="56"/>
              <w:keepNext w:val="0"/>
              <w:keepLines w:val="0"/>
              <w:suppressLineNumbers w:val="0"/>
              <w:spacing w:before="0" w:beforeAutospacing="0" w:after="0" w:afterAutospacing="0" w:line="360" w:lineRule="auto"/>
              <w:ind w:left="0" w:leftChars="0" w:right="0" w:firstLine="0" w:firstLineChars="0"/>
              <w:jc w:val="left"/>
              <w:rPr>
                <w:rFonts w:hint="default" w:ascii="Times New Roman" w:hAnsi="Times New Roman" w:eastAsia="宋体" w:cs="Times New Roman"/>
                <w:color w:val="auto"/>
                <w:sz w:val="24"/>
                <w:szCs w:val="24"/>
                <w:highlight w:val="none"/>
              </w:rPr>
            </w:pPr>
            <w:r>
              <w:rPr>
                <w:rFonts w:hint="default"/>
                <w:color w:val="auto"/>
                <w:highlight w:val="none"/>
              </w:rPr>
              <w:drawing>
                <wp:inline distT="0" distB="0" distL="114300" distR="114300">
                  <wp:extent cx="5040630" cy="904240"/>
                  <wp:effectExtent l="0" t="0" r="7620" b="10160"/>
                  <wp:docPr id="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2"/>
                          <pic:cNvPicPr>
                            <a:picLocks noChangeAspect="1"/>
                          </pic:cNvPicPr>
                        </pic:nvPicPr>
                        <pic:blipFill>
                          <a:blip r:embed="rId14"/>
                          <a:stretch>
                            <a:fillRect/>
                          </a:stretch>
                        </pic:blipFill>
                        <pic:spPr>
                          <a:xfrm>
                            <a:off x="0" y="0"/>
                            <a:ext cx="5040630" cy="904240"/>
                          </a:xfrm>
                          <a:prstGeom prst="rect">
                            <a:avLst/>
                          </a:prstGeom>
                          <a:noFill/>
                          <a:ln>
                            <a:noFill/>
                          </a:ln>
                        </pic:spPr>
                      </pic:pic>
                    </a:graphicData>
                  </a:graphic>
                </wp:inline>
              </w:drawing>
            </w:r>
          </w:p>
          <w:p w14:paraId="47ED421D">
            <w:pPr>
              <w:pStyle w:val="56"/>
              <w:keepNext w:val="0"/>
              <w:keepLines w:val="0"/>
              <w:suppressLineNumbers w:val="0"/>
              <w:spacing w:before="0" w:beforeAutospacing="0" w:after="0" w:afterAutospacing="0" w:line="360" w:lineRule="auto"/>
              <w:ind w:left="0" w:right="0" w:firstLine="480"/>
              <w:jc w:val="center"/>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sz w:val="24"/>
                <w:szCs w:val="24"/>
                <w:highlight w:val="none"/>
              </w:rPr>
              <w:t>图2-</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本项目水量平衡图（t/d）</w:t>
            </w:r>
          </w:p>
          <w:p w14:paraId="078354D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（2）供热</w:t>
            </w:r>
          </w:p>
          <w:p w14:paraId="6949FFAA">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4"/>
                <w:highlight w:val="none"/>
              </w:rPr>
              <w:t>本项目主要建设内容生产用热由新建一台</w:t>
            </w:r>
            <w:r>
              <w:rPr>
                <w:rFonts w:hint="eastAsia" w:cs="Times New Roman"/>
                <w:color w:val="auto"/>
                <w:szCs w:val="24"/>
                <w:highlight w:val="none"/>
                <w:lang w:eastAsia="zh-CN"/>
              </w:rPr>
              <w:t>900万kcal/h</w:t>
            </w:r>
            <w:r>
              <w:rPr>
                <w:rFonts w:hint="default" w:ascii="Times New Roman" w:hAnsi="Times New Roman" w:eastAsia="宋体" w:cs="Times New Roman"/>
                <w:color w:val="auto"/>
                <w:szCs w:val="24"/>
                <w:highlight w:val="none"/>
              </w:rPr>
              <w:t>燃生物质热风炉提供，燃料消耗量为</w:t>
            </w:r>
            <w:r>
              <w:rPr>
                <w:rFonts w:hint="eastAsia" w:cs="Times New Roman"/>
                <w:color w:val="auto"/>
                <w:szCs w:val="24"/>
                <w:highlight w:val="none"/>
                <w:lang w:val="en-US" w:eastAsia="zh-CN"/>
              </w:rPr>
              <w:t>3187</w:t>
            </w:r>
            <w:r>
              <w:rPr>
                <w:rFonts w:hint="default" w:ascii="Times New Roman" w:hAnsi="Times New Roman" w:eastAsia="宋体" w:cs="Times New Roman"/>
                <w:color w:val="auto"/>
                <w:szCs w:val="24"/>
                <w:highlight w:val="none"/>
              </w:rPr>
              <w:t>t/a</w:t>
            </w:r>
            <w:r>
              <w:rPr>
                <w:rFonts w:hint="default" w:ascii="Times New Roman" w:hAnsi="Times New Roman" w:eastAsia="宋体" w:cs="Times New Roman"/>
                <w:color w:val="auto"/>
                <w:highlight w:val="none"/>
              </w:rPr>
              <w:t>。</w:t>
            </w:r>
          </w:p>
          <w:p w14:paraId="77CE77F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highlight w:val="none"/>
                <w:lang w:eastAsia="zh-CN"/>
              </w:rPr>
              <w:t>厂区办公室</w:t>
            </w:r>
            <w:r>
              <w:rPr>
                <w:rFonts w:hint="default" w:ascii="Times New Roman" w:hAnsi="Times New Roman" w:eastAsia="宋体" w:cs="Times New Roman"/>
                <w:color w:val="auto"/>
                <w:highlight w:val="none"/>
              </w:rPr>
              <w:t>冬季供暖</w:t>
            </w:r>
            <w:r>
              <w:rPr>
                <w:rFonts w:hint="default" w:ascii="Times New Roman" w:hAnsi="Times New Roman" w:eastAsia="宋体" w:cs="Times New Roman"/>
                <w:color w:val="auto"/>
                <w:highlight w:val="none"/>
                <w:lang w:val="en-US" w:eastAsia="zh-CN"/>
              </w:rPr>
              <w:t>为电取暖</w:t>
            </w:r>
            <w:r>
              <w:rPr>
                <w:rFonts w:hint="default" w:ascii="Times New Roman" w:hAnsi="Times New Roman" w:eastAsia="宋体" w:cs="Times New Roman"/>
                <w:color w:val="auto"/>
                <w:szCs w:val="24"/>
                <w:highlight w:val="none"/>
                <w:lang w:eastAsia="zh-CN"/>
              </w:rPr>
              <w:t>。</w:t>
            </w:r>
          </w:p>
          <w:p w14:paraId="02DA10FB">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（3）供电</w:t>
            </w:r>
          </w:p>
          <w:p w14:paraId="4C68E464">
            <w:pPr>
              <w:pStyle w:val="31"/>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用电由所在地供电电网提供。</w:t>
            </w:r>
          </w:p>
          <w:p w14:paraId="0F02371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七</w:t>
            </w:r>
            <w:r>
              <w:rPr>
                <w:rFonts w:hint="default" w:ascii="Times New Roman" w:hAnsi="Times New Roman" w:eastAsia="宋体" w:cs="Times New Roman"/>
                <w:b/>
                <w:bCs/>
                <w:color w:val="auto"/>
                <w:sz w:val="24"/>
                <w:szCs w:val="24"/>
                <w:highlight w:val="none"/>
                <w:lang w:val="en-US" w:eastAsia="zh-CN"/>
              </w:rPr>
              <w:t>、总平面布置</w:t>
            </w:r>
          </w:p>
          <w:p w14:paraId="37845ADA">
            <w:pPr>
              <w:pStyle w:val="95"/>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val="en-US" w:eastAsia="zh-CN"/>
              </w:rPr>
              <w:t>位于</w:t>
            </w:r>
            <w:r>
              <w:rPr>
                <w:rFonts w:hint="eastAsia" w:cs="Times New Roman"/>
                <w:color w:val="auto"/>
                <w:sz w:val="24"/>
                <w:highlight w:val="none"/>
                <w:lang w:val="en-US" w:eastAsia="zh-CN"/>
              </w:rPr>
              <w:t>黑龙江省鸡西市虎林市850农场东部园区静泽街1-3号</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黑龙江省锦畴粮食贸易有限公司</w:t>
            </w:r>
            <w:r>
              <w:rPr>
                <w:rFonts w:hint="default" w:ascii="Times New Roman" w:hAnsi="Times New Roman" w:eastAsia="宋体" w:cs="Times New Roman"/>
                <w:color w:val="auto"/>
                <w:sz w:val="24"/>
                <w:highlight w:val="none"/>
                <w:lang w:val="en-US" w:eastAsia="zh-CN"/>
              </w:rPr>
              <w:t>新建一座日烘干能力</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val="en-US" w:eastAsia="zh-CN"/>
              </w:rPr>
              <w:t>00t/d的烘干塔，配套建设一台</w:t>
            </w:r>
            <w:r>
              <w:rPr>
                <w:rFonts w:hint="eastAsia" w:cs="Times New Roman"/>
                <w:color w:val="auto"/>
                <w:sz w:val="24"/>
                <w:highlight w:val="none"/>
                <w:lang w:val="en-US" w:eastAsia="zh-CN"/>
              </w:rPr>
              <w:t>900万kcal/h</w:t>
            </w:r>
            <w:r>
              <w:rPr>
                <w:rFonts w:hint="default" w:ascii="Times New Roman" w:hAnsi="Times New Roman" w:eastAsia="宋体" w:cs="Times New Roman"/>
                <w:color w:val="auto"/>
                <w:sz w:val="24"/>
                <w:highlight w:val="none"/>
                <w:lang w:val="en-US" w:eastAsia="zh-CN"/>
              </w:rPr>
              <w:t>的燃生物质热风炉。</w:t>
            </w:r>
            <w:r>
              <w:rPr>
                <w:rFonts w:hint="default" w:ascii="Times New Roman" w:hAnsi="Times New Roman" w:eastAsia="宋体" w:cs="Times New Roman"/>
                <w:color w:val="auto"/>
                <w:kern w:val="2"/>
                <w:sz w:val="24"/>
                <w:szCs w:val="24"/>
                <w:highlight w:val="none"/>
                <w:lang w:val="en-US" w:eastAsia="zh-CN" w:bidi="ar-SA"/>
              </w:rPr>
              <w:t>项目平面布置图见附图2，项目平面布置功能分区合理、布局紧凑，各个建筑物的布置均满足工艺需要。项目所在地道路系统完善，有利于原料及产品的运输。因此，项目平面布置合理。</w:t>
            </w:r>
          </w:p>
          <w:p w14:paraId="42E57B57">
            <w:pPr>
              <w:pStyle w:val="95"/>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八</w:t>
            </w:r>
            <w:r>
              <w:rPr>
                <w:rFonts w:hint="default" w:ascii="Times New Roman" w:hAnsi="Times New Roman" w:eastAsia="宋体" w:cs="Times New Roman"/>
                <w:b/>
                <w:bCs/>
                <w:color w:val="auto"/>
                <w:highlight w:val="none"/>
              </w:rPr>
              <w:t>、投资情况</w:t>
            </w:r>
          </w:p>
          <w:p w14:paraId="324024AB">
            <w:pPr>
              <w:pStyle w:val="95"/>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本项目总投资</w:t>
            </w:r>
            <w:r>
              <w:rPr>
                <w:rFonts w:hint="eastAsia" w:cs="Times New Roman"/>
                <w:color w:val="auto"/>
                <w:highlight w:val="none"/>
                <w:lang w:val="en-US" w:eastAsia="zh-CN"/>
              </w:rPr>
              <w:t>800</w:t>
            </w:r>
            <w:r>
              <w:rPr>
                <w:rFonts w:hint="default" w:ascii="Times New Roman" w:hAnsi="Times New Roman" w:eastAsia="宋体" w:cs="Times New Roman"/>
                <w:color w:val="auto"/>
                <w:highlight w:val="none"/>
              </w:rPr>
              <w:t>万元，环保投资</w:t>
            </w:r>
            <w:r>
              <w:rPr>
                <w:rFonts w:hint="eastAsia" w:cs="Times New Roman"/>
                <w:color w:val="auto"/>
                <w:highlight w:val="none"/>
                <w:lang w:val="en-US" w:eastAsia="zh-CN"/>
              </w:rPr>
              <w:t>19</w:t>
            </w:r>
            <w:r>
              <w:rPr>
                <w:rFonts w:hint="default" w:ascii="Times New Roman" w:hAnsi="Times New Roman" w:eastAsia="宋体" w:cs="Times New Roman"/>
                <w:color w:val="auto"/>
                <w:highlight w:val="none"/>
              </w:rPr>
              <w:t>万元。环保投资估算见下表。</w:t>
            </w:r>
          </w:p>
          <w:p w14:paraId="7D19D32E">
            <w:pPr>
              <w:pStyle w:val="96"/>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表2-</w:t>
            </w:r>
            <w:r>
              <w:rPr>
                <w:rFonts w:hint="eastAsia" w:eastAsia="宋体"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环保投资一览表单位：万元</w:t>
            </w:r>
          </w:p>
          <w:tbl>
            <w:tblPr>
              <w:tblStyle w:val="33"/>
              <w:tblW w:w="79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106"/>
              <w:gridCol w:w="1343"/>
              <w:gridCol w:w="3690"/>
              <w:gridCol w:w="1359"/>
            </w:tblGrid>
            <w:tr w14:paraId="0AF63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2" w:type="dxa"/>
                  <w:gridSpan w:val="2"/>
                  <w:vAlign w:val="center"/>
                </w:tcPr>
                <w:p w14:paraId="7968B411">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投资项目</w:t>
                  </w:r>
                </w:p>
              </w:tc>
              <w:tc>
                <w:tcPr>
                  <w:tcW w:w="1343" w:type="dxa"/>
                  <w:vAlign w:val="center"/>
                </w:tcPr>
                <w:p w14:paraId="4E0A8D0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污染源</w:t>
                  </w:r>
                </w:p>
              </w:tc>
              <w:tc>
                <w:tcPr>
                  <w:tcW w:w="3690" w:type="dxa"/>
                  <w:vAlign w:val="center"/>
                </w:tcPr>
                <w:p w14:paraId="0EB5FE76">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具体措施</w:t>
                  </w:r>
                </w:p>
              </w:tc>
              <w:tc>
                <w:tcPr>
                  <w:tcW w:w="1359" w:type="dxa"/>
                  <w:vAlign w:val="center"/>
                </w:tcPr>
                <w:p w14:paraId="35FBEA5C">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投资</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万元</w:t>
                  </w:r>
                  <w:r>
                    <w:rPr>
                      <w:rFonts w:hint="default" w:ascii="Times New Roman" w:hAnsi="Times New Roman" w:eastAsia="宋体" w:cs="Times New Roman"/>
                      <w:color w:val="auto"/>
                      <w:szCs w:val="21"/>
                      <w:highlight w:val="none"/>
                      <w:lang w:eastAsia="zh-CN"/>
                    </w:rPr>
                    <w:t>）</w:t>
                  </w:r>
                </w:p>
              </w:tc>
            </w:tr>
            <w:tr w14:paraId="7655C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2" w:type="dxa"/>
                  <w:gridSpan w:val="2"/>
                  <w:vMerge w:val="restart"/>
                  <w:vAlign w:val="center"/>
                </w:tcPr>
                <w:p w14:paraId="3E3468BE">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施工期</w:t>
                  </w:r>
                </w:p>
              </w:tc>
              <w:tc>
                <w:tcPr>
                  <w:tcW w:w="1343" w:type="dxa"/>
                  <w:vAlign w:val="center"/>
                </w:tcPr>
                <w:p w14:paraId="1C792558">
                  <w:pPr>
                    <w:pStyle w:val="97"/>
                    <w:keepNext w:val="0"/>
                    <w:keepLines w:val="0"/>
                    <w:suppressLineNumbers w:val="0"/>
                    <w:spacing w:before="0" w:beforeAutospacing="0" w:after="0" w:afterAutospacing="0" w:line="240" w:lineRule="auto"/>
                    <w:ind w:left="0" w:right="0"/>
                    <w:rPr>
                      <w:rStyle w:val="98"/>
                      <w:rFonts w:hint="eastAsia" w:ascii="Times New Roman" w:hAnsi="Times New Roman" w:eastAsia="宋体" w:cs="Times New Roman"/>
                      <w:color w:val="auto"/>
                      <w:sz w:val="21"/>
                      <w:szCs w:val="21"/>
                      <w:highlight w:val="none"/>
                      <w:lang w:val="en-US" w:eastAsia="zh-CN"/>
                    </w:rPr>
                  </w:pPr>
                  <w:r>
                    <w:rPr>
                      <w:rStyle w:val="98"/>
                      <w:rFonts w:hint="eastAsia" w:cs="Times New Roman"/>
                      <w:color w:val="auto"/>
                      <w:sz w:val="21"/>
                      <w:szCs w:val="21"/>
                      <w:highlight w:val="none"/>
                      <w:lang w:val="en-US" w:eastAsia="zh-CN"/>
                    </w:rPr>
                    <w:t>废气</w:t>
                  </w:r>
                </w:p>
              </w:tc>
              <w:tc>
                <w:tcPr>
                  <w:tcW w:w="3690" w:type="dxa"/>
                  <w:vAlign w:val="center"/>
                </w:tcPr>
                <w:p w14:paraId="10AB8E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施工区域周围设置围挡、洒水降尘</w:t>
                  </w:r>
                </w:p>
              </w:tc>
              <w:tc>
                <w:tcPr>
                  <w:tcW w:w="1359" w:type="dxa"/>
                  <w:vAlign w:val="center"/>
                </w:tcPr>
                <w:p w14:paraId="31B654AB">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5538A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2" w:type="dxa"/>
                  <w:gridSpan w:val="2"/>
                  <w:vMerge w:val="continue"/>
                  <w:vAlign w:val="center"/>
                </w:tcPr>
                <w:p w14:paraId="145575B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343" w:type="dxa"/>
                  <w:vAlign w:val="center"/>
                </w:tcPr>
                <w:p w14:paraId="597C3F49">
                  <w:pPr>
                    <w:pStyle w:val="97"/>
                    <w:keepNext w:val="0"/>
                    <w:keepLines w:val="0"/>
                    <w:suppressLineNumbers w:val="0"/>
                    <w:spacing w:before="0" w:beforeAutospacing="0" w:after="0" w:afterAutospacing="0" w:line="240" w:lineRule="auto"/>
                    <w:ind w:left="0" w:right="0"/>
                    <w:rPr>
                      <w:rStyle w:val="98"/>
                      <w:rFonts w:hint="eastAsia" w:ascii="Times New Roman" w:hAnsi="Times New Roman" w:eastAsia="宋体" w:cs="Times New Roman"/>
                      <w:color w:val="auto"/>
                      <w:sz w:val="21"/>
                      <w:szCs w:val="21"/>
                      <w:highlight w:val="none"/>
                      <w:lang w:val="en-US" w:eastAsia="zh-CN"/>
                    </w:rPr>
                  </w:pPr>
                  <w:r>
                    <w:rPr>
                      <w:rStyle w:val="98"/>
                      <w:rFonts w:hint="eastAsia" w:cs="Times New Roman"/>
                      <w:color w:val="auto"/>
                      <w:sz w:val="21"/>
                      <w:szCs w:val="21"/>
                      <w:highlight w:val="none"/>
                      <w:lang w:val="en-US" w:eastAsia="zh-CN"/>
                    </w:rPr>
                    <w:t>废水</w:t>
                  </w:r>
                </w:p>
              </w:tc>
              <w:tc>
                <w:tcPr>
                  <w:tcW w:w="3690" w:type="dxa"/>
                  <w:vAlign w:val="center"/>
                </w:tcPr>
                <w:p w14:paraId="42E210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施工废水临时沉淀池</w:t>
                  </w:r>
                </w:p>
              </w:tc>
              <w:tc>
                <w:tcPr>
                  <w:tcW w:w="1359" w:type="dxa"/>
                  <w:vAlign w:val="center"/>
                </w:tcPr>
                <w:p w14:paraId="48A4A7E0">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6E0709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2" w:type="dxa"/>
                  <w:gridSpan w:val="2"/>
                  <w:vMerge w:val="continue"/>
                  <w:vAlign w:val="center"/>
                </w:tcPr>
                <w:p w14:paraId="462B869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343" w:type="dxa"/>
                  <w:vAlign w:val="center"/>
                </w:tcPr>
                <w:p w14:paraId="255B75FB">
                  <w:pPr>
                    <w:pStyle w:val="97"/>
                    <w:keepNext w:val="0"/>
                    <w:keepLines w:val="0"/>
                    <w:suppressLineNumbers w:val="0"/>
                    <w:spacing w:before="0" w:beforeAutospacing="0" w:after="0" w:afterAutospacing="0" w:line="240" w:lineRule="auto"/>
                    <w:ind w:left="0" w:right="0"/>
                    <w:rPr>
                      <w:rStyle w:val="98"/>
                      <w:rFonts w:hint="eastAsia" w:ascii="Times New Roman" w:hAnsi="Times New Roman" w:eastAsia="宋体" w:cs="Times New Roman"/>
                      <w:color w:val="auto"/>
                      <w:sz w:val="21"/>
                      <w:szCs w:val="21"/>
                      <w:highlight w:val="none"/>
                      <w:lang w:val="en-US" w:eastAsia="zh-CN"/>
                    </w:rPr>
                  </w:pPr>
                  <w:r>
                    <w:rPr>
                      <w:rStyle w:val="98"/>
                      <w:rFonts w:hint="eastAsia" w:cs="Times New Roman"/>
                      <w:color w:val="auto"/>
                      <w:sz w:val="21"/>
                      <w:szCs w:val="21"/>
                      <w:highlight w:val="none"/>
                      <w:lang w:val="en-US" w:eastAsia="zh-CN"/>
                    </w:rPr>
                    <w:t>噪声</w:t>
                  </w:r>
                </w:p>
              </w:tc>
              <w:tc>
                <w:tcPr>
                  <w:tcW w:w="3690" w:type="dxa"/>
                  <w:vAlign w:val="center"/>
                </w:tcPr>
                <w:p w14:paraId="6968EB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低噪声设备</w:t>
                  </w:r>
                </w:p>
              </w:tc>
              <w:tc>
                <w:tcPr>
                  <w:tcW w:w="1359" w:type="dxa"/>
                  <w:vAlign w:val="center"/>
                </w:tcPr>
                <w:p w14:paraId="532849CA">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0.5</w:t>
                  </w:r>
                </w:p>
              </w:tc>
            </w:tr>
            <w:tr w14:paraId="27CBE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2" w:type="dxa"/>
                  <w:gridSpan w:val="2"/>
                  <w:vMerge w:val="continue"/>
                  <w:vAlign w:val="center"/>
                </w:tcPr>
                <w:p w14:paraId="768EB3F6">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343" w:type="dxa"/>
                  <w:vAlign w:val="center"/>
                </w:tcPr>
                <w:p w14:paraId="460393CE">
                  <w:pPr>
                    <w:pStyle w:val="97"/>
                    <w:keepNext w:val="0"/>
                    <w:keepLines w:val="0"/>
                    <w:suppressLineNumbers w:val="0"/>
                    <w:spacing w:before="0" w:beforeAutospacing="0" w:after="0" w:afterAutospacing="0" w:line="240" w:lineRule="auto"/>
                    <w:ind w:left="0" w:right="0"/>
                    <w:rPr>
                      <w:rStyle w:val="98"/>
                      <w:rFonts w:hint="eastAsia" w:ascii="Times New Roman" w:hAnsi="Times New Roman" w:eastAsia="宋体" w:cs="Times New Roman"/>
                      <w:color w:val="auto"/>
                      <w:sz w:val="21"/>
                      <w:szCs w:val="21"/>
                      <w:highlight w:val="none"/>
                      <w:lang w:val="en-US" w:eastAsia="zh-CN"/>
                    </w:rPr>
                  </w:pPr>
                  <w:r>
                    <w:rPr>
                      <w:rStyle w:val="98"/>
                      <w:rFonts w:hint="eastAsia" w:cs="Times New Roman"/>
                      <w:color w:val="auto"/>
                      <w:sz w:val="21"/>
                      <w:szCs w:val="21"/>
                      <w:highlight w:val="none"/>
                      <w:lang w:val="en-US" w:eastAsia="zh-CN"/>
                    </w:rPr>
                    <w:t>固废</w:t>
                  </w:r>
                </w:p>
              </w:tc>
              <w:tc>
                <w:tcPr>
                  <w:tcW w:w="3690" w:type="dxa"/>
                  <w:vAlign w:val="center"/>
                </w:tcPr>
                <w:p w14:paraId="42DC308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施工生活垃圾交由市政环卫部门处置，建筑垃圾送建筑废渣专用堆放场</w:t>
                  </w:r>
                </w:p>
              </w:tc>
              <w:tc>
                <w:tcPr>
                  <w:tcW w:w="1359" w:type="dxa"/>
                  <w:vAlign w:val="center"/>
                </w:tcPr>
                <w:p w14:paraId="740913D1">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0.5</w:t>
                  </w:r>
                </w:p>
              </w:tc>
            </w:tr>
            <w:tr w14:paraId="424483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dxa"/>
                  <w:vMerge w:val="restart"/>
                  <w:vAlign w:val="center"/>
                </w:tcPr>
                <w:p w14:paraId="5D83684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运行期</w:t>
                  </w:r>
                </w:p>
              </w:tc>
              <w:tc>
                <w:tcPr>
                  <w:tcW w:w="1106" w:type="dxa"/>
                  <w:vMerge w:val="restart"/>
                  <w:vAlign w:val="center"/>
                </w:tcPr>
                <w:p w14:paraId="438F0152">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废气处理</w:t>
                  </w:r>
                </w:p>
              </w:tc>
              <w:tc>
                <w:tcPr>
                  <w:tcW w:w="1343" w:type="dxa"/>
                  <w:vAlign w:val="center"/>
                </w:tcPr>
                <w:p w14:paraId="0FFE243B">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Style w:val="98"/>
                      <w:rFonts w:hint="default" w:ascii="Times New Roman" w:hAnsi="Times New Roman" w:eastAsia="宋体" w:cs="Times New Roman"/>
                      <w:color w:val="auto"/>
                      <w:sz w:val="21"/>
                      <w:szCs w:val="21"/>
                      <w:highlight w:val="none"/>
                    </w:rPr>
                    <w:t>热风炉烟气</w:t>
                  </w:r>
                </w:p>
              </w:tc>
              <w:tc>
                <w:tcPr>
                  <w:tcW w:w="3690" w:type="dxa"/>
                  <w:vAlign w:val="center"/>
                </w:tcPr>
                <w:p w14:paraId="22106C4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热风炉烟气</w:t>
                  </w:r>
                  <w:r>
                    <w:rPr>
                      <w:rFonts w:hint="default" w:ascii="Times New Roman" w:hAnsi="Times New Roman" w:eastAsia="宋体" w:cs="Times New Roman"/>
                      <w:bCs/>
                      <w:color w:val="auto"/>
                      <w:szCs w:val="21"/>
                      <w:highlight w:val="none"/>
                    </w:rPr>
                    <w:t>经布袋除尘器处理由1根</w:t>
                  </w:r>
                  <w:r>
                    <w:rPr>
                      <w:rFonts w:hint="eastAsia" w:cs="Times New Roman"/>
                      <w:color w:val="auto"/>
                      <w:szCs w:val="21"/>
                      <w:highlight w:val="none"/>
                      <w:lang w:val="en-US" w:eastAsia="zh-CN"/>
                    </w:rPr>
                    <w:t>30</w:t>
                  </w:r>
                  <w:r>
                    <w:rPr>
                      <w:rFonts w:hint="default" w:ascii="Times New Roman" w:hAnsi="Times New Roman" w:eastAsia="宋体" w:cs="Times New Roman"/>
                      <w:color w:val="auto"/>
                      <w:szCs w:val="21"/>
                      <w:highlight w:val="none"/>
                      <w:lang w:eastAsia="zh-CN"/>
                    </w:rPr>
                    <w:t>m</w:t>
                  </w:r>
                  <w:r>
                    <w:rPr>
                      <w:rFonts w:hint="default" w:ascii="Times New Roman" w:hAnsi="Times New Roman" w:eastAsia="宋体" w:cs="Times New Roman"/>
                      <w:color w:val="auto"/>
                      <w:szCs w:val="21"/>
                      <w:highlight w:val="none"/>
                    </w:rPr>
                    <w:t>高烟囱排放</w:t>
                  </w:r>
                </w:p>
              </w:tc>
              <w:tc>
                <w:tcPr>
                  <w:tcW w:w="1359" w:type="dxa"/>
                  <w:vAlign w:val="center"/>
                </w:tcPr>
                <w:p w14:paraId="10405A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7.5</w:t>
                  </w:r>
                </w:p>
              </w:tc>
            </w:tr>
            <w:tr w14:paraId="4196C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dxa"/>
                  <w:vMerge w:val="continue"/>
                  <w:vAlign w:val="center"/>
                </w:tcPr>
                <w:p w14:paraId="401240B0">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106" w:type="dxa"/>
                  <w:vMerge w:val="continue"/>
                  <w:vAlign w:val="center"/>
                </w:tcPr>
                <w:p w14:paraId="59AFBE03">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343" w:type="dxa"/>
                  <w:vAlign w:val="center"/>
                </w:tcPr>
                <w:p w14:paraId="4C666C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烘干塔废气</w:t>
                  </w:r>
                </w:p>
              </w:tc>
              <w:tc>
                <w:tcPr>
                  <w:tcW w:w="3690" w:type="dxa"/>
                  <w:vAlign w:val="center"/>
                </w:tcPr>
                <w:p w14:paraId="7444B9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在</w:t>
                  </w:r>
                  <w:r>
                    <w:rPr>
                      <w:rFonts w:hint="default" w:ascii="Times New Roman" w:hAnsi="Times New Roman" w:eastAsia="宋体" w:cs="Times New Roman"/>
                      <w:color w:val="auto"/>
                      <w:szCs w:val="21"/>
                      <w:highlight w:val="none"/>
                    </w:rPr>
                    <w:t>烘干塔塔体两侧排气孔设置折流挡板，塔顶排气孔设滤尘网</w:t>
                  </w:r>
                </w:p>
              </w:tc>
              <w:tc>
                <w:tcPr>
                  <w:tcW w:w="1359" w:type="dxa"/>
                  <w:vAlign w:val="center"/>
                </w:tcPr>
                <w:p w14:paraId="374450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r>
            <w:tr w14:paraId="59185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dxa"/>
                  <w:vMerge w:val="continue"/>
                  <w:vAlign w:val="center"/>
                </w:tcPr>
                <w:p w14:paraId="2FB21633">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106" w:type="dxa"/>
                  <w:vAlign w:val="center"/>
                </w:tcPr>
                <w:p w14:paraId="0FBD4016">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噪声处理</w:t>
                  </w:r>
                </w:p>
              </w:tc>
              <w:tc>
                <w:tcPr>
                  <w:tcW w:w="1343" w:type="dxa"/>
                  <w:vAlign w:val="center"/>
                </w:tcPr>
                <w:p w14:paraId="453CE355">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设备噪声</w:t>
                  </w:r>
                </w:p>
              </w:tc>
              <w:tc>
                <w:tcPr>
                  <w:tcW w:w="3690" w:type="dxa"/>
                  <w:vAlign w:val="center"/>
                </w:tcPr>
                <w:p w14:paraId="0BFFC2C9">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rPr>
                    <w:t>对烘干机</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输送机、提升机</w:t>
                  </w:r>
                  <w:r>
                    <w:rPr>
                      <w:rFonts w:hint="default" w:ascii="Times New Roman" w:hAnsi="Times New Roman" w:eastAsia="宋体" w:cs="Times New Roman"/>
                      <w:color w:val="auto"/>
                      <w:szCs w:val="21"/>
                      <w:highlight w:val="none"/>
                      <w:lang w:val="en-US" w:eastAsia="zh-CN"/>
                    </w:rPr>
                    <w:t>等</w:t>
                  </w:r>
                  <w:r>
                    <w:rPr>
                      <w:rFonts w:hint="default" w:ascii="Times New Roman" w:hAnsi="Times New Roman" w:eastAsia="宋体" w:cs="Times New Roman"/>
                      <w:color w:val="auto"/>
                      <w:szCs w:val="21"/>
                      <w:highlight w:val="none"/>
                    </w:rPr>
                    <w:t>高噪声设备加装减振基础</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安装减振垫，风机设置减振底座，并在</w:t>
                  </w:r>
                  <w:r>
                    <w:rPr>
                      <w:rFonts w:hint="default" w:ascii="Times New Roman" w:hAnsi="Times New Roman" w:eastAsia="宋体" w:cs="Times New Roman"/>
                      <w:color w:val="auto"/>
                      <w:szCs w:val="21"/>
                      <w:highlight w:val="none"/>
                    </w:rPr>
                    <w:t>风机进、出风口装设消音器</w:t>
                  </w:r>
                  <w:r>
                    <w:rPr>
                      <w:rFonts w:hint="default" w:ascii="Times New Roman" w:hAnsi="Times New Roman" w:eastAsia="宋体" w:cs="Times New Roman"/>
                      <w:color w:val="auto"/>
                      <w:szCs w:val="21"/>
                      <w:highlight w:val="none"/>
                      <w:lang w:val="en-US" w:eastAsia="zh-CN"/>
                    </w:rPr>
                    <w:t>，加强设备的维护</w:t>
                  </w:r>
                </w:p>
              </w:tc>
              <w:tc>
                <w:tcPr>
                  <w:tcW w:w="1359" w:type="dxa"/>
                  <w:vAlign w:val="center"/>
                </w:tcPr>
                <w:p w14:paraId="5886BE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4CFF4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dxa"/>
                  <w:vMerge w:val="continue"/>
                  <w:vAlign w:val="center"/>
                </w:tcPr>
                <w:p w14:paraId="4986B36F">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106" w:type="dxa"/>
                  <w:vAlign w:val="center"/>
                </w:tcPr>
                <w:p w14:paraId="026420D6">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固废处理</w:t>
                  </w:r>
                </w:p>
              </w:tc>
              <w:tc>
                <w:tcPr>
                  <w:tcW w:w="1343" w:type="dxa"/>
                  <w:vAlign w:val="center"/>
                </w:tcPr>
                <w:p w14:paraId="631A55D0">
                  <w:pPr>
                    <w:pStyle w:val="97"/>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一般工业固体废物</w:t>
                  </w:r>
                  <w:r>
                    <w:rPr>
                      <w:rFonts w:hint="eastAsia" w:cs="Times New Roman"/>
                      <w:color w:val="auto"/>
                      <w:szCs w:val="21"/>
                      <w:highlight w:val="none"/>
                      <w:lang w:eastAsia="zh-CN"/>
                    </w:rPr>
                    <w:t>、</w:t>
                  </w:r>
                  <w:r>
                    <w:rPr>
                      <w:rFonts w:hint="eastAsia" w:cs="Times New Roman"/>
                      <w:color w:val="auto"/>
                      <w:szCs w:val="21"/>
                      <w:highlight w:val="none"/>
                      <w:lang w:val="en-US" w:eastAsia="zh-CN"/>
                    </w:rPr>
                    <w:t>危险废物</w:t>
                  </w:r>
                </w:p>
              </w:tc>
              <w:tc>
                <w:tcPr>
                  <w:tcW w:w="3690" w:type="dxa"/>
                  <w:vAlign w:val="center"/>
                </w:tcPr>
                <w:p w14:paraId="6DF7B31B">
                  <w:pPr>
                    <w:pStyle w:val="97"/>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一般工业固体废物收集设施</w:t>
                  </w:r>
                  <w:r>
                    <w:rPr>
                      <w:rFonts w:hint="eastAsia" w:cs="Times New Roman"/>
                      <w:color w:val="auto"/>
                      <w:szCs w:val="21"/>
                      <w:highlight w:val="none"/>
                      <w:lang w:eastAsia="zh-CN"/>
                    </w:rPr>
                    <w:t>、</w:t>
                  </w:r>
                  <w:r>
                    <w:rPr>
                      <w:rFonts w:hint="eastAsia" w:cs="Times New Roman"/>
                      <w:color w:val="auto"/>
                      <w:szCs w:val="21"/>
                      <w:highlight w:val="none"/>
                      <w:lang w:val="en-US" w:eastAsia="zh-CN"/>
                    </w:rPr>
                    <w:t>危险废物贮存库</w:t>
                  </w:r>
                </w:p>
              </w:tc>
              <w:tc>
                <w:tcPr>
                  <w:tcW w:w="1359" w:type="dxa"/>
                  <w:vAlign w:val="center"/>
                </w:tcPr>
                <w:p w14:paraId="27BD39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r>
                    <w:rPr>
                      <w:rFonts w:hint="eastAsia" w:cs="Times New Roman"/>
                      <w:color w:val="auto"/>
                      <w:szCs w:val="21"/>
                      <w:highlight w:val="none"/>
                      <w:lang w:val="en-US" w:eastAsia="zh-CN"/>
                    </w:rPr>
                    <w:t>.5</w:t>
                  </w:r>
                </w:p>
              </w:tc>
            </w:tr>
            <w:tr w14:paraId="58FA4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5" w:type="dxa"/>
                  <w:gridSpan w:val="4"/>
                  <w:vAlign w:val="center"/>
                </w:tcPr>
                <w:p w14:paraId="598BF06E">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监测、运行维护费用</w:t>
                  </w:r>
                </w:p>
              </w:tc>
              <w:tc>
                <w:tcPr>
                  <w:tcW w:w="1359" w:type="dxa"/>
                  <w:vAlign w:val="center"/>
                </w:tcPr>
                <w:p w14:paraId="66E24D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i w:val="0"/>
                      <w:iCs w:val="0"/>
                      <w:color w:val="auto"/>
                      <w:kern w:val="0"/>
                      <w:sz w:val="21"/>
                      <w:szCs w:val="21"/>
                      <w:highlight w:val="none"/>
                      <w:u w:val="none"/>
                      <w:lang w:val="en-US" w:eastAsia="zh-CN" w:bidi="ar"/>
                    </w:rPr>
                    <w:t>3</w:t>
                  </w:r>
                </w:p>
              </w:tc>
            </w:tr>
            <w:tr w14:paraId="56214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5" w:type="dxa"/>
                  <w:gridSpan w:val="4"/>
                  <w:vAlign w:val="center"/>
                </w:tcPr>
                <w:p w14:paraId="06808577">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环保投资合计</w:t>
                  </w:r>
                </w:p>
              </w:tc>
              <w:tc>
                <w:tcPr>
                  <w:tcW w:w="1359" w:type="dxa"/>
                  <w:vAlign w:val="center"/>
                </w:tcPr>
                <w:p w14:paraId="7B2122EA">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w:t>
                  </w:r>
                </w:p>
              </w:tc>
            </w:tr>
            <w:tr w14:paraId="4F77B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5" w:type="dxa"/>
                  <w:gridSpan w:val="4"/>
                  <w:vAlign w:val="center"/>
                </w:tcPr>
                <w:p w14:paraId="063BCE6A">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总投资</w:t>
                  </w:r>
                </w:p>
              </w:tc>
              <w:tc>
                <w:tcPr>
                  <w:tcW w:w="1359" w:type="dxa"/>
                  <w:vAlign w:val="center"/>
                </w:tcPr>
                <w:p w14:paraId="46FF20C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800</w:t>
                  </w:r>
                </w:p>
              </w:tc>
            </w:tr>
            <w:tr w14:paraId="68D61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75" w:type="dxa"/>
                  <w:gridSpan w:val="4"/>
                  <w:vAlign w:val="center"/>
                </w:tcPr>
                <w:p w14:paraId="67EACE75">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环保投资比</w:t>
                  </w:r>
                </w:p>
              </w:tc>
              <w:tc>
                <w:tcPr>
                  <w:tcW w:w="1359" w:type="dxa"/>
                  <w:vAlign w:val="center"/>
                </w:tcPr>
                <w:p w14:paraId="247E150C">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2.38</w:t>
                  </w:r>
                  <w:r>
                    <w:rPr>
                      <w:rFonts w:hint="default" w:ascii="Times New Roman" w:hAnsi="Times New Roman" w:eastAsia="宋体" w:cs="Times New Roman"/>
                      <w:color w:val="auto"/>
                      <w:szCs w:val="21"/>
                      <w:highlight w:val="none"/>
                    </w:rPr>
                    <w:t>%</w:t>
                  </w:r>
                </w:p>
              </w:tc>
            </w:tr>
          </w:tbl>
          <w:p w14:paraId="2CA71B28">
            <w:pPr>
              <w:pStyle w:val="26"/>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highlight w:val="none"/>
              </w:rPr>
            </w:pPr>
          </w:p>
        </w:tc>
      </w:tr>
      <w:tr w14:paraId="2A84FA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4" w:type="dxa"/>
            <w:vAlign w:val="center"/>
          </w:tcPr>
          <w:p w14:paraId="0DA22B2C">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工艺流程和产排污环节</w:t>
            </w:r>
          </w:p>
        </w:tc>
        <w:tc>
          <w:tcPr>
            <w:tcW w:w="7990" w:type="dxa"/>
            <w:vAlign w:val="top"/>
          </w:tcPr>
          <w:p w14:paraId="3B821FA2">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bCs/>
                <w:color w:val="auto"/>
                <w:highlight w:val="none"/>
                <w:lang w:eastAsia="zh-CN"/>
              </w:rPr>
            </w:pPr>
            <w:r>
              <w:rPr>
                <w:rFonts w:hint="default" w:ascii="Times New Roman" w:hAnsi="Times New Roman" w:eastAsia="宋体" w:cs="Times New Roman"/>
                <w:bCs/>
                <w:color w:val="auto"/>
                <w:highlight w:val="none"/>
              </w:rPr>
              <w:t>生产工艺流程简述：</w:t>
            </w:r>
          </w:p>
          <w:p w14:paraId="24D12F2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1、施工期</w:t>
            </w:r>
          </w:p>
          <w:p w14:paraId="1ED3B136">
            <w:pPr>
              <w:keepNext w:val="0"/>
              <w:keepLines w:val="0"/>
              <w:widowControl/>
              <w:suppressLineNumbers w:val="0"/>
              <w:spacing w:before="0" w:beforeAutospacing="0" w:after="0" w:afterAutospacing="0" w:line="360" w:lineRule="auto"/>
              <w:ind w:left="0" w:right="0" w:firstLine="480" w:firstLineChars="200"/>
              <w:jc w:val="left"/>
              <w:rPr>
                <w:rFonts w:hint="eastAsia"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本项目施工期间主要的污染来自施工废水、生活污水、生活垃圾、建筑垃圾、施工机械噪声等对外环境产生的影响。施工期工艺流程及产污流程见图</w:t>
            </w:r>
            <w:r>
              <w:rPr>
                <w:rFonts w:hint="eastAsia" w:cs="Times New Roman"/>
                <w:color w:val="auto"/>
                <w:kern w:val="2"/>
                <w:sz w:val="24"/>
                <w:szCs w:val="24"/>
                <w:highlight w:val="none"/>
                <w:lang w:val="en-US" w:eastAsia="zh-CN" w:bidi="ar-SA"/>
              </w:rPr>
              <w:t>2-1。</w:t>
            </w:r>
          </w:p>
          <w:p w14:paraId="720208A5">
            <w:pPr>
              <w:pStyle w:val="56"/>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smallCaps/>
                <w:color w:val="auto"/>
                <w:sz w:val="21"/>
                <w:szCs w:val="21"/>
                <w:highlight w:val="none"/>
              </w:rPr>
              <w:drawing>
                <wp:inline distT="0" distB="0" distL="114300" distR="114300">
                  <wp:extent cx="4599305" cy="1497965"/>
                  <wp:effectExtent l="0" t="0" r="10795" b="6985"/>
                  <wp:docPr id="46" name="图片 14" descr="1537930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 descr="1537930033(1)"/>
                          <pic:cNvPicPr>
                            <a:picLocks noChangeAspect="1"/>
                          </pic:cNvPicPr>
                        </pic:nvPicPr>
                        <pic:blipFill>
                          <a:blip r:embed="rId15"/>
                          <a:stretch>
                            <a:fillRect/>
                          </a:stretch>
                        </pic:blipFill>
                        <pic:spPr>
                          <a:xfrm>
                            <a:off x="0" y="0"/>
                            <a:ext cx="4599305" cy="1497965"/>
                          </a:xfrm>
                          <a:prstGeom prst="rect">
                            <a:avLst/>
                          </a:prstGeom>
                          <a:noFill/>
                          <a:ln>
                            <a:noFill/>
                          </a:ln>
                        </pic:spPr>
                      </pic:pic>
                    </a:graphicData>
                  </a:graphic>
                </wp:inline>
              </w:drawing>
            </w:r>
          </w:p>
          <w:p w14:paraId="6200623E">
            <w:pPr>
              <w:pStyle w:val="26"/>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default" w:ascii="Times New Roman" w:hAnsi="Times New Roman" w:eastAsia="宋体" w:cs="Times New Roman"/>
                <w:b/>
                <w:bCs/>
                <w:color w:val="auto"/>
                <w:szCs w:val="21"/>
                <w:highlight w:val="none"/>
              </w:rPr>
              <w:t>图2-</w:t>
            </w:r>
            <w:r>
              <w:rPr>
                <w:rFonts w:hint="eastAsia" w:cs="Times New Roman"/>
                <w:b/>
                <w:bCs/>
                <w:color w:val="auto"/>
                <w:szCs w:val="21"/>
                <w:highlight w:val="none"/>
                <w:lang w:val="en-US" w:eastAsia="zh-CN"/>
              </w:rPr>
              <w:t>1</w:t>
            </w:r>
            <w:r>
              <w:rPr>
                <w:rFonts w:hint="default" w:ascii="Times New Roman" w:hAnsi="Times New Roman" w:eastAsia="宋体" w:cs="Times New Roman"/>
                <w:b/>
                <w:bCs/>
                <w:color w:val="auto"/>
                <w:szCs w:val="21"/>
                <w:highlight w:val="none"/>
              </w:rPr>
              <w:t>施工期工艺流程及产污节点图</w:t>
            </w:r>
          </w:p>
          <w:p w14:paraId="15B7F43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2、运营期</w:t>
            </w:r>
          </w:p>
          <w:p w14:paraId="2D391F5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粮食装卸及筛分</w:t>
            </w:r>
          </w:p>
          <w:p w14:paraId="6B52F9F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湿粮经汽车运输至厂区内</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在原料堆场堆存。此过程产生潮粮装卸运输粉尘、噪声、固体废物。</w:t>
            </w:r>
          </w:p>
          <w:p w14:paraId="2DE7B471">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筛选</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筛分机位于烘干塔旁</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原料进入封闭式筛分机进行筛选</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筛选过程中产生的石子、泥沙等直接由封闭式筛分机封闭处理收集</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经过筛选后的原料进入传送带。</w:t>
            </w:r>
          </w:p>
          <w:p w14:paraId="0F47FD0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此过程产生筛分粉尘、噪声、固体废物。</w:t>
            </w:r>
          </w:p>
          <w:p w14:paraId="5B443DD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烘干</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在烘干塔内</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由于粮食自重</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自上而下流动</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热风由塔上层进入</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朝下方向穿过粮层</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热风在穿过粮层时</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与粮粒间进行湿热传递</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热风将热量转给粮粒</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与粮食接触温度为120~130°C</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粮粒受热升温</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水分蒸发到空气中</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热风携带着水汽及少量颗粒物变成废气经塔体两侧排气孔排放。在这个过程中</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粮食温度升得越高</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水分就蒸发得越快。为保证粮食的品质</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即加工性和食用性</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烘干塔内粮食升温幅度和干燥时长是受到严格控制的</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其原则是既要降低粮食的水分</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又不能损害粮食的品质。在烘干塔内没有布置通风角状管的部位为缓苏段</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烘干的热粮向下流动到缓苏段</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缓苏段内不通热风</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其主要作用是减缓在干燥过程中粮粒内形成的应力</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促进谷粒内部水分逐渐向外移动</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使粮粒表面和内部的水分趋于平衡。缓苏工艺实施既有利于下一阶段的干燥</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又能确保烘后粮的品质。</w:t>
            </w:r>
          </w:p>
          <w:p w14:paraId="46F290F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此过程产生热风炉烟气、烘干塔粉尘、噪声、固体废物。</w:t>
            </w:r>
          </w:p>
          <w:p w14:paraId="5F2BB48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4</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装车外运</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烘干后的干粮暂时存放于干粮仓内</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及时装车外运销售。</w:t>
            </w:r>
          </w:p>
          <w:p w14:paraId="1F86E6CE">
            <w:pPr>
              <w:pStyle w:val="56"/>
              <w:keepNext w:val="0"/>
              <w:keepLines w:val="0"/>
              <w:numPr>
                <w:ilvl w:val="0"/>
                <w:numId w:val="0"/>
              </w:numPr>
              <w:suppressLineNumbers w:val="0"/>
              <w:spacing w:before="0" w:beforeAutospacing="0" w:after="0" w:afterAutospacing="0" w:line="360" w:lineRule="auto"/>
              <w:ind w:left="420" w:leftChars="200" w:right="0" w:rightChars="0"/>
              <w:rPr>
                <w:rFonts w:hint="default" w:ascii="Times New Roman" w:hAnsi="Times New Roman" w:eastAsia="宋体" w:cs="Times New Roman"/>
                <w:bCs/>
                <w:color w:val="auto"/>
                <w:highlight w:val="none"/>
              </w:rPr>
            </w:pPr>
            <w:r>
              <w:rPr>
                <w:rFonts w:hint="default" w:ascii="Times New Roman" w:hAnsi="Times New Roman" w:eastAsia="宋体" w:cs="Times New Roman"/>
                <w:color w:val="auto"/>
                <w:kern w:val="2"/>
                <w:sz w:val="24"/>
                <w:szCs w:val="24"/>
                <w:highlight w:val="none"/>
                <w:lang w:val="en-US" w:eastAsia="zh-CN" w:bidi="ar-SA"/>
              </w:rPr>
              <w:t>此过程产生干粮装卸运输粉尘、噪声、固体废物</w:t>
            </w:r>
            <w:r>
              <w:rPr>
                <w:rFonts w:hint="default" w:ascii="Times New Roman" w:hAnsi="Times New Roman" w:eastAsia="宋体" w:cs="Times New Roman"/>
                <w:bCs/>
                <w:color w:val="auto"/>
                <w:highlight w:val="none"/>
              </w:rPr>
              <w:t>。</w:t>
            </w:r>
          </w:p>
          <w:p w14:paraId="22A43F5D">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项目主要生产工艺流程及产污环节见下图。</w:t>
            </w:r>
          </w:p>
          <w:p w14:paraId="374B276B">
            <w:pPr>
              <w:pStyle w:val="56"/>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highlight w:val="none"/>
              </w:rPr>
            </w:pPr>
            <w:r>
              <w:rPr>
                <w:rFonts w:hint="default"/>
                <w:color w:val="auto"/>
                <w:highlight w:val="none"/>
              </w:rPr>
              <w:drawing>
                <wp:inline distT="0" distB="0" distL="114300" distR="114300">
                  <wp:extent cx="4275455" cy="3328670"/>
                  <wp:effectExtent l="0" t="0" r="10795" b="5080"/>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16"/>
                          <a:stretch>
                            <a:fillRect/>
                          </a:stretch>
                        </pic:blipFill>
                        <pic:spPr>
                          <a:xfrm>
                            <a:off x="0" y="0"/>
                            <a:ext cx="4275455" cy="3328670"/>
                          </a:xfrm>
                          <a:prstGeom prst="rect">
                            <a:avLst/>
                          </a:prstGeom>
                          <a:noFill/>
                          <a:ln>
                            <a:noFill/>
                          </a:ln>
                        </pic:spPr>
                      </pic:pic>
                    </a:graphicData>
                  </a:graphic>
                </wp:inline>
              </w:drawing>
            </w:r>
          </w:p>
          <w:p w14:paraId="60E06400">
            <w:pPr>
              <w:keepNext w:val="0"/>
              <w:keepLines w:val="0"/>
              <w:suppressLineNumbers w:val="0"/>
              <w:spacing w:before="0" w:beforeAutospacing="0" w:after="0" w:afterAutospacing="0" w:line="360" w:lineRule="auto"/>
              <w:ind w:left="0" w:right="0" w:firstLine="422" w:firstLineChars="200"/>
              <w:jc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Cs w:val="21"/>
                <w:highlight w:val="none"/>
              </w:rPr>
              <w:t>图2-</w:t>
            </w:r>
            <w:r>
              <w:rPr>
                <w:rFonts w:hint="eastAsia" w:cs="Times New Roman"/>
                <w:b/>
                <w:bCs/>
                <w:color w:val="auto"/>
                <w:szCs w:val="21"/>
                <w:highlight w:val="none"/>
                <w:lang w:val="en-US" w:eastAsia="zh-CN"/>
              </w:rPr>
              <w:t>2</w:t>
            </w:r>
            <w:r>
              <w:rPr>
                <w:rFonts w:hint="default" w:ascii="Times New Roman" w:hAnsi="Times New Roman" w:eastAsia="宋体" w:cs="Times New Roman"/>
                <w:b/>
                <w:bCs/>
                <w:color w:val="auto"/>
                <w:szCs w:val="21"/>
                <w:highlight w:val="none"/>
              </w:rPr>
              <w:t>项目生产工艺流程及产污节点示意图</w:t>
            </w:r>
          </w:p>
        </w:tc>
      </w:tr>
      <w:tr w14:paraId="2C65A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74" w:hRule="atLeast"/>
          <w:jc w:val="center"/>
        </w:trPr>
        <w:tc>
          <w:tcPr>
            <w:tcW w:w="994" w:type="dxa"/>
            <w:vAlign w:val="center"/>
          </w:tcPr>
          <w:p w14:paraId="16CFD5D9">
            <w:pPr>
              <w:pStyle w:val="2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bCs/>
                <w:color w:val="auto"/>
                <w:kern w:val="2"/>
                <w:szCs w:val="24"/>
                <w:highlight w:val="none"/>
              </w:rPr>
              <w:t>与项目有关的原有环境污染问题</w:t>
            </w:r>
          </w:p>
        </w:tc>
        <w:tc>
          <w:tcPr>
            <w:tcW w:w="7990" w:type="dxa"/>
            <w:vAlign w:val="center"/>
          </w:tcPr>
          <w:p w14:paraId="7D450818">
            <w:pPr>
              <w:keepNext w:val="0"/>
              <w:keepLines w:val="0"/>
              <w:widowControl/>
              <w:suppressLineNumbers w:val="0"/>
              <w:spacing w:before="0" w:beforeAutospacing="0" w:after="0" w:afterAutospacing="0" w:line="360" w:lineRule="auto"/>
              <w:ind w:left="0" w:right="0" w:firstLine="480" w:firstLineChars="200"/>
              <w:jc w:val="center"/>
              <w:rPr>
                <w:rFonts w:hint="default"/>
                <w:color w:val="auto"/>
                <w:highlight w:val="none"/>
                <w:lang w:val="en-US" w:eastAsia="zh-CN"/>
              </w:rPr>
            </w:pPr>
            <w:r>
              <w:rPr>
                <w:rFonts w:hint="eastAsia"/>
                <w:color w:val="auto"/>
                <w:sz w:val="24"/>
                <w:szCs w:val="24"/>
                <w:highlight w:val="none"/>
                <w:lang w:eastAsia="zh-CN"/>
              </w:rPr>
              <w:t>本项目为新建项目，不存在与本项目有关的原有污染问题。</w:t>
            </w:r>
          </w:p>
        </w:tc>
      </w:tr>
    </w:tbl>
    <w:p w14:paraId="39963050">
      <w:pPr>
        <w:pStyle w:val="28"/>
        <w:jc w:val="center"/>
        <w:rPr>
          <w:rFonts w:hint="default" w:ascii="Times New Roman" w:hAnsi="Times New Roman" w:eastAsia="宋体" w:cs="Times New Roman"/>
          <w:snapToGrid w:val="0"/>
          <w:color w:val="auto"/>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B115C33">
      <w:pPr>
        <w:pStyle w:val="28"/>
        <w:adjustRightInd w:val="0"/>
        <w:snapToGrid w:val="0"/>
        <w:spacing w:before="0" w:beforeAutospacing="0" w:after="0" w:afterAutospacing="0" w:line="14" w:lineRule="auto"/>
        <w:jc w:val="center"/>
        <w:outlineLvl w:val="9"/>
        <w:rPr>
          <w:rFonts w:hint="default" w:ascii="Times New Roman" w:hAnsi="Times New Roman" w:eastAsia="宋体" w:cs="Times New Roman"/>
          <w:snapToGrid w:val="0"/>
          <w:color w:val="auto"/>
          <w:sz w:val="30"/>
          <w:szCs w:val="30"/>
          <w:highlight w:val="none"/>
        </w:rPr>
      </w:pPr>
    </w:p>
    <w:p w14:paraId="1AE19C7C">
      <w:pPr>
        <w:pStyle w:val="28"/>
        <w:jc w:val="center"/>
        <w:outlineLvl w:val="0"/>
        <w:rPr>
          <w:rFonts w:hint="default" w:ascii="Times New Roman" w:hAnsi="Times New Roman" w:eastAsia="宋体" w:cs="Times New Roman"/>
          <w:snapToGrid w:val="0"/>
          <w:color w:val="auto"/>
          <w:sz w:val="30"/>
          <w:szCs w:val="30"/>
          <w:highlight w:val="none"/>
        </w:rPr>
      </w:pPr>
      <w:bookmarkStart w:id="7" w:name="_Toc17295"/>
      <w:bookmarkStart w:id="8" w:name="_Toc6932"/>
      <w:r>
        <w:rPr>
          <w:rFonts w:hint="default" w:ascii="Times New Roman" w:hAnsi="Times New Roman" w:eastAsia="宋体" w:cs="Times New Roman"/>
          <w:snapToGrid w:val="0"/>
          <w:color w:val="auto"/>
          <w:sz w:val="30"/>
          <w:szCs w:val="30"/>
          <w:highlight w:val="none"/>
        </w:rPr>
        <w:t>三、区域环境质量现状、环境保护目标及评价标准</w:t>
      </w:r>
      <w:bookmarkEnd w:id="7"/>
      <w:bookmarkEnd w:id="8"/>
    </w:p>
    <w:tbl>
      <w:tblPr>
        <w:tblStyle w:val="33"/>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5981C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0" w:hRule="atLeast"/>
          <w:jc w:val="center"/>
        </w:trPr>
        <w:tc>
          <w:tcPr>
            <w:tcW w:w="800" w:type="dxa"/>
            <w:vAlign w:val="center"/>
          </w:tcPr>
          <w:p w14:paraId="618889D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区域</w:t>
            </w:r>
          </w:p>
          <w:p w14:paraId="2E90B0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w:t>
            </w:r>
          </w:p>
          <w:p w14:paraId="1FFF215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质量</w:t>
            </w:r>
          </w:p>
          <w:p w14:paraId="1E9DB1A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现状</w:t>
            </w:r>
          </w:p>
        </w:tc>
        <w:tc>
          <w:tcPr>
            <w:tcW w:w="8190" w:type="dxa"/>
            <w:vAlign w:val="center"/>
          </w:tcPr>
          <w:p w14:paraId="721A28C1">
            <w:pPr>
              <w:keepNext w:val="0"/>
              <w:keepLines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sz w:val="24"/>
                <w:highlight w:val="none"/>
              </w:rPr>
              <w:t>1、环境空气</w:t>
            </w:r>
          </w:p>
          <w:p w14:paraId="371A4884">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（1）基本污染物</w:t>
            </w:r>
          </w:p>
          <w:p w14:paraId="3B5F70D3">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snapToGrid w:val="0"/>
                <w:color w:val="auto"/>
                <w:kern w:val="0"/>
                <w:sz w:val="24"/>
                <w:highlight w:val="none"/>
                <w:lang w:val="en-GB"/>
              </w:rPr>
            </w:pPr>
            <w:r>
              <w:rPr>
                <w:rFonts w:hint="default" w:ascii="Times New Roman" w:hAnsi="Times New Roman" w:eastAsia="宋体" w:cs="Times New Roman"/>
                <w:color w:val="auto"/>
                <w:sz w:val="24"/>
                <w:highlight w:val="none"/>
              </w:rPr>
              <w:t>根据《202</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年黑龙江省生态环境质量状况》</w:t>
            </w:r>
            <w:r>
              <w:rPr>
                <w:rFonts w:hint="default" w:ascii="Times New Roman" w:hAnsi="Times New Roman" w:eastAsia="宋体" w:cs="Times New Roman"/>
                <w:color w:val="auto"/>
                <w:sz w:val="24"/>
                <w:highlight w:val="none"/>
                <w:lang w:val="en-US" w:eastAsia="zh-CN"/>
              </w:rPr>
              <w:t>中公布的数据</w:t>
            </w:r>
            <w:r>
              <w:rPr>
                <w:rFonts w:hint="default" w:ascii="Times New Roman" w:hAnsi="Times New Roman" w:eastAsia="宋体" w:cs="Times New Roman"/>
                <w:snapToGrid w:val="0"/>
                <w:color w:val="auto"/>
                <w:kern w:val="0"/>
                <w:sz w:val="24"/>
                <w:highlight w:val="none"/>
                <w:lang w:val="en-GB"/>
              </w:rPr>
              <w:t>，鸡西市各项污染物年均浓度综合情况如下表。</w:t>
            </w:r>
          </w:p>
          <w:p w14:paraId="579BEC64">
            <w:pPr>
              <w:pStyle w:val="6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 w:val="21"/>
                <w:szCs w:val="21"/>
                <w:highlight w:val="none"/>
              </w:rPr>
              <w:t>表3-1区域空气质量现状评价表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3144"/>
              <w:gridCol w:w="879"/>
              <w:gridCol w:w="932"/>
              <w:gridCol w:w="914"/>
              <w:gridCol w:w="1032"/>
            </w:tblGrid>
            <w:tr w14:paraId="5749C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7BBF2E1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污染物</w:t>
                  </w:r>
                </w:p>
              </w:tc>
              <w:tc>
                <w:tcPr>
                  <w:tcW w:w="1972" w:type="pct"/>
                  <w:tcBorders>
                    <w:tl2br w:val="nil"/>
                    <w:tr2bl w:val="nil"/>
                  </w:tcBorders>
                  <w:noWrap w:val="0"/>
                  <w:vAlign w:val="center"/>
                </w:tcPr>
                <w:p w14:paraId="3CE4358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年评价指标</w:t>
                  </w:r>
                </w:p>
              </w:tc>
              <w:tc>
                <w:tcPr>
                  <w:tcW w:w="551" w:type="pct"/>
                  <w:tcBorders>
                    <w:tl2br w:val="nil"/>
                    <w:tr2bl w:val="nil"/>
                  </w:tcBorders>
                  <w:noWrap w:val="0"/>
                  <w:vAlign w:val="center"/>
                </w:tcPr>
                <w:p w14:paraId="702A10D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现状浓度</w:t>
                  </w:r>
                </w:p>
              </w:tc>
              <w:tc>
                <w:tcPr>
                  <w:tcW w:w="584" w:type="pct"/>
                  <w:tcBorders>
                    <w:tl2br w:val="nil"/>
                    <w:tr2bl w:val="nil"/>
                  </w:tcBorders>
                  <w:noWrap w:val="0"/>
                  <w:vAlign w:val="center"/>
                </w:tcPr>
                <w:p w14:paraId="2AF3D8D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标准值</w:t>
                  </w:r>
                </w:p>
              </w:tc>
              <w:tc>
                <w:tcPr>
                  <w:tcW w:w="573" w:type="pct"/>
                  <w:tcBorders>
                    <w:tl2br w:val="nil"/>
                    <w:tr2bl w:val="nil"/>
                  </w:tcBorders>
                  <w:noWrap w:val="0"/>
                  <w:vAlign w:val="center"/>
                </w:tcPr>
                <w:p w14:paraId="4757249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占标率</w:t>
                  </w:r>
                </w:p>
              </w:tc>
              <w:tc>
                <w:tcPr>
                  <w:tcW w:w="647" w:type="pct"/>
                  <w:tcBorders>
                    <w:tl2br w:val="nil"/>
                    <w:tr2bl w:val="nil"/>
                  </w:tcBorders>
                  <w:noWrap w:val="0"/>
                  <w:vAlign w:val="center"/>
                </w:tcPr>
                <w:p w14:paraId="5E6E563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达标情况</w:t>
                  </w:r>
                </w:p>
              </w:tc>
            </w:tr>
            <w:tr w14:paraId="13567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62782C2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2.5</w:t>
                  </w:r>
                </w:p>
              </w:tc>
              <w:tc>
                <w:tcPr>
                  <w:tcW w:w="1972" w:type="pct"/>
                  <w:tcBorders>
                    <w:tl2br w:val="nil"/>
                    <w:tr2bl w:val="nil"/>
                  </w:tcBorders>
                  <w:noWrap w:val="0"/>
                  <w:vAlign w:val="center"/>
                </w:tcPr>
                <w:p w14:paraId="783F59AB">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年平均质量浓度</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b w:val="0"/>
                      <w:bCs w:val="0"/>
                      <w:color w:val="auto"/>
                      <w:sz w:val="21"/>
                      <w:szCs w:val="21"/>
                      <w:highlight w:val="none"/>
                    </w:rPr>
                    <w:t>μg/m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65829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cs="Times New Roman"/>
                      <w:color w:val="auto"/>
                      <w:sz w:val="21"/>
                      <w:szCs w:val="21"/>
                      <w:highlight w:val="none"/>
                      <w:lang w:val="en-US" w:eastAsia="zh-CN"/>
                    </w:rPr>
                    <w:t>6</w:t>
                  </w:r>
                </w:p>
              </w:tc>
              <w:tc>
                <w:tcPr>
                  <w:tcW w:w="584" w:type="pct"/>
                  <w:tcBorders>
                    <w:tl2br w:val="nil"/>
                    <w:tr2bl w:val="nil"/>
                  </w:tcBorders>
                  <w:noWrap w:val="0"/>
                  <w:vAlign w:val="center"/>
                </w:tcPr>
                <w:p w14:paraId="4EB5A3F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color w:val="auto"/>
                      <w:sz w:val="21"/>
                      <w:szCs w:val="21"/>
                      <w:highlight w:val="none"/>
                      <w:lang w:val="en-US" w:eastAsia="zh-CN"/>
                    </w:rPr>
                    <w:t>30</w:t>
                  </w:r>
                </w:p>
              </w:tc>
              <w:tc>
                <w:tcPr>
                  <w:tcW w:w="573" w:type="pct"/>
                  <w:tcBorders>
                    <w:tl2br w:val="nil"/>
                    <w:tr2bl w:val="nil"/>
                  </w:tcBorders>
                  <w:noWrap w:val="0"/>
                  <w:vAlign w:val="center"/>
                </w:tcPr>
                <w:p w14:paraId="2AB88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86.7</w:t>
                  </w:r>
                  <w:r>
                    <w:rPr>
                      <w:rFonts w:hint="default" w:ascii="Times New Roman" w:hAnsi="Times New Roman" w:eastAsia="宋体" w:cs="Times New Roman"/>
                      <w:color w:val="auto"/>
                      <w:sz w:val="21"/>
                      <w:szCs w:val="21"/>
                      <w:highlight w:val="none"/>
                      <w:lang w:val="en-US" w:eastAsia="zh-CN"/>
                    </w:rPr>
                    <w:t>%</w:t>
                  </w:r>
                </w:p>
              </w:tc>
              <w:tc>
                <w:tcPr>
                  <w:tcW w:w="647" w:type="pct"/>
                  <w:tcBorders>
                    <w:tl2br w:val="nil"/>
                    <w:tr2bl w:val="nil"/>
                  </w:tcBorders>
                  <w:noWrap w:val="0"/>
                  <w:vAlign w:val="center"/>
                </w:tcPr>
                <w:p w14:paraId="1CBE401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eastAsia="zh-CN"/>
                    </w:rPr>
                  </w:pPr>
                  <w:r>
                    <w:rPr>
                      <w:rFonts w:hint="eastAsia" w:cs="Times New Roman"/>
                      <w:color w:val="auto"/>
                      <w:sz w:val="21"/>
                      <w:szCs w:val="21"/>
                      <w:highlight w:val="none"/>
                      <w:lang w:eastAsia="zh-CN"/>
                    </w:rPr>
                    <w:t>达</w:t>
                  </w:r>
                  <w:r>
                    <w:rPr>
                      <w:rFonts w:hint="default" w:ascii="Times New Roman" w:hAnsi="Times New Roman" w:eastAsia="宋体" w:cs="Times New Roman"/>
                      <w:color w:val="auto"/>
                      <w:sz w:val="21"/>
                      <w:szCs w:val="21"/>
                      <w:highlight w:val="none"/>
                      <w:lang w:eastAsia="zh-CN"/>
                    </w:rPr>
                    <w:t>标</w:t>
                  </w:r>
                </w:p>
              </w:tc>
            </w:tr>
            <w:tr w14:paraId="7EC191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48E6C5E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10</w:t>
                  </w:r>
                </w:p>
              </w:tc>
              <w:tc>
                <w:tcPr>
                  <w:tcW w:w="1972" w:type="pct"/>
                  <w:tcBorders>
                    <w:tl2br w:val="nil"/>
                    <w:tr2bl w:val="nil"/>
                  </w:tcBorders>
                  <w:noWrap w:val="0"/>
                  <w:vAlign w:val="center"/>
                </w:tcPr>
                <w:p w14:paraId="12107D4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年平均质量浓度</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b w:val="0"/>
                      <w:bCs w:val="0"/>
                      <w:color w:val="auto"/>
                      <w:sz w:val="21"/>
                      <w:szCs w:val="21"/>
                      <w:highlight w:val="none"/>
                    </w:rPr>
                    <w:t>μg/m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692D2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3</w:t>
                  </w:r>
                </w:p>
              </w:tc>
              <w:tc>
                <w:tcPr>
                  <w:tcW w:w="584" w:type="pct"/>
                  <w:tcBorders>
                    <w:tl2br w:val="nil"/>
                    <w:tr2bl w:val="nil"/>
                  </w:tcBorders>
                  <w:noWrap w:val="0"/>
                  <w:vAlign w:val="center"/>
                </w:tcPr>
                <w:p w14:paraId="781693C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color w:val="auto"/>
                      <w:sz w:val="21"/>
                      <w:szCs w:val="21"/>
                      <w:highlight w:val="none"/>
                      <w:lang w:val="en-US" w:eastAsia="zh-CN"/>
                    </w:rPr>
                    <w:t>60</w:t>
                  </w:r>
                </w:p>
              </w:tc>
              <w:tc>
                <w:tcPr>
                  <w:tcW w:w="573" w:type="pct"/>
                  <w:tcBorders>
                    <w:tl2br w:val="nil"/>
                    <w:tr2bl w:val="nil"/>
                  </w:tcBorders>
                  <w:noWrap w:val="0"/>
                  <w:vAlign w:val="center"/>
                </w:tcPr>
                <w:p w14:paraId="588B7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71.7</w:t>
                  </w:r>
                  <w:r>
                    <w:rPr>
                      <w:rFonts w:hint="default" w:ascii="Times New Roman" w:hAnsi="Times New Roman" w:eastAsia="宋体" w:cs="Times New Roman"/>
                      <w:color w:val="auto"/>
                      <w:sz w:val="21"/>
                      <w:szCs w:val="21"/>
                      <w:highlight w:val="none"/>
                      <w:lang w:val="en-US" w:eastAsia="zh-CN"/>
                    </w:rPr>
                    <w:t>%</w:t>
                  </w:r>
                </w:p>
              </w:tc>
              <w:tc>
                <w:tcPr>
                  <w:tcW w:w="647" w:type="pct"/>
                  <w:tcBorders>
                    <w:tl2br w:val="nil"/>
                    <w:tr2bl w:val="nil"/>
                  </w:tcBorders>
                  <w:noWrap w:val="0"/>
                  <w:vAlign w:val="center"/>
                </w:tcPr>
                <w:p w14:paraId="09032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sz w:val="21"/>
                      <w:szCs w:val="21"/>
                      <w:highlight w:val="none"/>
                      <w:lang w:eastAsia="zh-CN"/>
                    </w:rPr>
                    <w:t>达标</w:t>
                  </w:r>
                </w:p>
              </w:tc>
            </w:tr>
            <w:tr w14:paraId="20FD0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2D0ECB0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NO</w:t>
                  </w:r>
                  <w:r>
                    <w:rPr>
                      <w:rFonts w:hint="default" w:ascii="Times New Roman" w:hAnsi="Times New Roman" w:eastAsia="宋体" w:cs="Times New Roman"/>
                      <w:color w:val="auto"/>
                      <w:kern w:val="0"/>
                      <w:sz w:val="21"/>
                      <w:szCs w:val="21"/>
                      <w:highlight w:val="none"/>
                      <w:vertAlign w:val="subscript"/>
                    </w:rPr>
                    <w:t>2</w:t>
                  </w:r>
                </w:p>
              </w:tc>
              <w:tc>
                <w:tcPr>
                  <w:tcW w:w="1972" w:type="pct"/>
                  <w:tcBorders>
                    <w:tl2br w:val="nil"/>
                    <w:tr2bl w:val="nil"/>
                  </w:tcBorders>
                  <w:noWrap w:val="0"/>
                  <w:vAlign w:val="center"/>
                </w:tcPr>
                <w:p w14:paraId="186A54A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年平均质量浓度</w:t>
                  </w:r>
                  <w:r>
                    <w:rPr>
                      <w:rFonts w:hint="default" w:ascii="Times New Roman" w:hAnsi="Times New Roman" w:cs="Times New Roman"/>
                      <w:color w:val="auto"/>
                      <w:kern w:val="0"/>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m</w:t>
                  </w:r>
                  <w:r>
                    <w:rPr>
                      <w:rFonts w:hint="default" w:ascii="Times New Roman" w:hAnsi="Times New Roman" w:cs="Times New Roman"/>
                      <w:b w:val="0"/>
                      <w:bCs w:val="0"/>
                      <w:color w:val="auto"/>
                      <w:sz w:val="21"/>
                      <w:szCs w:val="21"/>
                      <w:highlight w:val="none"/>
                    </w:rPr>
                    <w:t>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24BCA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17</w:t>
                  </w:r>
                </w:p>
              </w:tc>
              <w:tc>
                <w:tcPr>
                  <w:tcW w:w="584" w:type="pct"/>
                  <w:tcBorders>
                    <w:tl2br w:val="nil"/>
                    <w:tr2bl w:val="nil"/>
                  </w:tcBorders>
                  <w:noWrap w:val="0"/>
                  <w:vAlign w:val="center"/>
                </w:tcPr>
                <w:p w14:paraId="3E290C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color w:val="auto"/>
                      <w:sz w:val="21"/>
                      <w:szCs w:val="21"/>
                      <w:highlight w:val="none"/>
                      <w:lang w:val="en-US" w:eastAsia="zh-CN"/>
                    </w:rPr>
                    <w:t>40</w:t>
                  </w:r>
                </w:p>
              </w:tc>
              <w:tc>
                <w:tcPr>
                  <w:tcW w:w="573" w:type="pct"/>
                  <w:tcBorders>
                    <w:tl2br w:val="nil"/>
                    <w:tr2bl w:val="nil"/>
                  </w:tcBorders>
                  <w:noWrap w:val="0"/>
                  <w:vAlign w:val="center"/>
                </w:tcPr>
                <w:p w14:paraId="7DA6A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42.5</w:t>
                  </w:r>
                  <w:r>
                    <w:rPr>
                      <w:rFonts w:hint="default" w:ascii="Times New Roman" w:hAnsi="Times New Roman" w:eastAsia="宋体" w:cs="Times New Roman"/>
                      <w:color w:val="auto"/>
                      <w:kern w:val="0"/>
                      <w:sz w:val="21"/>
                      <w:szCs w:val="21"/>
                      <w:highlight w:val="none"/>
                      <w:lang w:val="en-US" w:eastAsia="zh-CN"/>
                    </w:rPr>
                    <w:t>%</w:t>
                  </w:r>
                </w:p>
              </w:tc>
              <w:tc>
                <w:tcPr>
                  <w:tcW w:w="647" w:type="pct"/>
                  <w:tcBorders>
                    <w:tl2br w:val="nil"/>
                    <w:tr2bl w:val="nil"/>
                  </w:tcBorders>
                  <w:noWrap w:val="0"/>
                  <w:vAlign w:val="center"/>
                </w:tcPr>
                <w:p w14:paraId="530E5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1E02A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2DC0BE2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SO</w:t>
                  </w:r>
                  <w:r>
                    <w:rPr>
                      <w:rFonts w:hint="default" w:ascii="Times New Roman" w:hAnsi="Times New Roman" w:eastAsia="宋体" w:cs="Times New Roman"/>
                      <w:color w:val="auto"/>
                      <w:kern w:val="0"/>
                      <w:sz w:val="21"/>
                      <w:szCs w:val="21"/>
                      <w:highlight w:val="none"/>
                      <w:vertAlign w:val="subscript"/>
                    </w:rPr>
                    <w:t>2</w:t>
                  </w:r>
                </w:p>
              </w:tc>
              <w:tc>
                <w:tcPr>
                  <w:tcW w:w="1972" w:type="pct"/>
                  <w:tcBorders>
                    <w:tl2br w:val="nil"/>
                    <w:tr2bl w:val="nil"/>
                  </w:tcBorders>
                  <w:noWrap w:val="0"/>
                  <w:vAlign w:val="center"/>
                </w:tcPr>
                <w:p w14:paraId="506F8D8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年平均质量浓度</w:t>
                  </w:r>
                  <w:r>
                    <w:rPr>
                      <w:rFonts w:hint="default" w:ascii="Times New Roman" w:hAnsi="Times New Roman" w:cs="Times New Roman"/>
                      <w:color w:val="auto"/>
                      <w:kern w:val="0"/>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m</w:t>
                  </w:r>
                  <w:r>
                    <w:rPr>
                      <w:rFonts w:hint="default" w:ascii="Times New Roman" w:hAnsi="Times New Roman" w:cs="Times New Roman"/>
                      <w:b w:val="0"/>
                      <w:bCs w:val="0"/>
                      <w:color w:val="auto"/>
                      <w:sz w:val="21"/>
                      <w:szCs w:val="21"/>
                      <w:highlight w:val="none"/>
                    </w:rPr>
                    <w:t>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047CA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w:t>
                  </w:r>
                </w:p>
              </w:tc>
              <w:tc>
                <w:tcPr>
                  <w:tcW w:w="584" w:type="pct"/>
                  <w:tcBorders>
                    <w:tl2br w:val="nil"/>
                    <w:tr2bl w:val="nil"/>
                  </w:tcBorders>
                  <w:noWrap w:val="0"/>
                  <w:vAlign w:val="center"/>
                </w:tcPr>
                <w:p w14:paraId="330C112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color w:val="auto"/>
                      <w:sz w:val="21"/>
                      <w:szCs w:val="21"/>
                      <w:highlight w:val="none"/>
                      <w:lang w:val="en-US" w:eastAsia="zh-CN"/>
                    </w:rPr>
                    <w:t>60</w:t>
                  </w:r>
                </w:p>
              </w:tc>
              <w:tc>
                <w:tcPr>
                  <w:tcW w:w="573" w:type="pct"/>
                  <w:tcBorders>
                    <w:tl2br w:val="nil"/>
                    <w:tr2bl w:val="nil"/>
                  </w:tcBorders>
                  <w:noWrap w:val="0"/>
                  <w:vAlign w:val="center"/>
                </w:tcPr>
                <w:p w14:paraId="2E208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13.3</w:t>
                  </w:r>
                  <w:r>
                    <w:rPr>
                      <w:rFonts w:hint="default" w:ascii="Times New Roman" w:hAnsi="Times New Roman" w:eastAsia="宋体" w:cs="Times New Roman"/>
                      <w:color w:val="auto"/>
                      <w:kern w:val="0"/>
                      <w:sz w:val="21"/>
                      <w:szCs w:val="21"/>
                      <w:highlight w:val="none"/>
                      <w:lang w:val="en-US" w:eastAsia="zh-CN"/>
                    </w:rPr>
                    <w:t>%</w:t>
                  </w:r>
                </w:p>
              </w:tc>
              <w:tc>
                <w:tcPr>
                  <w:tcW w:w="647" w:type="pct"/>
                  <w:tcBorders>
                    <w:tl2br w:val="nil"/>
                    <w:tr2bl w:val="nil"/>
                  </w:tcBorders>
                  <w:noWrap w:val="0"/>
                  <w:vAlign w:val="center"/>
                </w:tcPr>
                <w:p w14:paraId="61352C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68B2D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32FD65E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CO</w:t>
                  </w:r>
                </w:p>
              </w:tc>
              <w:tc>
                <w:tcPr>
                  <w:tcW w:w="1972" w:type="pct"/>
                  <w:tcBorders>
                    <w:tl2br w:val="nil"/>
                    <w:tr2bl w:val="nil"/>
                  </w:tcBorders>
                  <w:noWrap w:val="0"/>
                  <w:vAlign w:val="center"/>
                </w:tcPr>
                <w:p w14:paraId="0F7CEF5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百分位数</w:t>
                  </w:r>
                  <w:r>
                    <w:rPr>
                      <w:rFonts w:hint="default" w:ascii="Times New Roman" w:hAnsi="Times New Roman" w:eastAsia="宋体" w:cs="Times New Roman"/>
                      <w:color w:val="auto"/>
                      <w:kern w:val="0"/>
                      <w:sz w:val="21"/>
                      <w:szCs w:val="21"/>
                      <w:highlight w:val="none"/>
                      <w:lang w:val="en-US" w:eastAsia="zh-CN"/>
                    </w:rPr>
                    <w:t>24h</w:t>
                  </w:r>
                  <w:r>
                    <w:rPr>
                      <w:rFonts w:hint="default" w:ascii="Times New Roman" w:hAnsi="Times New Roman" w:eastAsia="宋体" w:cs="Times New Roman"/>
                      <w:color w:val="auto"/>
                      <w:kern w:val="0"/>
                      <w:sz w:val="21"/>
                      <w:szCs w:val="21"/>
                      <w:highlight w:val="none"/>
                    </w:rPr>
                    <w:t>平均浓度</w:t>
                  </w:r>
                  <w:r>
                    <w:rPr>
                      <w:rFonts w:hint="default" w:ascii="Times New Roman" w:hAnsi="Times New Roman" w:cs="Times New Roman"/>
                      <w:color w:val="auto"/>
                      <w:kern w:val="0"/>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m</w:t>
                  </w:r>
                  <w:r>
                    <w:rPr>
                      <w:rFonts w:hint="default" w:ascii="Times New Roman" w:hAnsi="Times New Roman" w:cs="Times New Roman"/>
                      <w:b w:val="0"/>
                      <w:bCs w:val="0"/>
                      <w:color w:val="auto"/>
                      <w:sz w:val="21"/>
                      <w:szCs w:val="21"/>
                      <w:highlight w:val="none"/>
                    </w:rPr>
                    <w:t>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25CC9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0.9</w:t>
                  </w:r>
                </w:p>
              </w:tc>
              <w:tc>
                <w:tcPr>
                  <w:tcW w:w="584" w:type="pct"/>
                  <w:tcBorders>
                    <w:tl2br w:val="nil"/>
                    <w:tr2bl w:val="nil"/>
                  </w:tcBorders>
                  <w:noWrap w:val="0"/>
                  <w:vAlign w:val="center"/>
                </w:tcPr>
                <w:p w14:paraId="498E44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4</w:t>
                  </w:r>
                </w:p>
              </w:tc>
              <w:tc>
                <w:tcPr>
                  <w:tcW w:w="573" w:type="pct"/>
                  <w:tcBorders>
                    <w:tl2br w:val="nil"/>
                    <w:tr2bl w:val="nil"/>
                  </w:tcBorders>
                  <w:noWrap w:val="0"/>
                  <w:vAlign w:val="center"/>
                </w:tcPr>
                <w:p w14:paraId="4DB73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r>
                    <w:rPr>
                      <w:rFonts w:hint="eastAsia" w:cs="Times New Roman"/>
                      <w:color w:val="auto"/>
                      <w:kern w:val="0"/>
                      <w:sz w:val="21"/>
                      <w:szCs w:val="21"/>
                      <w:highlight w:val="none"/>
                      <w:lang w:val="en-US" w:eastAsia="zh-CN" w:bidi="ar-SA"/>
                    </w:rPr>
                    <w:t>2.5</w:t>
                  </w:r>
                  <w:r>
                    <w:rPr>
                      <w:rFonts w:hint="default" w:ascii="Times New Roman" w:hAnsi="Times New Roman" w:eastAsia="宋体" w:cs="Times New Roman"/>
                      <w:color w:val="auto"/>
                      <w:kern w:val="0"/>
                      <w:sz w:val="21"/>
                      <w:szCs w:val="21"/>
                      <w:highlight w:val="none"/>
                      <w:lang w:val="en-US" w:eastAsia="zh-CN" w:bidi="ar-SA"/>
                    </w:rPr>
                    <w:t>%</w:t>
                  </w:r>
                </w:p>
              </w:tc>
              <w:tc>
                <w:tcPr>
                  <w:tcW w:w="647" w:type="pct"/>
                  <w:tcBorders>
                    <w:tl2br w:val="nil"/>
                    <w:tr2bl w:val="nil"/>
                  </w:tcBorders>
                  <w:noWrap w:val="0"/>
                  <w:vAlign w:val="center"/>
                </w:tcPr>
                <w:p w14:paraId="34E1C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0176B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l2br w:val="nil"/>
                    <w:tr2bl w:val="nil"/>
                  </w:tcBorders>
                  <w:noWrap w:val="0"/>
                  <w:vAlign w:val="center"/>
                </w:tcPr>
                <w:p w14:paraId="392B21B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臭氧</w:t>
                  </w:r>
                </w:p>
              </w:tc>
              <w:tc>
                <w:tcPr>
                  <w:tcW w:w="1972" w:type="pct"/>
                  <w:tcBorders>
                    <w:tl2br w:val="nil"/>
                    <w:tr2bl w:val="nil"/>
                  </w:tcBorders>
                  <w:noWrap w:val="0"/>
                  <w:vAlign w:val="center"/>
                </w:tcPr>
                <w:p w14:paraId="651A30F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百分位数</w:t>
                  </w:r>
                  <w:r>
                    <w:rPr>
                      <w:rFonts w:hint="default" w:ascii="Times New Roman" w:hAnsi="Times New Roman" w:eastAsia="宋体" w:cs="Times New Roman"/>
                      <w:color w:val="auto"/>
                      <w:kern w:val="0"/>
                      <w:sz w:val="21"/>
                      <w:szCs w:val="21"/>
                      <w:highlight w:val="none"/>
                    </w:rPr>
                    <w:t>8h平均浓度</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b w:val="0"/>
                      <w:bCs w:val="0"/>
                      <w:color w:val="auto"/>
                      <w:sz w:val="21"/>
                      <w:szCs w:val="21"/>
                      <w:highlight w:val="none"/>
                    </w:rPr>
                    <w:t>μg/m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color w:val="auto"/>
                      <w:kern w:val="0"/>
                      <w:sz w:val="21"/>
                      <w:szCs w:val="21"/>
                      <w:highlight w:val="none"/>
                      <w:lang w:eastAsia="zh-CN"/>
                    </w:rPr>
                    <w:t>）</w:t>
                  </w:r>
                </w:p>
              </w:tc>
              <w:tc>
                <w:tcPr>
                  <w:tcW w:w="551" w:type="pct"/>
                  <w:tcBorders>
                    <w:tl2br w:val="nil"/>
                    <w:tr2bl w:val="nil"/>
                  </w:tcBorders>
                  <w:noWrap w:val="0"/>
                  <w:vAlign w:val="center"/>
                </w:tcPr>
                <w:p w14:paraId="66D9E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115</w:t>
                  </w:r>
                </w:p>
              </w:tc>
              <w:tc>
                <w:tcPr>
                  <w:tcW w:w="584" w:type="pct"/>
                  <w:tcBorders>
                    <w:tl2br w:val="nil"/>
                    <w:tr2bl w:val="nil"/>
                  </w:tcBorders>
                  <w:noWrap w:val="0"/>
                  <w:vAlign w:val="center"/>
                </w:tcPr>
                <w:p w14:paraId="641695F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color w:val="auto"/>
                      <w:sz w:val="21"/>
                      <w:szCs w:val="21"/>
                      <w:highlight w:val="none"/>
                    </w:rPr>
                    <w:t>160</w:t>
                  </w:r>
                </w:p>
              </w:tc>
              <w:tc>
                <w:tcPr>
                  <w:tcW w:w="573" w:type="pct"/>
                  <w:tcBorders>
                    <w:tl2br w:val="nil"/>
                    <w:tr2bl w:val="nil"/>
                  </w:tcBorders>
                  <w:noWrap w:val="0"/>
                  <w:vAlign w:val="center"/>
                </w:tcPr>
                <w:p w14:paraId="4D2751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71.88</w:t>
                  </w:r>
                  <w:r>
                    <w:rPr>
                      <w:rFonts w:hint="default" w:ascii="Times New Roman" w:hAnsi="Times New Roman" w:eastAsia="宋体" w:cs="Times New Roman"/>
                      <w:color w:val="auto"/>
                      <w:kern w:val="0"/>
                      <w:sz w:val="21"/>
                      <w:szCs w:val="21"/>
                      <w:highlight w:val="none"/>
                      <w:lang w:val="en-US" w:eastAsia="zh-CN" w:bidi="ar-SA"/>
                    </w:rPr>
                    <w:t>%</w:t>
                  </w:r>
                </w:p>
              </w:tc>
              <w:tc>
                <w:tcPr>
                  <w:tcW w:w="647" w:type="pct"/>
                  <w:tcBorders>
                    <w:tl2br w:val="nil"/>
                    <w:tr2bl w:val="nil"/>
                  </w:tcBorders>
                  <w:noWrap w:val="0"/>
                  <w:vAlign w:val="center"/>
                </w:tcPr>
                <w:p w14:paraId="7A259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达标</w:t>
                  </w:r>
                </w:p>
              </w:tc>
            </w:tr>
          </w:tbl>
          <w:p w14:paraId="46ACA52D">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由</w:t>
            </w:r>
            <w:r>
              <w:rPr>
                <w:rFonts w:hint="default" w:ascii="Times New Roman" w:hAnsi="Times New Roman" w:eastAsia="宋体" w:cs="Times New Roman"/>
                <w:color w:val="auto"/>
                <w:sz w:val="24"/>
                <w:highlight w:val="none"/>
                <w:lang w:val="en-US" w:eastAsia="zh-CN"/>
              </w:rPr>
              <w:t>上表</w:t>
            </w:r>
            <w:r>
              <w:rPr>
                <w:rFonts w:hint="default" w:ascii="Times New Roman" w:hAnsi="Times New Roman" w:eastAsia="宋体" w:cs="Times New Roman"/>
                <w:color w:val="auto"/>
                <w:sz w:val="24"/>
                <w:highlight w:val="none"/>
                <w:lang w:val="zh-CN"/>
              </w:rPr>
              <w:t>可知，202</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val="zh-CN"/>
              </w:rPr>
              <w:t>年鸡西市空气基本污染物中</w:t>
            </w:r>
            <w:r>
              <w:rPr>
                <w:rFonts w:hint="eastAsia"/>
                <w:color w:val="auto"/>
                <w:kern w:val="0"/>
                <w:sz w:val="24"/>
                <w:szCs w:val="24"/>
                <w:highlight w:val="none"/>
                <w:lang w:val="en-US" w:eastAsia="zh-CN"/>
              </w:rPr>
              <w:t>PM</w:t>
            </w:r>
            <w:r>
              <w:rPr>
                <w:rFonts w:hint="eastAsia"/>
                <w:color w:val="auto"/>
                <w:kern w:val="0"/>
                <w:sz w:val="24"/>
                <w:szCs w:val="24"/>
                <w:highlight w:val="none"/>
                <w:vertAlign w:val="subscript"/>
                <w:lang w:val="en-US" w:eastAsia="zh-CN"/>
              </w:rPr>
              <w:t>2.5</w:t>
            </w:r>
            <w:r>
              <w:rPr>
                <w:rFonts w:hint="eastAsia"/>
                <w:color w:val="auto"/>
                <w:kern w:val="0"/>
                <w:sz w:val="24"/>
                <w:szCs w:val="24"/>
                <w:highlight w:val="none"/>
                <w:vertAlign w:val="baseline"/>
                <w:lang w:val="en-US" w:eastAsia="zh-CN"/>
              </w:rPr>
              <w:t>、</w:t>
            </w:r>
            <w:r>
              <w:rPr>
                <w:rFonts w:hint="default" w:ascii="Times New Roman" w:hAnsi="Times New Roman" w:eastAsia="宋体" w:cs="Times New Roman"/>
                <w:color w:val="auto"/>
                <w:sz w:val="24"/>
                <w:highlight w:val="none"/>
                <w:lang w:val="zh-CN"/>
              </w:rPr>
              <w:t>PM</w:t>
            </w:r>
            <w:r>
              <w:rPr>
                <w:rFonts w:hint="default" w:ascii="Times New Roman" w:hAnsi="Times New Roman" w:eastAsia="宋体" w:cs="Times New Roman"/>
                <w:color w:val="auto"/>
                <w:sz w:val="24"/>
                <w:highlight w:val="none"/>
                <w:vertAlign w:val="subscript"/>
                <w:lang w:val="en-US" w:eastAsia="zh-CN"/>
              </w:rPr>
              <w:t>10</w:t>
            </w:r>
            <w:r>
              <w:rPr>
                <w:rFonts w:hint="default" w:ascii="Times New Roman" w:hAnsi="Times New Roman" w:eastAsia="宋体" w:cs="Times New Roman"/>
                <w:color w:val="auto"/>
                <w:sz w:val="24"/>
                <w:highlight w:val="none"/>
                <w:lang w:val="zh-CN"/>
              </w:rPr>
              <w:t>、SO</w:t>
            </w:r>
            <w:r>
              <w:rPr>
                <w:rFonts w:hint="default" w:ascii="Times New Roman" w:hAnsi="Times New Roman" w:eastAsia="宋体" w:cs="Times New Roman"/>
                <w:color w:val="auto"/>
                <w:sz w:val="24"/>
                <w:highlight w:val="none"/>
                <w:vertAlign w:val="subscript"/>
                <w:lang w:val="zh-CN"/>
              </w:rPr>
              <w:t>2</w:t>
            </w:r>
            <w:r>
              <w:rPr>
                <w:rFonts w:hint="default" w:ascii="Times New Roman" w:hAnsi="Times New Roman" w:eastAsia="宋体" w:cs="Times New Roman"/>
                <w:color w:val="auto"/>
                <w:sz w:val="24"/>
                <w:highlight w:val="none"/>
                <w:lang w:val="zh-CN"/>
              </w:rPr>
              <w:t>、NO</w:t>
            </w:r>
            <w:r>
              <w:rPr>
                <w:rFonts w:hint="default" w:ascii="Times New Roman" w:hAnsi="Times New Roman" w:eastAsia="宋体" w:cs="Times New Roman"/>
                <w:color w:val="auto"/>
                <w:sz w:val="24"/>
                <w:highlight w:val="none"/>
                <w:vertAlign w:val="subscript"/>
                <w:lang w:val="zh-CN"/>
              </w:rPr>
              <w:t>2</w:t>
            </w:r>
            <w:r>
              <w:rPr>
                <w:rFonts w:hint="default" w:ascii="Times New Roman" w:hAnsi="Times New Roman" w:eastAsia="宋体" w:cs="Times New Roman"/>
                <w:color w:val="auto"/>
                <w:sz w:val="24"/>
                <w:highlight w:val="none"/>
                <w:lang w:val="zh-CN"/>
              </w:rPr>
              <w:t>年平均质量浓度及CO第95百分位数日平均浓度、O</w:t>
            </w:r>
            <w:r>
              <w:rPr>
                <w:rFonts w:hint="default" w:ascii="Times New Roman" w:hAnsi="Times New Roman" w:eastAsia="宋体" w:cs="Times New Roman"/>
                <w:color w:val="auto"/>
                <w:sz w:val="24"/>
                <w:highlight w:val="none"/>
                <w:vertAlign w:val="subscript"/>
                <w:lang w:val="zh-CN"/>
              </w:rPr>
              <w:t>3</w:t>
            </w:r>
            <w:r>
              <w:rPr>
                <w:rFonts w:hint="default" w:ascii="Times New Roman" w:hAnsi="Times New Roman" w:eastAsia="宋体" w:cs="Times New Roman"/>
                <w:color w:val="auto"/>
                <w:sz w:val="24"/>
                <w:highlight w:val="none"/>
                <w:lang w:val="zh-CN"/>
              </w:rPr>
              <w:t>第90百分位数8h平均质量浓度均满足《环境空气质量标准》(</w:t>
            </w:r>
            <w:r>
              <w:rPr>
                <w:rFonts w:hint="eastAsia" w:cs="Times New Roman"/>
                <w:color w:val="auto"/>
                <w:sz w:val="24"/>
                <w:highlight w:val="none"/>
                <w:lang w:val="zh-CN"/>
              </w:rPr>
              <w:t>GB3095-2026）</w:t>
            </w:r>
            <w:r>
              <w:rPr>
                <w:rFonts w:hint="eastAsia" w:cs="Times New Roman"/>
                <w:color w:val="auto"/>
                <w:sz w:val="24"/>
                <w:highlight w:val="none"/>
                <w:lang w:val="en-US" w:eastAsia="zh-CN"/>
              </w:rPr>
              <w:t>表1</w:t>
            </w:r>
            <w:r>
              <w:rPr>
                <w:rFonts w:hint="default" w:ascii="Times New Roman" w:hAnsi="Times New Roman" w:eastAsia="宋体" w:cs="Times New Roman"/>
                <w:color w:val="auto"/>
                <w:sz w:val="24"/>
                <w:highlight w:val="none"/>
                <w:lang w:val="zh-CN"/>
              </w:rPr>
              <w:t>中</w:t>
            </w:r>
            <w:r>
              <w:rPr>
                <w:rFonts w:hint="eastAsia" w:cs="Times New Roman"/>
                <w:color w:val="auto"/>
                <w:sz w:val="24"/>
                <w:highlight w:val="none"/>
                <w:lang w:val="en-US" w:eastAsia="zh-CN"/>
              </w:rPr>
              <w:t>过渡阶段</w:t>
            </w:r>
            <w:r>
              <w:rPr>
                <w:rFonts w:hint="default" w:ascii="Times New Roman" w:hAnsi="Times New Roman" w:eastAsia="宋体" w:cs="Times New Roman"/>
                <w:color w:val="auto"/>
                <w:sz w:val="24"/>
                <w:highlight w:val="none"/>
                <w:lang w:val="zh-CN"/>
              </w:rPr>
              <w:t>二级标准，</w:t>
            </w:r>
            <w:r>
              <w:rPr>
                <w:rFonts w:hint="eastAsia"/>
                <w:color w:val="auto"/>
                <w:kern w:val="0"/>
                <w:sz w:val="24"/>
                <w:szCs w:val="24"/>
                <w:highlight w:val="none"/>
                <w:lang w:val="en-US" w:eastAsia="zh-CN"/>
              </w:rPr>
              <w:t>为达标区。综上所述，项目所在区域为达标区</w:t>
            </w:r>
            <w:r>
              <w:rPr>
                <w:rFonts w:hint="default" w:ascii="Times New Roman" w:hAnsi="Times New Roman" w:eastAsia="宋体" w:cs="Times New Roman"/>
                <w:color w:val="auto"/>
                <w:sz w:val="24"/>
                <w:highlight w:val="none"/>
                <w:lang w:val="zh-CN"/>
              </w:rPr>
              <w:t>。</w:t>
            </w:r>
          </w:p>
          <w:p w14:paraId="4C9026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80" w:firstLineChars="200"/>
              <w:jc w:val="both"/>
              <w:textAlignment w:val="auto"/>
              <w:rPr>
                <w:rFonts w:hint="eastAsia" w:cs="Times New Roman"/>
                <w:color w:val="auto"/>
                <w:sz w:val="24"/>
                <w:highlight w:val="none"/>
                <w:lang w:val="zh-CN"/>
              </w:rPr>
            </w:pPr>
            <w:r>
              <w:rPr>
                <w:rFonts w:hint="eastAsia" w:cs="Times New Roman"/>
                <w:color w:val="auto"/>
                <w:sz w:val="24"/>
                <w:highlight w:val="none"/>
                <w:lang w:val="zh-CN"/>
              </w:rPr>
              <w:t>（</w:t>
            </w:r>
            <w:r>
              <w:rPr>
                <w:rFonts w:hint="eastAsia" w:cs="Times New Roman"/>
                <w:color w:val="auto"/>
                <w:sz w:val="24"/>
                <w:highlight w:val="none"/>
                <w:lang w:val="en-US" w:eastAsia="zh-CN"/>
              </w:rPr>
              <w:t>2</w:t>
            </w:r>
            <w:r>
              <w:rPr>
                <w:rFonts w:hint="eastAsia" w:cs="Times New Roman"/>
                <w:color w:val="auto"/>
                <w:sz w:val="24"/>
                <w:highlight w:val="none"/>
                <w:lang w:val="zh-CN"/>
              </w:rPr>
              <w:t>）其它污染物（TSP）</w:t>
            </w:r>
          </w:p>
          <w:p w14:paraId="7173AB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80" w:firstLineChars="200"/>
              <w:jc w:val="both"/>
              <w:textAlignment w:val="auto"/>
              <w:rPr>
                <w:rFonts w:hint="default" w:ascii="Times New Roman" w:hAnsi="Times New Roman" w:eastAsia="宋体" w:cs="Times New Roman"/>
                <w:b/>
                <w:bCs/>
                <w:color w:val="auto"/>
                <w:szCs w:val="21"/>
                <w:highlight w:val="none"/>
              </w:rPr>
            </w:pPr>
            <w:r>
              <w:rPr>
                <w:rFonts w:hint="eastAsia" w:ascii="Times New Roman" w:hAnsi="Times New Roman" w:cs="Times New Roman"/>
                <w:color w:val="auto"/>
                <w:sz w:val="24"/>
                <w:highlight w:val="none"/>
                <w:lang w:val="en-US" w:eastAsia="zh-CN"/>
              </w:rPr>
              <w:t>据现场探查，引用项目位于本项目5千米范围内，且引用项目检测时间为近三年有效监测数据。因此，</w:t>
            </w:r>
            <w:r>
              <w:rPr>
                <w:rFonts w:hint="eastAsia"/>
                <w:color w:val="auto"/>
                <w:sz w:val="24"/>
                <w:highlight w:val="none"/>
                <w:lang w:val="en-US" w:eastAsia="zh-CN"/>
              </w:rPr>
              <w:t>本项目特征污染物TSP环境</w:t>
            </w:r>
            <w:r>
              <w:rPr>
                <w:rFonts w:hint="eastAsia" w:ascii="Times New Roman" w:hAnsi="Times New Roman" w:eastAsia="宋体" w:cs="宋体"/>
                <w:color w:val="auto"/>
                <w:kern w:val="0"/>
                <w:sz w:val="24"/>
                <w:szCs w:val="24"/>
                <w:highlight w:val="none"/>
                <w:lang w:val="en-US" w:eastAsia="zh-CN" w:bidi="ar-SA"/>
              </w:rPr>
              <w:t>质量现状数据来源引用于《黑龙江星华粮油经贸有限公司建设项目现状监测》（黑龙江盛睿检测评价有限公司，报告编号SRHJ09260509012）。引用监测点位位于本项目西北侧1.542km，检测时间为2026</w:t>
            </w:r>
            <w:r>
              <w:rPr>
                <w:rFonts w:hint="default" w:ascii="Times New Roman" w:hAnsi="Times New Roman" w:eastAsia="宋体" w:cs="宋体"/>
                <w:color w:val="auto"/>
                <w:kern w:val="0"/>
                <w:sz w:val="24"/>
                <w:szCs w:val="24"/>
                <w:highlight w:val="none"/>
                <w:lang w:val="en-US" w:eastAsia="zh-CN" w:bidi="ar-SA"/>
              </w:rPr>
              <w:t>年</w:t>
            </w:r>
            <w:r>
              <w:rPr>
                <w:rFonts w:hint="eastAsia" w:ascii="Times New Roman" w:hAnsi="Times New Roman" w:eastAsia="宋体" w:cs="宋体"/>
                <w:color w:val="auto"/>
                <w:kern w:val="0"/>
                <w:sz w:val="24"/>
                <w:szCs w:val="24"/>
                <w:highlight w:val="none"/>
                <w:lang w:val="en-US" w:eastAsia="zh-CN" w:bidi="ar-SA"/>
              </w:rPr>
              <w:t>6</w:t>
            </w:r>
            <w:r>
              <w:rPr>
                <w:rFonts w:hint="default" w:ascii="Times New Roman" w:hAnsi="Times New Roman" w:eastAsia="宋体" w:cs="宋体"/>
                <w:color w:val="auto"/>
                <w:kern w:val="0"/>
                <w:sz w:val="24"/>
                <w:szCs w:val="24"/>
                <w:highlight w:val="none"/>
                <w:lang w:val="en-US" w:eastAsia="zh-CN" w:bidi="ar-SA"/>
              </w:rPr>
              <w:t>月</w:t>
            </w:r>
            <w:r>
              <w:rPr>
                <w:rFonts w:hint="eastAsia" w:ascii="Times New Roman" w:hAnsi="Times New Roman" w:eastAsia="宋体" w:cs="宋体"/>
                <w:color w:val="auto"/>
                <w:kern w:val="0"/>
                <w:sz w:val="24"/>
                <w:szCs w:val="24"/>
                <w:highlight w:val="none"/>
                <w:lang w:val="en-US" w:eastAsia="zh-CN" w:bidi="ar-SA"/>
              </w:rPr>
              <w:t>20</w:t>
            </w:r>
            <w:r>
              <w:rPr>
                <w:rFonts w:hint="default" w:ascii="Times New Roman" w:hAnsi="Times New Roman" w:eastAsia="宋体" w:cs="宋体"/>
                <w:color w:val="auto"/>
                <w:kern w:val="0"/>
                <w:sz w:val="24"/>
                <w:szCs w:val="24"/>
                <w:highlight w:val="none"/>
                <w:lang w:val="en-US" w:eastAsia="zh-CN" w:bidi="ar-SA"/>
              </w:rPr>
              <w:t>日~</w:t>
            </w:r>
            <w:r>
              <w:rPr>
                <w:rFonts w:hint="eastAsia" w:ascii="Times New Roman" w:hAnsi="Times New Roman" w:eastAsia="宋体" w:cs="宋体"/>
                <w:color w:val="auto"/>
                <w:kern w:val="0"/>
                <w:sz w:val="24"/>
                <w:szCs w:val="24"/>
                <w:highlight w:val="none"/>
                <w:lang w:val="en-US" w:eastAsia="zh-CN" w:bidi="ar-SA"/>
              </w:rPr>
              <w:t>6</w:t>
            </w:r>
            <w:r>
              <w:rPr>
                <w:rFonts w:hint="default" w:ascii="Times New Roman" w:hAnsi="Times New Roman" w:eastAsia="宋体" w:cs="宋体"/>
                <w:color w:val="auto"/>
                <w:kern w:val="0"/>
                <w:sz w:val="24"/>
                <w:szCs w:val="24"/>
                <w:highlight w:val="none"/>
                <w:lang w:val="en-US" w:eastAsia="zh-CN" w:bidi="ar-SA"/>
              </w:rPr>
              <w:t>月</w:t>
            </w:r>
            <w:r>
              <w:rPr>
                <w:rFonts w:hint="eastAsia" w:ascii="Times New Roman" w:hAnsi="Times New Roman" w:eastAsia="宋体" w:cs="宋体"/>
                <w:color w:val="auto"/>
                <w:kern w:val="0"/>
                <w:sz w:val="24"/>
                <w:szCs w:val="24"/>
                <w:highlight w:val="none"/>
                <w:lang w:val="en-US" w:eastAsia="zh-CN" w:bidi="ar-SA"/>
              </w:rPr>
              <w:t>23</w:t>
            </w:r>
            <w:r>
              <w:rPr>
                <w:rFonts w:hint="default" w:ascii="Times New Roman" w:hAnsi="Times New Roman" w:eastAsia="宋体" w:cs="宋体"/>
                <w:color w:val="auto"/>
                <w:kern w:val="0"/>
                <w:sz w:val="24"/>
                <w:szCs w:val="24"/>
                <w:highlight w:val="none"/>
                <w:lang w:val="en-US" w:eastAsia="zh-CN" w:bidi="ar-SA"/>
              </w:rPr>
              <w:t>日</w:t>
            </w:r>
            <w:r>
              <w:rPr>
                <w:rFonts w:hint="default" w:ascii="Times New Roman" w:hAnsi="Times New Roman" w:eastAsia="宋体" w:cs="Times New Roman"/>
                <w:color w:val="auto"/>
                <w:sz w:val="24"/>
                <w:highlight w:val="none"/>
                <w:lang w:val="zh-CN"/>
              </w:rPr>
              <w:t>，监测TSP24小时平均值。监测点位基本信息见表3-2，质量现状见表3-3，监测点位图见图3-1</w:t>
            </w:r>
            <w:r>
              <w:rPr>
                <w:rFonts w:hint="default" w:ascii="Times New Roman" w:hAnsi="Times New Roman" w:eastAsia="宋体" w:cs="Times New Roman"/>
                <w:color w:val="auto"/>
                <w:sz w:val="24"/>
                <w:highlight w:val="none"/>
                <w:lang w:val="zh-CN" w:eastAsia="zh-CN"/>
              </w:rPr>
              <w:t>，检测结果</w:t>
            </w:r>
            <w:r>
              <w:rPr>
                <w:rFonts w:hint="default" w:ascii="Times New Roman" w:hAnsi="Times New Roman" w:eastAsia="宋体" w:cs="Times New Roman"/>
                <w:color w:val="auto"/>
                <w:sz w:val="24"/>
                <w:highlight w:val="none"/>
                <w:lang w:val="en-US" w:eastAsia="zh-CN"/>
              </w:rPr>
              <w:t>如</w:t>
            </w:r>
            <w:r>
              <w:rPr>
                <w:rFonts w:hint="default" w:ascii="Times New Roman" w:hAnsi="Times New Roman" w:eastAsia="宋体" w:cs="Times New Roman"/>
                <w:color w:val="auto"/>
                <w:sz w:val="24"/>
                <w:highlight w:val="none"/>
                <w:lang w:val="zh-CN" w:eastAsia="zh-CN"/>
              </w:rPr>
              <w:t>下：</w:t>
            </w:r>
          </w:p>
          <w:p w14:paraId="5ABE7D9C">
            <w:pPr>
              <w:pStyle w:val="6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表3-</w:t>
            </w:r>
            <w:r>
              <w:rPr>
                <w:rFonts w:hint="eastAsia" w:ascii="Times New Roman" w:hAnsi="Times New Roman" w:eastAsia="宋体" w:cs="Times New Roman"/>
                <w:bCs/>
                <w:color w:val="auto"/>
                <w:sz w:val="21"/>
                <w:szCs w:val="21"/>
                <w:highlight w:val="none"/>
                <w:lang w:val="en-US" w:eastAsia="zh-CN"/>
              </w:rPr>
              <w:t>2</w:t>
            </w:r>
            <w:r>
              <w:rPr>
                <w:rFonts w:hint="default" w:ascii="Times New Roman" w:hAnsi="Times New Roman" w:eastAsia="宋体" w:cs="Times New Roman"/>
                <w:bCs/>
                <w:color w:val="auto"/>
                <w:sz w:val="21"/>
                <w:szCs w:val="21"/>
                <w:highlight w:val="none"/>
              </w:rPr>
              <w:t>大气</w:t>
            </w:r>
            <w:r>
              <w:rPr>
                <w:rFonts w:hint="eastAsia" w:ascii="Times New Roman" w:hAnsi="Times New Roman" w:eastAsia="宋体" w:cs="Times New Roman"/>
                <w:bCs/>
                <w:color w:val="auto"/>
                <w:sz w:val="21"/>
                <w:szCs w:val="21"/>
                <w:highlight w:val="none"/>
                <w:lang w:val="en-US" w:eastAsia="zh-CN"/>
              </w:rPr>
              <w:t>基本</w:t>
            </w:r>
            <w:r>
              <w:rPr>
                <w:rFonts w:hint="default" w:ascii="Times New Roman" w:hAnsi="Times New Roman" w:eastAsia="宋体" w:cs="Times New Roman"/>
                <w:bCs/>
                <w:color w:val="auto"/>
                <w:sz w:val="21"/>
                <w:szCs w:val="21"/>
                <w:highlight w:val="none"/>
              </w:rPr>
              <w:t>污染物补充监测点位基本信息</w:t>
            </w:r>
          </w:p>
          <w:tbl>
            <w:tblPr>
              <w:tblStyle w:val="33"/>
              <w:tblW w:w="7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8"/>
              <w:gridCol w:w="1513"/>
              <w:gridCol w:w="1616"/>
              <w:gridCol w:w="671"/>
              <w:gridCol w:w="1148"/>
              <w:gridCol w:w="1002"/>
              <w:gridCol w:w="1059"/>
            </w:tblGrid>
            <w:tr w14:paraId="6B939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vMerge w:val="restart"/>
                  <w:noWrap w:val="0"/>
                  <w:vAlign w:val="center"/>
                </w:tcPr>
                <w:p w14:paraId="68284788">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bookmarkStart w:id="9" w:name="_Hlk84528933"/>
                  <w:r>
                    <w:rPr>
                      <w:rFonts w:hint="default" w:ascii="Times New Roman" w:hAnsi="Times New Roman" w:eastAsia="宋体" w:cs="Times New Roman"/>
                      <w:color w:val="auto"/>
                      <w:sz w:val="21"/>
                      <w:szCs w:val="21"/>
                      <w:highlight w:val="none"/>
                      <w:lang w:val="en-US" w:eastAsia="zh-CN"/>
                    </w:rPr>
                    <w:t>监测点名称</w:t>
                  </w:r>
                </w:p>
              </w:tc>
              <w:tc>
                <w:tcPr>
                  <w:tcW w:w="3129" w:type="dxa"/>
                  <w:gridSpan w:val="2"/>
                  <w:noWrap w:val="0"/>
                  <w:vAlign w:val="center"/>
                </w:tcPr>
                <w:p w14:paraId="0CFAA742">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监测点位坐标</w:t>
                  </w:r>
                  <w:r>
                    <w:rPr>
                      <w:rFonts w:hint="eastAsia" w:cs="Times New Roman"/>
                      <w:color w:val="auto"/>
                      <w:sz w:val="21"/>
                      <w:szCs w:val="21"/>
                      <w:highlight w:val="none"/>
                      <w:lang w:val="en-US" w:eastAsia="zh-CN"/>
                    </w:rPr>
                    <w:t>/°</w:t>
                  </w:r>
                </w:p>
              </w:tc>
              <w:tc>
                <w:tcPr>
                  <w:tcW w:w="671" w:type="dxa"/>
                  <w:vMerge w:val="restart"/>
                  <w:noWrap w:val="0"/>
                  <w:vAlign w:val="center"/>
                </w:tcPr>
                <w:p w14:paraId="6729453B">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监测</w:t>
                  </w:r>
                </w:p>
                <w:p w14:paraId="3E591DB8">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因子</w:t>
                  </w:r>
                </w:p>
              </w:tc>
              <w:tc>
                <w:tcPr>
                  <w:tcW w:w="1148" w:type="dxa"/>
                  <w:vMerge w:val="restart"/>
                  <w:noWrap w:val="0"/>
                  <w:vAlign w:val="center"/>
                </w:tcPr>
                <w:p w14:paraId="272AB01A">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监测时段</w:t>
                  </w:r>
                </w:p>
              </w:tc>
              <w:tc>
                <w:tcPr>
                  <w:tcW w:w="1002" w:type="dxa"/>
                  <w:vMerge w:val="restart"/>
                  <w:noWrap w:val="0"/>
                  <w:vAlign w:val="center"/>
                </w:tcPr>
                <w:p w14:paraId="3FF5E236">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相对厂址方位</w:t>
                  </w:r>
                </w:p>
              </w:tc>
              <w:tc>
                <w:tcPr>
                  <w:tcW w:w="1059" w:type="dxa"/>
                  <w:vMerge w:val="restart"/>
                  <w:noWrap w:val="0"/>
                  <w:vAlign w:val="center"/>
                </w:tcPr>
                <w:p w14:paraId="2FCDC896">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相对厂界距离/m</w:t>
                  </w:r>
                </w:p>
              </w:tc>
            </w:tr>
            <w:tr w14:paraId="554F6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vMerge w:val="continue"/>
                  <w:noWrap w:val="0"/>
                  <w:vAlign w:val="center"/>
                </w:tcPr>
                <w:p w14:paraId="3C211BFC">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p>
              </w:tc>
              <w:tc>
                <w:tcPr>
                  <w:tcW w:w="1513" w:type="dxa"/>
                  <w:noWrap w:val="0"/>
                  <w:vAlign w:val="center"/>
                </w:tcPr>
                <w:p w14:paraId="19E990CA">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东经</w:t>
                  </w:r>
                </w:p>
              </w:tc>
              <w:tc>
                <w:tcPr>
                  <w:tcW w:w="1616" w:type="dxa"/>
                  <w:noWrap w:val="0"/>
                  <w:vAlign w:val="center"/>
                </w:tcPr>
                <w:p w14:paraId="0CD93132">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北纬</w:t>
                  </w:r>
                </w:p>
              </w:tc>
              <w:tc>
                <w:tcPr>
                  <w:tcW w:w="671" w:type="dxa"/>
                  <w:vMerge w:val="continue"/>
                  <w:noWrap w:val="0"/>
                  <w:vAlign w:val="center"/>
                </w:tcPr>
                <w:p w14:paraId="14498AE8">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p>
              </w:tc>
              <w:tc>
                <w:tcPr>
                  <w:tcW w:w="1148" w:type="dxa"/>
                  <w:vMerge w:val="continue"/>
                  <w:noWrap w:val="0"/>
                  <w:vAlign w:val="center"/>
                </w:tcPr>
                <w:p w14:paraId="42C9559B">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p>
              </w:tc>
              <w:tc>
                <w:tcPr>
                  <w:tcW w:w="1002" w:type="dxa"/>
                  <w:vMerge w:val="continue"/>
                  <w:noWrap w:val="0"/>
                  <w:vAlign w:val="center"/>
                </w:tcPr>
                <w:p w14:paraId="0381E6B2">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p>
              </w:tc>
              <w:tc>
                <w:tcPr>
                  <w:tcW w:w="1059" w:type="dxa"/>
                  <w:vMerge w:val="continue"/>
                  <w:noWrap w:val="0"/>
                  <w:vAlign w:val="center"/>
                </w:tcPr>
                <w:p w14:paraId="09827C07">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p>
              </w:tc>
            </w:tr>
            <w:tr w14:paraId="10A51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noWrap w:val="0"/>
                  <w:vAlign w:val="center"/>
                </w:tcPr>
                <w:p w14:paraId="053910A3">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厂址下风向</w:t>
                  </w:r>
                </w:p>
              </w:tc>
              <w:tc>
                <w:tcPr>
                  <w:tcW w:w="1513" w:type="dxa"/>
                  <w:noWrap w:val="0"/>
                  <w:vAlign w:val="center"/>
                </w:tcPr>
                <w:p w14:paraId="4475DEBA">
                  <w:pPr>
                    <w:keepNext w:val="0"/>
                    <w:keepLines w:val="0"/>
                    <w:suppressLineNumbers w:val="0"/>
                    <w:spacing w:before="0" w:beforeAutospacing="0" w:after="0" w:afterAutospacing="0" w:line="320" w:lineRule="atLeast"/>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eastAsia="仿宋"/>
                      <w:color w:val="auto"/>
                      <w:szCs w:val="21"/>
                      <w:highlight w:val="none"/>
                      <w:lang w:val="en-US" w:eastAsia="zh-CN"/>
                    </w:rPr>
                    <w:t>132.485033323</w:t>
                  </w:r>
                </w:p>
              </w:tc>
              <w:tc>
                <w:tcPr>
                  <w:tcW w:w="1616" w:type="dxa"/>
                  <w:noWrap w:val="0"/>
                  <w:vAlign w:val="center"/>
                </w:tcPr>
                <w:p w14:paraId="6F76474D">
                  <w:pPr>
                    <w:keepNext w:val="0"/>
                    <w:keepLines w:val="0"/>
                    <w:suppressLineNumbers w:val="0"/>
                    <w:spacing w:before="0" w:beforeAutospacing="0" w:after="0" w:afterAutospacing="0" w:line="320" w:lineRule="atLeast"/>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eastAsia="仿宋"/>
                      <w:color w:val="auto"/>
                      <w:szCs w:val="21"/>
                      <w:highlight w:val="none"/>
                      <w:lang w:val="en-US" w:eastAsia="zh-CN"/>
                    </w:rPr>
                    <w:t>45.726715092</w:t>
                  </w:r>
                </w:p>
              </w:tc>
              <w:tc>
                <w:tcPr>
                  <w:tcW w:w="671" w:type="dxa"/>
                  <w:noWrap w:val="0"/>
                  <w:vAlign w:val="center"/>
                </w:tcPr>
                <w:p w14:paraId="3048951F">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1148" w:type="dxa"/>
                  <w:noWrap w:val="0"/>
                  <w:vAlign w:val="center"/>
                </w:tcPr>
                <w:p w14:paraId="06D2AE2E">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连续监测</w:t>
                  </w:r>
                  <w:r>
                    <w:rPr>
                      <w:rFonts w:hint="eastAsia" w:ascii="Times New Roman" w:hAnsi="Times New Roman" w:eastAsia="宋体" w:cs="Times New Roman"/>
                      <w:color w:val="auto"/>
                      <w:sz w:val="21"/>
                      <w:szCs w:val="21"/>
                      <w:highlight w:val="none"/>
                      <w:lang w:val="en-US" w:eastAsia="zh-CN"/>
                    </w:rPr>
                    <w:t>3天</w:t>
                  </w:r>
                  <w:r>
                    <w:rPr>
                      <w:rFonts w:hint="default" w:ascii="Times New Roman" w:hAnsi="Times New Roman" w:eastAsia="宋体" w:cs="Times New Roman"/>
                      <w:color w:val="auto"/>
                      <w:sz w:val="21"/>
                      <w:szCs w:val="21"/>
                      <w:highlight w:val="none"/>
                      <w:lang w:val="en-US" w:eastAsia="zh-CN"/>
                    </w:rPr>
                    <w:t>，监测日均值</w:t>
                  </w:r>
                </w:p>
              </w:tc>
              <w:tc>
                <w:tcPr>
                  <w:tcW w:w="1002" w:type="dxa"/>
                  <w:noWrap w:val="0"/>
                  <w:vAlign w:val="center"/>
                </w:tcPr>
                <w:p w14:paraId="679CEF2A">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NE</w:t>
                  </w:r>
                </w:p>
              </w:tc>
              <w:tc>
                <w:tcPr>
                  <w:tcW w:w="1059" w:type="dxa"/>
                  <w:noWrap w:val="0"/>
                  <w:vAlign w:val="center"/>
                </w:tcPr>
                <w:p w14:paraId="1757D02C">
                  <w:pPr>
                    <w:pStyle w:val="1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1542</w:t>
                  </w:r>
                </w:p>
              </w:tc>
            </w:tr>
            <w:bookmarkEnd w:id="9"/>
          </w:tbl>
          <w:p w14:paraId="171F09E3">
            <w:pPr>
              <w:keepNext w:val="0"/>
              <w:keepLines w:val="0"/>
              <w:suppressLineNumbers w:val="0"/>
              <w:adjustRightInd w:val="0"/>
              <w:snapToGrid w:val="0"/>
              <w:spacing w:before="0" w:beforeAutospacing="0" w:after="0" w:afterAutospacing="0" w:line="360" w:lineRule="auto"/>
              <w:ind w:left="0" w:right="0"/>
              <w:jc w:val="both"/>
              <w:rPr>
                <w:rFonts w:hint="default"/>
                <w:color w:val="auto"/>
                <w:highlight w:val="none"/>
              </w:rPr>
            </w:pPr>
            <w:r>
              <w:rPr>
                <w:rFonts w:hint="default"/>
                <w:color w:val="auto"/>
                <w:sz w:val="21"/>
                <w:highlight w:val="none"/>
              </w:rPr>
              <mc:AlternateContent>
                <mc:Choice Requires="wps">
                  <w:drawing>
                    <wp:anchor distT="0" distB="0" distL="114300" distR="114300" simplePos="0" relativeHeight="251674624" behindDoc="0" locked="0" layoutInCell="1" allowOverlap="1">
                      <wp:simplePos x="0" y="0"/>
                      <wp:positionH relativeFrom="column">
                        <wp:posOffset>3781425</wp:posOffset>
                      </wp:positionH>
                      <wp:positionV relativeFrom="paragraph">
                        <wp:posOffset>2182495</wp:posOffset>
                      </wp:positionV>
                      <wp:extent cx="667385" cy="295275"/>
                      <wp:effectExtent l="0" t="0" r="0" b="0"/>
                      <wp:wrapNone/>
                      <wp:docPr id="8" name="文本框 8"/>
                      <wp:cNvGraphicFramePr/>
                      <a:graphic xmlns:a="http://schemas.openxmlformats.org/drawingml/2006/main">
                        <a:graphicData uri="http://schemas.microsoft.com/office/word/2010/wordprocessingShape">
                          <wps:wsp>
                            <wps:cNvSpPr txBox="1"/>
                            <wps:spPr>
                              <a:xfrm>
                                <a:off x="5399405" y="3250565"/>
                                <a:ext cx="66738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ACDA7">
                                  <w:pP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75pt;margin-top:171.85pt;height:23.25pt;width:52.55pt;z-index:251674624;mso-width-relative:page;mso-height-relative:page;" filled="f" stroked="f" coordsize="21600,21600" o:gfxdata="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72DFncAAAACwEAAA8AAAAA&#10;AAAAAQAgAAAAIgAAAGRycy9kb3ducmV2LnhtbFBLAQIUABQAAAAIAIdO4kDSP/vTSQIAAHEEAAAO&#10;AAAAAAAAAAEAIAAAACsBAABkcnMvZTJvRG9jLnhtbFBLBQYAAAAABgAGAFkBAADmBQAAAAA=&#10;">
                      <v:fill on="f" focussize="0,0"/>
                      <v:stroke on="f" weight="0.5pt"/>
                      <v:imagedata o:title=""/>
                      <o:lock v:ext="edit" aspectratio="f"/>
                      <v:textbox>
                        <w:txbxContent>
                          <w:p w14:paraId="262ACDA7">
                            <w:pP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rFonts w:hint="default"/>
                <w:color w:val="auto"/>
                <w:sz w:val="21"/>
                <w:highlight w:val="none"/>
              </w:rPr>
              <mc:AlternateContent>
                <mc:Choice Requires="wps">
                  <w:drawing>
                    <wp:anchor distT="0" distB="0" distL="114300" distR="114300" simplePos="0" relativeHeight="251673600" behindDoc="0" locked="0" layoutInCell="1" allowOverlap="1">
                      <wp:simplePos x="0" y="0"/>
                      <wp:positionH relativeFrom="column">
                        <wp:posOffset>4268470</wp:posOffset>
                      </wp:positionH>
                      <wp:positionV relativeFrom="paragraph">
                        <wp:posOffset>-37465</wp:posOffset>
                      </wp:positionV>
                      <wp:extent cx="890905" cy="732790"/>
                      <wp:effectExtent l="0" t="0" r="0" b="0"/>
                      <wp:wrapNone/>
                      <wp:docPr id="59" name="文本框 59"/>
                      <wp:cNvGraphicFramePr/>
                      <a:graphic xmlns:a="http://schemas.openxmlformats.org/drawingml/2006/main">
                        <a:graphicData uri="http://schemas.microsoft.com/office/word/2010/wordprocessingShape">
                          <wps:wsp>
                            <wps:cNvSpPr txBox="1"/>
                            <wps:spPr>
                              <a:xfrm>
                                <a:off x="6052820" y="1096645"/>
                                <a:ext cx="890905" cy="732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EF6E1">
                                  <w:pPr>
                                    <w:rPr>
                                      <w:rFonts w:hint="eastAsia" w:eastAsia="宋体"/>
                                      <w:lang w:eastAsia="zh-CN"/>
                                    </w:rPr>
                                  </w:pPr>
                                  <w:r>
                                    <w:rPr>
                                      <w:color w:val="000000" w:themeColor="text1"/>
                                      <w:highlight w:val="none"/>
                                      <w14:textFill>
                                        <w14:solidFill>
                                          <w14:schemeClr w14:val="tx1"/>
                                        </w14:solidFill>
                                      </w14:textFill>
                                    </w:rPr>
                                    <w:drawing>
                                      <wp:inline distT="0" distB="0" distL="114300" distR="114300">
                                        <wp:extent cx="708660" cy="584835"/>
                                        <wp:effectExtent l="0" t="0" r="15240" b="5715"/>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17"/>
                                                <a:stretch>
                                                  <a:fillRect/>
                                                </a:stretch>
                                              </pic:blipFill>
                                              <pic:spPr>
                                                <a:xfrm>
                                                  <a:off x="0" y="0"/>
                                                  <a:ext cx="708660" cy="5848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1pt;margin-top:-2.95pt;height:57.7pt;width:70.15pt;z-index:251673600;mso-width-relative:page;mso-height-relative:page;" filled="f" stroked="f" coordsize="21600,21600" o:gfxdata="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RObvNsAAAAKAQAADwAAAAAA&#10;AAABACAAAAAiAAAAZHJzL2Rvd25yZXYueG1sUEsBAhQAFAAAAAgAh07iQLCQBOtJAgAAcwQAAA4A&#10;AAAAAAAAAQAgAAAAKgEAAGRycy9lMm9Eb2MueG1sUEsFBgAAAAAGAAYAWQEAAOUFAAAAAA==&#10;">
                      <v:fill on="f" focussize="0,0"/>
                      <v:stroke on="f" weight="0.5pt"/>
                      <v:imagedata o:title=""/>
                      <o:lock v:ext="edit" aspectratio="f"/>
                      <v:textbox>
                        <w:txbxContent>
                          <w:p w14:paraId="2D2EF6E1">
                            <w:pPr>
                              <w:rPr>
                                <w:rFonts w:hint="eastAsia" w:eastAsia="宋体"/>
                                <w:lang w:eastAsia="zh-CN"/>
                              </w:rPr>
                            </w:pPr>
                            <w:r>
                              <w:rPr>
                                <w:color w:val="000000" w:themeColor="text1"/>
                                <w:highlight w:val="none"/>
                                <w14:textFill>
                                  <w14:solidFill>
                                    <w14:schemeClr w14:val="tx1"/>
                                  </w14:solidFill>
                                </w14:textFill>
                              </w:rPr>
                              <w:drawing>
                                <wp:inline distT="0" distB="0" distL="114300" distR="114300">
                                  <wp:extent cx="708660" cy="584835"/>
                                  <wp:effectExtent l="0" t="0" r="15240" b="5715"/>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17"/>
                                          <a:stretch>
                                            <a:fillRect/>
                                          </a:stretch>
                                        </pic:blipFill>
                                        <pic:spPr>
                                          <a:xfrm>
                                            <a:off x="0" y="0"/>
                                            <a:ext cx="708660" cy="584835"/>
                                          </a:xfrm>
                                          <a:prstGeom prst="rect">
                                            <a:avLst/>
                                          </a:prstGeom>
                                          <a:noFill/>
                                          <a:ln>
                                            <a:noFill/>
                                          </a:ln>
                                        </pic:spPr>
                                      </pic:pic>
                                    </a:graphicData>
                                  </a:graphic>
                                </wp:inline>
                              </w:drawing>
                            </w:r>
                          </w:p>
                        </w:txbxContent>
                      </v:textbox>
                    </v:shape>
                  </w:pict>
                </mc:Fallback>
              </mc:AlternateContent>
            </w:r>
            <w:r>
              <w:rPr>
                <w:rFonts w:hint="default"/>
                <w:color w:val="auto"/>
                <w:highlight w:val="none"/>
              </w:rPr>
              <w:drawing>
                <wp:inline distT="0" distB="0" distL="114300" distR="114300">
                  <wp:extent cx="5062220" cy="3632835"/>
                  <wp:effectExtent l="0" t="0" r="5080" b="5715"/>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8"/>
                          <a:stretch>
                            <a:fillRect/>
                          </a:stretch>
                        </pic:blipFill>
                        <pic:spPr>
                          <a:xfrm>
                            <a:off x="0" y="0"/>
                            <a:ext cx="5062220" cy="3632835"/>
                          </a:xfrm>
                          <a:prstGeom prst="rect">
                            <a:avLst/>
                          </a:prstGeom>
                          <a:noFill/>
                          <a:ln>
                            <a:noFill/>
                          </a:ln>
                        </pic:spPr>
                      </pic:pic>
                    </a:graphicData>
                  </a:graphic>
                </wp:inline>
              </w:drawing>
            </w:r>
          </w:p>
          <w:p w14:paraId="50202EDA">
            <w:pPr>
              <w:pStyle w:val="3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图3-1大气检测点位图</w:t>
            </w:r>
          </w:p>
          <w:p w14:paraId="347B4950">
            <w:pPr>
              <w:pStyle w:val="56"/>
              <w:keepNext w:val="0"/>
              <w:keepLines w:val="0"/>
              <w:suppressLineNumbers w:val="0"/>
              <w:adjustRightInd w:val="0"/>
              <w:snapToGrid w:val="0"/>
              <w:spacing w:before="0" w:beforeAutospacing="0" w:after="0" w:afterAutospacing="0" w:line="400" w:lineRule="exact"/>
              <w:ind w:left="0" w:right="0" w:firstLine="0" w:firstLineChars="0"/>
              <w:jc w:val="center"/>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b/>
                <w:bCs/>
                <w:color w:val="auto"/>
                <w:kern w:val="0"/>
                <w:sz w:val="21"/>
                <w:szCs w:val="21"/>
                <w:highlight w:val="none"/>
                <w:lang w:val="en-US" w:eastAsia="zh-CN" w:bidi="ar-SA"/>
              </w:rPr>
              <w:t>表3-3特征污染物监测结果</w:t>
            </w:r>
          </w:p>
          <w:tbl>
            <w:tblPr>
              <w:tblStyle w:val="33"/>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76"/>
              <w:gridCol w:w="722"/>
              <w:gridCol w:w="1161"/>
              <w:gridCol w:w="2042"/>
              <w:gridCol w:w="1621"/>
              <w:gridCol w:w="788"/>
              <w:gridCol w:w="764"/>
            </w:tblGrid>
            <w:tr w14:paraId="5B5C35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876" w:type="dxa"/>
                  <w:vMerge w:val="restart"/>
                  <w:noWrap w:val="0"/>
                  <w:vAlign w:val="center"/>
                </w:tcPr>
                <w:p w14:paraId="128C4E74">
                  <w:pPr>
                    <w:keepNext w:val="0"/>
                    <w:keepLines w:val="0"/>
                    <w:suppressLineNumbers w:val="0"/>
                    <w:spacing w:before="0" w:beforeAutospacing="0" w:after="0" w:afterAutospacing="0"/>
                    <w:ind w:left="0" w:right="0"/>
                    <w:jc w:val="center"/>
                    <w:rPr>
                      <w:rFonts w:hint="eastAsia" w:eastAsia="宋体"/>
                      <w:color w:val="auto"/>
                      <w:kern w:val="0"/>
                      <w:sz w:val="21"/>
                      <w:szCs w:val="21"/>
                      <w:highlight w:val="none"/>
                      <w:lang w:eastAsia="zh-CN"/>
                    </w:rPr>
                  </w:pPr>
                  <w:r>
                    <w:rPr>
                      <w:rFonts w:hint="eastAsia" w:ascii="Calibri" w:hAnsi="Calibri" w:eastAsia="宋体" w:cs="Calibri"/>
                      <w:snapToGrid w:val="0"/>
                      <w:color w:val="auto"/>
                      <w:kern w:val="0"/>
                      <w:sz w:val="21"/>
                      <w:szCs w:val="21"/>
                      <w:highlight w:val="none"/>
                      <w:lang w:eastAsia="zh-CN"/>
                    </w:rPr>
                    <w:t>点位名称</w:t>
                  </w:r>
                </w:p>
              </w:tc>
              <w:tc>
                <w:tcPr>
                  <w:tcW w:w="722" w:type="dxa"/>
                  <w:vMerge w:val="restart"/>
                  <w:noWrap w:val="0"/>
                  <w:vAlign w:val="center"/>
                </w:tcPr>
                <w:p w14:paraId="535D6057">
                  <w:pPr>
                    <w:keepNext w:val="0"/>
                    <w:keepLines w:val="0"/>
                    <w:suppressLineNumbers w:val="0"/>
                    <w:spacing w:before="0" w:beforeAutospacing="0" w:after="0" w:afterAutospacing="0"/>
                    <w:ind w:left="0" w:right="0"/>
                    <w:jc w:val="center"/>
                    <w:rPr>
                      <w:rFonts w:hint="default"/>
                      <w:color w:val="auto"/>
                      <w:kern w:val="0"/>
                      <w:sz w:val="21"/>
                      <w:szCs w:val="21"/>
                      <w:highlight w:val="none"/>
                    </w:rPr>
                  </w:pPr>
                  <w:r>
                    <w:rPr>
                      <w:rFonts w:hint="default"/>
                      <w:color w:val="auto"/>
                      <w:kern w:val="0"/>
                      <w:sz w:val="21"/>
                      <w:szCs w:val="21"/>
                      <w:highlight w:val="none"/>
                    </w:rPr>
                    <w:t>污染物</w:t>
                  </w:r>
                </w:p>
              </w:tc>
              <w:tc>
                <w:tcPr>
                  <w:tcW w:w="1161" w:type="dxa"/>
                  <w:vMerge w:val="restart"/>
                  <w:noWrap w:val="0"/>
                  <w:vAlign w:val="center"/>
                </w:tcPr>
                <w:p w14:paraId="13F08D6C">
                  <w:pPr>
                    <w:keepNext w:val="0"/>
                    <w:keepLines w:val="0"/>
                    <w:suppressLineNumbers w:val="0"/>
                    <w:spacing w:before="0" w:beforeAutospacing="0" w:after="0" w:afterAutospacing="0"/>
                    <w:ind w:left="0" w:right="0"/>
                    <w:jc w:val="center"/>
                    <w:rPr>
                      <w:rFonts w:hint="eastAsia" w:eastAsia="宋体"/>
                      <w:color w:val="auto"/>
                      <w:kern w:val="0"/>
                      <w:sz w:val="21"/>
                      <w:szCs w:val="21"/>
                      <w:highlight w:val="none"/>
                      <w:lang w:eastAsia="zh-CN"/>
                    </w:rPr>
                  </w:pPr>
                  <w:r>
                    <w:rPr>
                      <w:rFonts w:hint="default"/>
                      <w:color w:val="auto"/>
                      <w:kern w:val="0"/>
                      <w:sz w:val="21"/>
                      <w:szCs w:val="21"/>
                      <w:highlight w:val="none"/>
                    </w:rPr>
                    <w:t>评价标准/</w:t>
                  </w:r>
                  <w:r>
                    <w:rPr>
                      <w:rFonts w:hint="eastAsia"/>
                      <w:color w:val="auto"/>
                      <w:kern w:val="0"/>
                      <w:sz w:val="21"/>
                      <w:szCs w:val="21"/>
                      <w:highlight w:val="none"/>
                      <w:lang w:eastAsia="zh-CN"/>
                    </w:rPr>
                    <w:t>（</w:t>
                  </w:r>
                  <w:r>
                    <w:rPr>
                      <w:rFonts w:hint="default"/>
                      <w:color w:val="auto"/>
                      <w:kern w:val="0"/>
                      <w:sz w:val="21"/>
                      <w:szCs w:val="21"/>
                      <w:highlight w:val="none"/>
                    </w:rPr>
                    <w:t>mg/m</w:t>
                  </w:r>
                  <w:r>
                    <w:rPr>
                      <w:rFonts w:hint="default"/>
                      <w:color w:val="auto"/>
                      <w:kern w:val="0"/>
                      <w:sz w:val="21"/>
                      <w:szCs w:val="21"/>
                      <w:highlight w:val="none"/>
                      <w:vertAlign w:val="superscript"/>
                    </w:rPr>
                    <w:t>3</w:t>
                  </w:r>
                  <w:r>
                    <w:rPr>
                      <w:rFonts w:hint="eastAsia"/>
                      <w:color w:val="auto"/>
                      <w:kern w:val="0"/>
                      <w:sz w:val="21"/>
                      <w:szCs w:val="21"/>
                      <w:highlight w:val="none"/>
                      <w:lang w:eastAsia="zh-CN"/>
                    </w:rPr>
                    <w:t>）</w:t>
                  </w:r>
                </w:p>
              </w:tc>
              <w:tc>
                <w:tcPr>
                  <w:tcW w:w="2042" w:type="dxa"/>
                  <w:vMerge w:val="restart"/>
                  <w:noWrap w:val="0"/>
                  <w:vAlign w:val="center"/>
                </w:tcPr>
                <w:p w14:paraId="7404B531">
                  <w:pPr>
                    <w:keepNext w:val="0"/>
                    <w:keepLines w:val="0"/>
                    <w:suppressLineNumbers w:val="0"/>
                    <w:spacing w:before="0" w:beforeAutospacing="0" w:after="0" w:afterAutospacing="0"/>
                    <w:ind w:left="0" w:right="0"/>
                    <w:jc w:val="center"/>
                    <w:rPr>
                      <w:rFonts w:hint="eastAsia" w:eastAsia="宋体"/>
                      <w:color w:val="auto"/>
                      <w:kern w:val="0"/>
                      <w:sz w:val="21"/>
                      <w:szCs w:val="21"/>
                      <w:highlight w:val="none"/>
                      <w:lang w:eastAsia="zh-CN"/>
                    </w:rPr>
                  </w:pPr>
                  <w:r>
                    <w:rPr>
                      <w:rFonts w:hint="default"/>
                      <w:color w:val="auto"/>
                      <w:kern w:val="0"/>
                      <w:sz w:val="21"/>
                      <w:szCs w:val="21"/>
                      <w:highlight w:val="none"/>
                    </w:rPr>
                    <w:t>检测结果（24小时均值）/</w:t>
                  </w:r>
                  <w:r>
                    <w:rPr>
                      <w:rFonts w:hint="eastAsia"/>
                      <w:color w:val="auto"/>
                      <w:kern w:val="0"/>
                      <w:sz w:val="21"/>
                      <w:szCs w:val="21"/>
                      <w:highlight w:val="none"/>
                      <w:lang w:eastAsia="zh-CN"/>
                    </w:rPr>
                    <w:t>（</w:t>
                  </w:r>
                  <w:r>
                    <w:rPr>
                      <w:rFonts w:hint="default"/>
                      <w:color w:val="auto"/>
                      <w:kern w:val="0"/>
                      <w:sz w:val="21"/>
                      <w:szCs w:val="21"/>
                      <w:highlight w:val="none"/>
                    </w:rPr>
                    <w:t>mg/m</w:t>
                  </w:r>
                  <w:r>
                    <w:rPr>
                      <w:rFonts w:hint="default"/>
                      <w:color w:val="auto"/>
                      <w:kern w:val="0"/>
                      <w:sz w:val="21"/>
                      <w:szCs w:val="21"/>
                      <w:highlight w:val="none"/>
                      <w:vertAlign w:val="superscript"/>
                    </w:rPr>
                    <w:t>3</w:t>
                  </w:r>
                  <w:r>
                    <w:rPr>
                      <w:rFonts w:hint="eastAsia"/>
                      <w:color w:val="auto"/>
                      <w:kern w:val="0"/>
                      <w:sz w:val="21"/>
                      <w:szCs w:val="21"/>
                      <w:highlight w:val="none"/>
                      <w:lang w:eastAsia="zh-CN"/>
                    </w:rPr>
                    <w:t>）</w:t>
                  </w:r>
                </w:p>
              </w:tc>
              <w:tc>
                <w:tcPr>
                  <w:tcW w:w="1621" w:type="dxa"/>
                  <w:vMerge w:val="restart"/>
                  <w:noWrap w:val="0"/>
                  <w:vAlign w:val="center"/>
                </w:tcPr>
                <w:p w14:paraId="1E968EF9">
                  <w:pPr>
                    <w:keepNext w:val="0"/>
                    <w:keepLines w:val="0"/>
                    <w:suppressLineNumbers w:val="0"/>
                    <w:spacing w:before="0" w:beforeAutospacing="0" w:after="0" w:afterAutospacing="0"/>
                    <w:ind w:left="0" w:right="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最大占标率</w:t>
                  </w:r>
                  <w:r>
                    <w:rPr>
                      <w:rFonts w:hint="default"/>
                      <w:color w:val="auto"/>
                      <w:kern w:val="0"/>
                      <w:sz w:val="21"/>
                      <w:szCs w:val="21"/>
                      <w:highlight w:val="none"/>
                    </w:rPr>
                    <w:t>/%</w:t>
                  </w:r>
                </w:p>
              </w:tc>
              <w:tc>
                <w:tcPr>
                  <w:tcW w:w="788" w:type="dxa"/>
                  <w:vMerge w:val="restart"/>
                  <w:noWrap w:val="0"/>
                  <w:vAlign w:val="center"/>
                </w:tcPr>
                <w:p w14:paraId="353BA584">
                  <w:pPr>
                    <w:keepNext w:val="0"/>
                    <w:keepLines w:val="0"/>
                    <w:suppressLineNumbers w:val="0"/>
                    <w:spacing w:before="0" w:beforeAutospacing="0" w:after="0" w:afterAutospacing="0"/>
                    <w:ind w:left="0" w:right="0"/>
                    <w:jc w:val="center"/>
                    <w:rPr>
                      <w:rFonts w:hint="default"/>
                      <w:color w:val="auto"/>
                      <w:kern w:val="0"/>
                      <w:sz w:val="21"/>
                      <w:szCs w:val="21"/>
                      <w:highlight w:val="none"/>
                    </w:rPr>
                  </w:pPr>
                  <w:r>
                    <w:rPr>
                      <w:rFonts w:hint="default"/>
                      <w:color w:val="auto"/>
                      <w:kern w:val="0"/>
                      <w:sz w:val="21"/>
                      <w:szCs w:val="21"/>
                      <w:highlight w:val="none"/>
                    </w:rPr>
                    <w:t>超标率/%</w:t>
                  </w:r>
                </w:p>
              </w:tc>
              <w:tc>
                <w:tcPr>
                  <w:tcW w:w="764" w:type="dxa"/>
                  <w:vMerge w:val="restart"/>
                  <w:noWrap w:val="0"/>
                  <w:vAlign w:val="center"/>
                </w:tcPr>
                <w:p w14:paraId="457525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达标情况</w:t>
                  </w:r>
                </w:p>
              </w:tc>
            </w:tr>
            <w:tr w14:paraId="2999C2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876" w:type="dxa"/>
                  <w:vMerge w:val="continue"/>
                  <w:noWrap w:val="0"/>
                  <w:vAlign w:val="center"/>
                </w:tcPr>
                <w:p w14:paraId="57317BFA">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722" w:type="dxa"/>
                  <w:vMerge w:val="continue"/>
                  <w:noWrap w:val="0"/>
                  <w:vAlign w:val="center"/>
                </w:tcPr>
                <w:p w14:paraId="4803A511">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1161" w:type="dxa"/>
                  <w:vMerge w:val="continue"/>
                  <w:noWrap w:val="0"/>
                  <w:vAlign w:val="center"/>
                </w:tcPr>
                <w:p w14:paraId="63D56637">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2042" w:type="dxa"/>
                  <w:vMerge w:val="continue"/>
                  <w:noWrap w:val="0"/>
                  <w:vAlign w:val="center"/>
                </w:tcPr>
                <w:p w14:paraId="7801C8FC">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1621" w:type="dxa"/>
                  <w:vMerge w:val="continue"/>
                  <w:noWrap w:val="0"/>
                  <w:vAlign w:val="center"/>
                </w:tcPr>
                <w:p w14:paraId="25A1F5EE">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788" w:type="dxa"/>
                  <w:vMerge w:val="continue"/>
                  <w:noWrap w:val="0"/>
                  <w:vAlign w:val="center"/>
                </w:tcPr>
                <w:p w14:paraId="3AA37389">
                  <w:pPr>
                    <w:keepNext w:val="0"/>
                    <w:keepLines w:val="0"/>
                    <w:widowControl/>
                    <w:suppressLineNumbers w:val="0"/>
                    <w:spacing w:before="0" w:beforeAutospacing="0" w:after="0" w:afterAutospacing="0"/>
                    <w:ind w:left="0" w:right="0"/>
                    <w:jc w:val="center"/>
                    <w:rPr>
                      <w:rFonts w:hint="default"/>
                      <w:color w:val="auto"/>
                      <w:kern w:val="0"/>
                      <w:sz w:val="21"/>
                      <w:szCs w:val="21"/>
                      <w:highlight w:val="none"/>
                    </w:rPr>
                  </w:pPr>
                </w:p>
              </w:tc>
              <w:tc>
                <w:tcPr>
                  <w:tcW w:w="764" w:type="dxa"/>
                  <w:vMerge w:val="continue"/>
                  <w:noWrap w:val="0"/>
                  <w:vAlign w:val="center"/>
                </w:tcPr>
                <w:p w14:paraId="2C9199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DA198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876" w:type="dxa"/>
                  <w:noWrap w:val="0"/>
                  <w:vAlign w:val="center"/>
                </w:tcPr>
                <w:p w14:paraId="63AF1081">
                  <w:pPr>
                    <w:keepNext w:val="0"/>
                    <w:keepLines w:val="0"/>
                    <w:suppressLineNumbers w:val="0"/>
                    <w:spacing w:before="0" w:beforeAutospacing="0" w:after="0" w:afterAutospacing="0"/>
                    <w:ind w:left="0" w:right="0"/>
                    <w:jc w:val="center"/>
                    <w:rPr>
                      <w:rFonts w:hint="default"/>
                      <w:color w:val="auto"/>
                      <w:sz w:val="21"/>
                      <w:szCs w:val="21"/>
                      <w:highlight w:val="none"/>
                    </w:rPr>
                  </w:pPr>
                  <w:r>
                    <w:rPr>
                      <w:rFonts w:hint="default" w:ascii="Times New Roman" w:hAnsi="Times New Roman" w:eastAsia="宋体" w:cs="Times New Roman"/>
                      <w:color w:val="auto"/>
                      <w:sz w:val="21"/>
                      <w:szCs w:val="21"/>
                      <w:highlight w:val="none"/>
                    </w:rPr>
                    <w:t>厂址下风向</w:t>
                  </w:r>
                </w:p>
              </w:tc>
              <w:tc>
                <w:tcPr>
                  <w:tcW w:w="722" w:type="dxa"/>
                  <w:noWrap w:val="0"/>
                  <w:vAlign w:val="center"/>
                </w:tcPr>
                <w:p w14:paraId="54D4DEF5">
                  <w:pPr>
                    <w:keepNext w:val="0"/>
                    <w:keepLines w:val="0"/>
                    <w:suppressLineNumbers w:val="0"/>
                    <w:spacing w:before="0" w:beforeAutospacing="0" w:after="0" w:afterAutospacing="0"/>
                    <w:ind w:left="0" w:right="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TSP</w:t>
                  </w:r>
                </w:p>
              </w:tc>
              <w:tc>
                <w:tcPr>
                  <w:tcW w:w="1161" w:type="dxa"/>
                  <w:noWrap w:val="0"/>
                  <w:vAlign w:val="center"/>
                </w:tcPr>
                <w:p w14:paraId="50B6383F">
                  <w:pPr>
                    <w:keepNext w:val="0"/>
                    <w:keepLines w:val="0"/>
                    <w:suppressLineNumbers w:val="0"/>
                    <w:spacing w:before="0" w:beforeAutospacing="0" w:after="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0.3</w:t>
                  </w:r>
                </w:p>
              </w:tc>
              <w:tc>
                <w:tcPr>
                  <w:tcW w:w="2042" w:type="dxa"/>
                  <w:noWrap w:val="0"/>
                  <w:vAlign w:val="center"/>
                </w:tcPr>
                <w:p w14:paraId="1FB6BFF2">
                  <w:pPr>
                    <w:keepNext w:val="0"/>
                    <w:keepLines w:val="0"/>
                    <w:suppressLineNumbers w:val="0"/>
                    <w:spacing w:before="0" w:beforeAutospacing="0" w:after="0" w:afterAutospacing="0"/>
                    <w:ind w:left="0" w:right="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0.110-0.113</w:t>
                  </w:r>
                </w:p>
              </w:tc>
              <w:tc>
                <w:tcPr>
                  <w:tcW w:w="1621" w:type="dxa"/>
                  <w:noWrap w:val="0"/>
                  <w:vAlign w:val="center"/>
                </w:tcPr>
                <w:p w14:paraId="43E6CAFB">
                  <w:pPr>
                    <w:keepNext w:val="0"/>
                    <w:keepLines w:val="0"/>
                    <w:suppressLineNumbers w:val="0"/>
                    <w:spacing w:before="0" w:beforeAutospacing="0" w:after="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37.7</w:t>
                  </w:r>
                </w:p>
              </w:tc>
              <w:tc>
                <w:tcPr>
                  <w:tcW w:w="788" w:type="dxa"/>
                  <w:noWrap w:val="0"/>
                  <w:vAlign w:val="center"/>
                </w:tcPr>
                <w:p w14:paraId="246E7812">
                  <w:pPr>
                    <w:keepNext w:val="0"/>
                    <w:keepLines w:val="0"/>
                    <w:suppressLineNumbers w:val="0"/>
                    <w:spacing w:before="0" w:beforeAutospacing="0" w:after="0" w:afterAutospacing="0"/>
                    <w:ind w:left="0" w:right="0"/>
                    <w:jc w:val="center"/>
                    <w:rPr>
                      <w:rFonts w:hint="default"/>
                      <w:color w:val="auto"/>
                      <w:kern w:val="0"/>
                      <w:sz w:val="21"/>
                      <w:szCs w:val="21"/>
                      <w:highlight w:val="none"/>
                    </w:rPr>
                  </w:pPr>
                  <w:r>
                    <w:rPr>
                      <w:rFonts w:hint="default"/>
                      <w:color w:val="auto"/>
                      <w:kern w:val="0"/>
                      <w:sz w:val="21"/>
                      <w:szCs w:val="21"/>
                      <w:highlight w:val="none"/>
                    </w:rPr>
                    <w:t>/</w:t>
                  </w:r>
                </w:p>
              </w:tc>
              <w:tc>
                <w:tcPr>
                  <w:tcW w:w="764" w:type="dxa"/>
                  <w:noWrap w:val="0"/>
                  <w:vAlign w:val="center"/>
                </w:tcPr>
                <w:p w14:paraId="53CE74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2704C720">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Cs/>
                <w:color w:val="auto"/>
                <w:sz w:val="24"/>
                <w:highlight w:val="none"/>
                <w:lang w:eastAsia="zh-CN"/>
              </w:rPr>
            </w:pPr>
            <w:r>
              <w:rPr>
                <w:rFonts w:hint="eastAsia" w:ascii="Times New Roman" w:hAnsi="Times New Roman" w:eastAsia="宋体" w:cs="Times New Roman"/>
                <w:color w:val="auto"/>
                <w:kern w:val="2"/>
                <w:sz w:val="24"/>
                <w:szCs w:val="24"/>
                <w:highlight w:val="none"/>
                <w:lang w:val="en-US" w:eastAsia="zh-CN" w:bidi="ar-SA"/>
              </w:rPr>
              <w:t>由表3-3可知，TSP最大浓度占标率小于1，满足《环境空气质量标准》（GB3095-2026）表2中二级标准要求</w:t>
            </w:r>
            <w:r>
              <w:rPr>
                <w:rFonts w:hint="eastAsia" w:cs="Times New Roman"/>
                <w:color w:val="auto"/>
                <w:sz w:val="24"/>
                <w:highlight w:val="none"/>
                <w:lang w:eastAsia="zh-CN"/>
              </w:rPr>
              <w:t>。</w:t>
            </w:r>
          </w:p>
          <w:p w14:paraId="710D1E3D">
            <w:pPr>
              <w:keepNext w:val="0"/>
              <w:keepLines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2、地表水环境</w:t>
            </w:r>
          </w:p>
          <w:p w14:paraId="4E705CEC">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highlight w:val="none"/>
                <w:lang w:val="en-US" w:eastAsia="zh-CN"/>
              </w:rPr>
            </w:pPr>
            <w:r>
              <w:rPr>
                <w:rFonts w:hint="eastAsia" w:ascii="Times New Roman" w:hAnsi="Times New Roman" w:eastAsia="宋体" w:cs="Times New Roman"/>
                <w:bCs/>
                <w:color w:val="auto"/>
                <w:kern w:val="0"/>
                <w:sz w:val="24"/>
                <w:highlight w:val="none"/>
                <w:lang w:val="en-US" w:eastAsia="zh-CN"/>
              </w:rPr>
              <w:t>根据《</w:t>
            </w:r>
            <w:r>
              <w:rPr>
                <w:rFonts w:hint="default" w:ascii="Times New Roman" w:hAnsi="Times New Roman" w:eastAsia="宋体" w:cs="Times New Roman"/>
                <w:bCs/>
                <w:color w:val="auto"/>
                <w:kern w:val="0"/>
                <w:sz w:val="24"/>
                <w:highlight w:val="none"/>
                <w:lang w:val="en-US" w:eastAsia="zh-CN"/>
              </w:rPr>
              <w:t>2025</w:t>
            </w:r>
            <w:r>
              <w:rPr>
                <w:rFonts w:hint="eastAsia" w:ascii="Times New Roman" w:hAnsi="Times New Roman" w:eastAsia="宋体" w:cs="Times New Roman"/>
                <w:bCs/>
                <w:color w:val="auto"/>
                <w:kern w:val="0"/>
                <w:sz w:val="24"/>
                <w:highlight w:val="none"/>
                <w:lang w:val="en-US" w:eastAsia="zh-CN"/>
              </w:rPr>
              <w:t>年黑龙江省生态环境质量状况》可知，鸡西市参与国家考核计算的断面共</w:t>
            </w:r>
            <w:r>
              <w:rPr>
                <w:rFonts w:hint="default" w:ascii="Times New Roman" w:hAnsi="Times New Roman" w:eastAsia="宋体" w:cs="Times New Roman"/>
                <w:bCs/>
                <w:color w:val="auto"/>
                <w:kern w:val="0"/>
                <w:sz w:val="24"/>
                <w:highlight w:val="none"/>
                <w:lang w:val="en-US" w:eastAsia="zh-CN"/>
              </w:rPr>
              <w:t>8</w:t>
            </w:r>
            <w:r>
              <w:rPr>
                <w:rFonts w:hint="eastAsia" w:ascii="Times New Roman" w:hAnsi="Times New Roman" w:eastAsia="宋体" w:cs="Times New Roman"/>
                <w:bCs/>
                <w:color w:val="auto"/>
                <w:kern w:val="0"/>
                <w:sz w:val="24"/>
                <w:highlight w:val="none"/>
                <w:lang w:val="en-US" w:eastAsia="zh-CN"/>
              </w:rPr>
              <w:t>个，Ⅰ</w:t>
            </w:r>
            <w:r>
              <w:rPr>
                <w:rFonts w:hint="default" w:ascii="Times New Roman" w:hAnsi="Times New Roman" w:eastAsia="宋体" w:cs="Times New Roman"/>
                <w:bCs/>
                <w:color w:val="auto"/>
                <w:kern w:val="0"/>
                <w:sz w:val="24"/>
                <w:highlight w:val="none"/>
                <w:lang w:val="en-US" w:eastAsia="zh-CN"/>
              </w:rPr>
              <w:t>~</w:t>
            </w:r>
            <w:r>
              <w:rPr>
                <w:rFonts w:hint="eastAsia" w:ascii="Times New Roman" w:hAnsi="Times New Roman" w:eastAsia="宋体" w:cs="Times New Roman"/>
                <w:bCs/>
                <w:color w:val="auto"/>
                <w:kern w:val="0"/>
                <w:sz w:val="24"/>
                <w:highlight w:val="none"/>
                <w:lang w:val="en-US" w:eastAsia="zh-CN"/>
              </w:rPr>
              <w:t>Ⅲ类水质比例为</w:t>
            </w:r>
            <w:r>
              <w:rPr>
                <w:rFonts w:hint="default" w:ascii="Times New Roman" w:hAnsi="Times New Roman" w:eastAsia="宋体" w:cs="Times New Roman"/>
                <w:bCs/>
                <w:color w:val="auto"/>
                <w:kern w:val="0"/>
                <w:sz w:val="24"/>
                <w:highlight w:val="none"/>
                <w:lang w:val="en-US" w:eastAsia="zh-CN"/>
              </w:rPr>
              <w:t>75.0%</w:t>
            </w:r>
            <w:r>
              <w:rPr>
                <w:rFonts w:hint="eastAsia" w:ascii="Times New Roman" w:hAnsi="Times New Roman" w:eastAsia="宋体" w:cs="Times New Roman"/>
                <w:bCs/>
                <w:color w:val="auto"/>
                <w:kern w:val="0"/>
                <w:sz w:val="24"/>
                <w:highlight w:val="none"/>
                <w:lang w:val="en-US" w:eastAsia="zh-CN"/>
              </w:rPr>
              <w:t>，无劣</w:t>
            </w:r>
            <w:r>
              <w:rPr>
                <w:rFonts w:hint="default" w:ascii="Times New Roman" w:hAnsi="Times New Roman" w:eastAsia="宋体" w:cs="Times New Roman"/>
                <w:bCs/>
                <w:color w:val="auto"/>
                <w:kern w:val="0"/>
                <w:sz w:val="24"/>
                <w:highlight w:val="none"/>
                <w:lang w:val="en-US" w:eastAsia="zh-CN"/>
              </w:rPr>
              <w:t>V</w:t>
            </w:r>
            <w:r>
              <w:rPr>
                <w:rFonts w:hint="eastAsia" w:ascii="Times New Roman" w:hAnsi="Times New Roman" w:eastAsia="宋体" w:cs="Times New Roman"/>
                <w:bCs/>
                <w:color w:val="auto"/>
                <w:kern w:val="0"/>
                <w:sz w:val="24"/>
                <w:highlight w:val="none"/>
                <w:lang w:val="en-US" w:eastAsia="zh-CN"/>
              </w:rPr>
              <w:t>类水质断面。与上年同期相比，Ⅰ</w:t>
            </w:r>
            <w:r>
              <w:rPr>
                <w:rFonts w:hint="default" w:ascii="Times New Roman" w:hAnsi="Times New Roman" w:eastAsia="宋体" w:cs="Times New Roman"/>
                <w:bCs/>
                <w:color w:val="auto"/>
                <w:kern w:val="0"/>
                <w:sz w:val="24"/>
                <w:highlight w:val="none"/>
                <w:lang w:val="en-US" w:eastAsia="zh-CN"/>
              </w:rPr>
              <w:t>~</w:t>
            </w:r>
            <w:r>
              <w:rPr>
                <w:rFonts w:hint="eastAsia" w:ascii="Times New Roman" w:hAnsi="Times New Roman" w:eastAsia="宋体" w:cs="Times New Roman"/>
                <w:bCs/>
                <w:color w:val="auto"/>
                <w:kern w:val="0"/>
                <w:sz w:val="24"/>
                <w:highlight w:val="none"/>
                <w:lang w:val="en-US" w:eastAsia="zh-CN"/>
              </w:rPr>
              <w:t>Ⅲ类水质比例保持不变，均无劣</w:t>
            </w:r>
            <w:r>
              <w:rPr>
                <w:rFonts w:hint="default" w:ascii="Times New Roman" w:hAnsi="Times New Roman" w:eastAsia="宋体" w:cs="Times New Roman"/>
                <w:bCs/>
                <w:color w:val="auto"/>
                <w:kern w:val="0"/>
                <w:sz w:val="24"/>
                <w:highlight w:val="none"/>
                <w:lang w:val="en-US" w:eastAsia="zh-CN"/>
              </w:rPr>
              <w:t>V</w:t>
            </w:r>
            <w:r>
              <w:rPr>
                <w:rFonts w:hint="eastAsia" w:ascii="Times New Roman" w:hAnsi="Times New Roman" w:eastAsia="宋体" w:cs="Times New Roman"/>
                <w:bCs/>
                <w:color w:val="auto"/>
                <w:kern w:val="0"/>
                <w:sz w:val="24"/>
                <w:highlight w:val="none"/>
                <w:lang w:val="en-US" w:eastAsia="zh-CN"/>
              </w:rPr>
              <w:t>类水质断面。兴凯湖和小兴凯湖水质状况均为轻度污染。</w:t>
            </w:r>
          </w:p>
          <w:p w14:paraId="5BE9997A">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highlight w:val="none"/>
                <w:lang w:val="en-US"/>
              </w:rPr>
            </w:pPr>
            <w:r>
              <w:rPr>
                <w:rFonts w:hint="default" w:ascii="Times New Roman" w:hAnsi="Times New Roman" w:eastAsia="宋体" w:cs="Times New Roman"/>
                <w:bCs/>
                <w:color w:val="auto"/>
                <w:kern w:val="0"/>
                <w:sz w:val="24"/>
                <w:highlight w:val="none"/>
                <w:lang w:val="en-US" w:eastAsia="zh-CN"/>
              </w:rPr>
              <w:t>本项目所在区域地表水为穆棱河，所在断面为鸡东大桥至穆棱河河口断面，根据《水利部国家发展和改革委员会环境保护部关于印发全国重要江河湖泊水功能区划（2011-2030年）的通知》穆棱河水体功能类别为III类水体，执行《地表水环境质量标准》（GB3838-2002）中III类标准。</w:t>
            </w:r>
          </w:p>
          <w:p w14:paraId="5AD8529A">
            <w:pPr>
              <w:keepNext w:val="0"/>
              <w:keepLines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3、声环境</w:t>
            </w:r>
          </w:p>
          <w:p w14:paraId="7E8D4548">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highlight w:val="none"/>
                <w:lang w:val="en-US" w:eastAsia="zh-CN"/>
              </w:rPr>
            </w:pPr>
            <w:r>
              <w:rPr>
                <w:rFonts w:hint="default" w:ascii="Times New Roman" w:hAnsi="Times New Roman" w:eastAsia="宋体" w:cs="Times New Roman"/>
                <w:bCs/>
                <w:color w:val="auto"/>
                <w:kern w:val="0"/>
                <w:sz w:val="24"/>
                <w:highlight w:val="none"/>
                <w:lang w:val="en-US" w:eastAsia="zh-CN"/>
              </w:rPr>
              <w:t>根据《2025年黑龙江省生态环境质量状况》数据可知，鸡西市区域昼间声环境质量为二级，等效声级为53.2dB（A）；道路交通昼间声环境质量为一级，等效声级为64.7dB（A）；功能区昼间达标率87.7%，功能区夜间达标率97.6%。</w:t>
            </w:r>
          </w:p>
          <w:p w14:paraId="656BEB73">
            <w:pPr>
              <w:keepNext w:val="0"/>
              <w:keepLines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4、生态环境</w:t>
            </w:r>
          </w:p>
          <w:p w14:paraId="30EEEAA8">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Cs/>
                <w:color w:val="auto"/>
                <w:kern w:val="0"/>
                <w:sz w:val="24"/>
                <w:highlight w:val="none"/>
                <w:lang w:val="en-US" w:eastAsia="zh-CN"/>
              </w:rPr>
            </w:pPr>
            <w:r>
              <w:rPr>
                <w:rFonts w:hint="default" w:ascii="Times New Roman" w:hAnsi="Times New Roman" w:eastAsia="宋体" w:cs="Times New Roman"/>
                <w:bCs/>
                <w:color w:val="auto"/>
                <w:kern w:val="0"/>
                <w:sz w:val="24"/>
                <w:highlight w:val="none"/>
                <w:lang w:val="en-US" w:eastAsia="zh-CN"/>
              </w:rPr>
              <w:t>本项目用地范围无生态环境保护目标，故不需进行生态现状调查。</w:t>
            </w:r>
          </w:p>
          <w:p w14:paraId="4EEEA400">
            <w:pPr>
              <w:keepNext w:val="0"/>
              <w:keepLines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5、地下水、土壤环境</w:t>
            </w:r>
          </w:p>
          <w:p w14:paraId="441690A2">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Cs/>
                <w:color w:val="auto"/>
                <w:kern w:val="0"/>
                <w:sz w:val="24"/>
                <w:highlight w:val="none"/>
                <w:lang w:val="en-US" w:eastAsia="zh-CN"/>
              </w:rPr>
              <w:t>根据《建设项目环境影响报告表编制技术指南（污染影响类）（试行）环办环评[2020]33号（1）》中要求土壤环境原则上不开展环境质量现状调查。建设项目存在土壤环境污染途径的，应结合污染源、保护目标分布情况开展现状调查以留作背景值。本项目周边无地下水环境保护目标，不存在地下水污染途径，因此不开展地下水环境质量现状调查。本项目不存在土壤环境污染途径，无土壤环境保护目标，因此不开展土壤环境质量现状调查。</w:t>
            </w:r>
          </w:p>
        </w:tc>
      </w:tr>
      <w:tr w14:paraId="40322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00" w:type="dxa"/>
            <w:vAlign w:val="center"/>
          </w:tcPr>
          <w:p w14:paraId="26B3F2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w:t>
            </w:r>
          </w:p>
          <w:p w14:paraId="0FEF4B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保护</w:t>
            </w:r>
          </w:p>
          <w:p w14:paraId="5C34A80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目标</w:t>
            </w:r>
          </w:p>
        </w:tc>
        <w:tc>
          <w:tcPr>
            <w:tcW w:w="8190" w:type="dxa"/>
            <w:vAlign w:val="center"/>
          </w:tcPr>
          <w:p w14:paraId="4193E4DB">
            <w:pPr>
              <w:keepNext w:val="0"/>
              <w:keepLines w:val="0"/>
              <w:suppressLineNumbers w:val="0"/>
              <w:adjustRightInd w:val="0"/>
              <w:snapToGrid w:val="0"/>
              <w:spacing w:before="0" w:beforeAutospacing="0" w:after="0" w:afterAutospacing="0" w:line="360" w:lineRule="auto"/>
              <w:ind w:left="0" w:right="0" w:firstLine="482" w:firstLineChars="200"/>
              <w:rPr>
                <w:rFonts w:hint="eastAsia" w:ascii="Times New Roman" w:hAnsi="Times New Roman" w:eastAsia="宋体" w:cs="Times New Roman"/>
                <w:b/>
                <w:color w:val="auto"/>
                <w:sz w:val="24"/>
                <w:highlight w:val="none"/>
                <w:lang w:eastAsia="zh-CN"/>
              </w:rPr>
            </w:pPr>
            <w:r>
              <w:rPr>
                <w:rFonts w:hint="default" w:ascii="Times New Roman" w:hAnsi="Times New Roman" w:eastAsia="宋体" w:cs="Times New Roman"/>
                <w:b/>
                <w:color w:val="auto"/>
                <w:sz w:val="24"/>
                <w:highlight w:val="none"/>
              </w:rPr>
              <w:t>1、大气环境保护目标</w:t>
            </w:r>
          </w:p>
          <w:p w14:paraId="5F83412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本项目大气环境保护目标见下表</w:t>
            </w:r>
            <w:r>
              <w:rPr>
                <w:rFonts w:hint="default" w:ascii="Times New Roman" w:hAnsi="Times New Roman" w:eastAsia="宋体" w:cs="Times New Roman"/>
                <w:color w:val="auto"/>
                <w:highlight w:val="none"/>
              </w:rPr>
              <w:t>。</w:t>
            </w:r>
          </w:p>
          <w:p w14:paraId="3C913C1A">
            <w:pPr>
              <w:keepNext w:val="0"/>
              <w:keepLines w:val="0"/>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表3-</w:t>
            </w:r>
            <w:r>
              <w:rPr>
                <w:rFonts w:hint="eastAsia" w:cs="Times New Roman"/>
                <w:b/>
                <w:bCs/>
                <w:color w:val="auto"/>
                <w:highlight w:val="none"/>
                <w:lang w:val="en-US" w:eastAsia="zh-CN"/>
              </w:rPr>
              <w:t>4</w:t>
            </w:r>
            <w:r>
              <w:rPr>
                <w:rFonts w:hint="default" w:ascii="Times New Roman" w:hAnsi="Times New Roman" w:eastAsia="宋体" w:cs="Times New Roman"/>
                <w:b/>
                <w:bCs/>
                <w:color w:val="auto"/>
                <w:highlight w:val="none"/>
              </w:rPr>
              <w:t>大气环境保护目标</w:t>
            </w:r>
          </w:p>
          <w:tbl>
            <w:tblPr>
              <w:tblStyle w:val="33"/>
              <w:tblW w:w="503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0"/>
              <w:gridCol w:w="933"/>
              <w:gridCol w:w="1580"/>
              <w:gridCol w:w="1376"/>
              <w:gridCol w:w="729"/>
              <w:gridCol w:w="729"/>
              <w:gridCol w:w="720"/>
              <w:gridCol w:w="1315"/>
            </w:tblGrid>
            <w:tr w14:paraId="501D6D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04" w:type="pct"/>
                  <w:vMerge w:val="restart"/>
                  <w:noWrap w:val="0"/>
                  <w:vAlign w:val="center"/>
                </w:tcPr>
                <w:p w14:paraId="0F6F20AF">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环境要素</w:t>
                  </w:r>
                </w:p>
              </w:tc>
              <w:tc>
                <w:tcPr>
                  <w:tcW w:w="580" w:type="pct"/>
                  <w:vMerge w:val="restart"/>
                  <w:noWrap w:val="0"/>
                  <w:vAlign w:val="center"/>
                </w:tcPr>
                <w:p w14:paraId="452A01D3">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环境保护目标名称</w:t>
                  </w:r>
                </w:p>
              </w:tc>
              <w:tc>
                <w:tcPr>
                  <w:tcW w:w="1840" w:type="pct"/>
                  <w:gridSpan w:val="2"/>
                  <w:noWrap w:val="0"/>
                  <w:vAlign w:val="center"/>
                </w:tcPr>
                <w:p w14:paraId="12F10CF4">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坐标（</w:t>
                  </w:r>
                  <w:r>
                    <w:rPr>
                      <w:rFonts w:hint="default" w:ascii="Times New Roman" w:hAnsi="Times New Roman" w:cs="Times New Roman"/>
                      <w:color w:val="auto"/>
                      <w:sz w:val="21"/>
                      <w:szCs w:val="21"/>
                      <w:highlight w:val="none"/>
                      <w:vertAlign w:val="superscript"/>
                    </w:rPr>
                    <w:t>○</w:t>
                  </w:r>
                  <w:r>
                    <w:rPr>
                      <w:rFonts w:hint="default" w:ascii="Times New Roman" w:hAnsi="Times New Roman" w:cs="Times New Roman"/>
                      <w:color w:val="auto"/>
                      <w:sz w:val="21"/>
                      <w:szCs w:val="21"/>
                      <w:highlight w:val="none"/>
                    </w:rPr>
                    <w:t>）</w:t>
                  </w:r>
                </w:p>
              </w:tc>
              <w:tc>
                <w:tcPr>
                  <w:tcW w:w="453" w:type="pct"/>
                  <w:vMerge w:val="restart"/>
                  <w:noWrap w:val="0"/>
                  <w:vAlign w:val="center"/>
                </w:tcPr>
                <w:p w14:paraId="74B4C8F0">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相对厂址方位</w:t>
                  </w:r>
                </w:p>
              </w:tc>
              <w:tc>
                <w:tcPr>
                  <w:tcW w:w="453" w:type="pct"/>
                  <w:vMerge w:val="restart"/>
                  <w:noWrap w:val="0"/>
                  <w:vAlign w:val="center"/>
                </w:tcPr>
                <w:p w14:paraId="428E14F8">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保护</w:t>
                  </w:r>
                </w:p>
                <w:p w14:paraId="68B96874">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对象</w:t>
                  </w:r>
                </w:p>
              </w:tc>
              <w:tc>
                <w:tcPr>
                  <w:tcW w:w="448" w:type="pct"/>
                  <w:vMerge w:val="restart"/>
                  <w:noWrap w:val="0"/>
                  <w:vAlign w:val="center"/>
                </w:tcPr>
                <w:p w14:paraId="641EF60A">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厂界距离/m</w:t>
                  </w:r>
                </w:p>
              </w:tc>
              <w:tc>
                <w:tcPr>
                  <w:tcW w:w="818" w:type="pct"/>
                  <w:vMerge w:val="restart"/>
                  <w:noWrap w:val="0"/>
                  <w:vAlign w:val="center"/>
                </w:tcPr>
                <w:p w14:paraId="0445575C">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环境功能区/</w:t>
                  </w:r>
                </w:p>
                <w:p w14:paraId="1F62F1BA">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质量标准</w:t>
                  </w:r>
                </w:p>
              </w:tc>
            </w:tr>
            <w:tr w14:paraId="6F0E6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04" w:type="pct"/>
                  <w:vMerge w:val="continue"/>
                  <w:noWrap w:val="0"/>
                  <w:vAlign w:val="center"/>
                </w:tcPr>
                <w:p w14:paraId="3826D306">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c>
                <w:tcPr>
                  <w:tcW w:w="580" w:type="pct"/>
                  <w:vMerge w:val="continue"/>
                  <w:noWrap w:val="0"/>
                  <w:vAlign w:val="center"/>
                </w:tcPr>
                <w:p w14:paraId="69D33C3D">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c>
                <w:tcPr>
                  <w:tcW w:w="983" w:type="pct"/>
                  <w:noWrap w:val="0"/>
                  <w:vAlign w:val="center"/>
                </w:tcPr>
                <w:p w14:paraId="15FB9E9E">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经度</w:t>
                  </w:r>
                </w:p>
              </w:tc>
              <w:tc>
                <w:tcPr>
                  <w:tcW w:w="856" w:type="pct"/>
                  <w:noWrap w:val="0"/>
                  <w:vAlign w:val="center"/>
                </w:tcPr>
                <w:p w14:paraId="1C661752">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纬度</w:t>
                  </w:r>
                </w:p>
              </w:tc>
              <w:tc>
                <w:tcPr>
                  <w:tcW w:w="453" w:type="pct"/>
                  <w:vMerge w:val="continue"/>
                  <w:noWrap w:val="0"/>
                  <w:vAlign w:val="center"/>
                </w:tcPr>
                <w:p w14:paraId="3DE284C0">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c>
                <w:tcPr>
                  <w:tcW w:w="453" w:type="pct"/>
                  <w:vMerge w:val="continue"/>
                  <w:noWrap w:val="0"/>
                  <w:vAlign w:val="center"/>
                </w:tcPr>
                <w:p w14:paraId="789A775C">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c>
                <w:tcPr>
                  <w:tcW w:w="448" w:type="pct"/>
                  <w:vMerge w:val="continue"/>
                  <w:noWrap w:val="0"/>
                  <w:vAlign w:val="center"/>
                </w:tcPr>
                <w:p w14:paraId="1D219EBE">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c>
                <w:tcPr>
                  <w:tcW w:w="818" w:type="pct"/>
                  <w:vMerge w:val="continue"/>
                  <w:noWrap w:val="0"/>
                  <w:vAlign w:val="center"/>
                </w:tcPr>
                <w:p w14:paraId="7DF88211">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1"/>
                      <w:szCs w:val="21"/>
                      <w:highlight w:val="none"/>
                    </w:rPr>
                  </w:pPr>
                </w:p>
              </w:tc>
            </w:tr>
            <w:tr w14:paraId="422527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04" w:type="pct"/>
                  <w:noWrap w:val="0"/>
                  <w:vAlign w:val="center"/>
                </w:tcPr>
                <w:p w14:paraId="65F8267F">
                  <w:pPr>
                    <w:keepNext w:val="0"/>
                    <w:keepLines w:val="0"/>
                    <w:suppressLineNumbers w:val="0"/>
                    <w:adjustRightInd w:val="0"/>
                    <w:snapToGrid w:val="0"/>
                    <w:spacing w:before="0" w:beforeAutospacing="0" w:after="0" w:afterAutospacing="0"/>
                    <w:ind w:left="0" w:right="0"/>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大气环境</w:t>
                  </w:r>
                </w:p>
              </w:tc>
              <w:tc>
                <w:tcPr>
                  <w:tcW w:w="580" w:type="pct"/>
                  <w:noWrap w:val="0"/>
                  <w:vAlign w:val="center"/>
                </w:tcPr>
                <w:p w14:paraId="6E3DE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八五零农场</w:t>
                  </w:r>
                  <w:r>
                    <w:rPr>
                      <w:rFonts w:hint="eastAsia" w:ascii="Times New Roman" w:hAnsi="Times New Roman" w:eastAsia="宋体" w:cs="Times New Roman"/>
                      <w:color w:val="auto"/>
                      <w:sz w:val="21"/>
                      <w:szCs w:val="21"/>
                      <w:highlight w:val="none"/>
                      <w:lang w:eastAsia="zh-CN"/>
                    </w:rPr>
                    <w:t>居民</w:t>
                  </w:r>
                </w:p>
              </w:tc>
              <w:tc>
                <w:tcPr>
                  <w:tcW w:w="1580" w:type="dxa"/>
                  <w:noWrap w:val="0"/>
                  <w:vAlign w:val="center"/>
                </w:tcPr>
                <w:p w14:paraId="5C0493C4">
                  <w:pPr>
                    <w:keepNext w:val="0"/>
                    <w:keepLines w:val="0"/>
                    <w:suppressLineNumbers w:val="0"/>
                    <w:spacing w:before="0" w:beforeAutospacing="0" w:after="0" w:afterAutospacing="0" w:line="320" w:lineRule="atLeas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eastAsia="仿宋" w:cs="Times New Roman"/>
                      <w:color w:val="auto"/>
                      <w:szCs w:val="21"/>
                      <w:highlight w:val="none"/>
                      <w:lang w:val="en-US" w:eastAsia="zh-CN"/>
                    </w:rPr>
                    <w:t>128.59835412</w:t>
                  </w:r>
                </w:p>
              </w:tc>
              <w:tc>
                <w:tcPr>
                  <w:tcW w:w="1376" w:type="dxa"/>
                  <w:noWrap w:val="0"/>
                  <w:vAlign w:val="center"/>
                </w:tcPr>
                <w:p w14:paraId="1464DD34">
                  <w:pPr>
                    <w:keepNext w:val="0"/>
                    <w:keepLines w:val="0"/>
                    <w:suppressLineNumbers w:val="0"/>
                    <w:spacing w:before="0" w:beforeAutospacing="0" w:after="0" w:afterAutospacing="0" w:line="320" w:lineRule="atLeas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eastAsia="仿宋" w:cs="Times New Roman"/>
                      <w:color w:val="auto"/>
                      <w:szCs w:val="21"/>
                      <w:highlight w:val="none"/>
                      <w:lang w:val="en-US" w:eastAsia="zh-CN"/>
                    </w:rPr>
                    <w:t>44.92749971</w:t>
                  </w:r>
                </w:p>
              </w:tc>
              <w:tc>
                <w:tcPr>
                  <w:tcW w:w="453" w:type="pct"/>
                  <w:noWrap w:val="0"/>
                  <w:vAlign w:val="center"/>
                </w:tcPr>
                <w:p w14:paraId="6CAA63DC">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NW</w:t>
                  </w:r>
                </w:p>
              </w:tc>
              <w:tc>
                <w:tcPr>
                  <w:tcW w:w="453" w:type="pct"/>
                  <w:noWrap w:val="0"/>
                  <w:vAlign w:val="center"/>
                </w:tcPr>
                <w:p w14:paraId="6D9F6DAF">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农村地区人群较集中区域</w:t>
                  </w:r>
                </w:p>
              </w:tc>
              <w:tc>
                <w:tcPr>
                  <w:tcW w:w="448" w:type="pct"/>
                  <w:noWrap w:val="0"/>
                  <w:vAlign w:val="center"/>
                </w:tcPr>
                <w:p w14:paraId="52FA1E8D">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295</w:t>
                  </w:r>
                </w:p>
              </w:tc>
              <w:tc>
                <w:tcPr>
                  <w:tcW w:w="818" w:type="pct"/>
                  <w:noWrap w:val="0"/>
                  <w:vAlign w:val="center"/>
                </w:tcPr>
                <w:p w14:paraId="76F1712A">
                  <w:pPr>
                    <w:keepNext w:val="0"/>
                    <w:keepLines w:val="0"/>
                    <w:suppressLineNumbers w:val="0"/>
                    <w:adjustRightInd w:val="0"/>
                    <w:snapToGrid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《环境空气质量标准》（</w:t>
                  </w:r>
                  <w:r>
                    <w:rPr>
                      <w:rFonts w:hint="eastAsia" w:cs="Times New Roman"/>
                      <w:color w:val="auto"/>
                      <w:sz w:val="21"/>
                      <w:szCs w:val="21"/>
                      <w:highlight w:val="none"/>
                      <w:lang w:eastAsia="zh-CN"/>
                    </w:rPr>
                    <w:t>GB3095-2026</w:t>
                  </w:r>
                  <w:r>
                    <w:rPr>
                      <w:rFonts w:hint="default" w:ascii="Times New Roman" w:hAnsi="Times New Roman" w:cs="Times New Roman"/>
                      <w:color w:val="auto"/>
                      <w:sz w:val="21"/>
                      <w:szCs w:val="21"/>
                      <w:highlight w:val="none"/>
                    </w:rPr>
                    <w:t>）二类区</w:t>
                  </w:r>
                </w:p>
              </w:tc>
            </w:tr>
          </w:tbl>
          <w:p w14:paraId="341B61C9">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2、声环境保护目标</w:t>
            </w:r>
          </w:p>
          <w:p w14:paraId="451A5F89">
            <w:pPr>
              <w:keepNext w:val="0"/>
              <w:keepLines w:val="0"/>
              <w:widowControl/>
              <w:suppressLineNumbers w:val="0"/>
              <w:spacing w:before="0" w:beforeAutospacing="0" w:after="0" w:afterAutospacing="0" w:line="360" w:lineRule="auto"/>
              <w:ind w:left="0" w:right="0" w:firstLine="480" w:firstLineChars="200"/>
              <w:rPr>
                <w:rFonts w:hint="default"/>
                <w:color w:val="auto"/>
                <w:highlight w:val="none"/>
                <w:lang w:val="en-US" w:eastAsia="zh-CN"/>
              </w:rPr>
            </w:pPr>
            <w:r>
              <w:rPr>
                <w:rFonts w:hint="eastAsia" w:ascii="Times New Roman" w:hAnsi="Times New Roman" w:eastAsia="宋体" w:cs="Times New Roman"/>
                <w:bCs/>
                <w:color w:val="auto"/>
                <w:kern w:val="0"/>
                <w:sz w:val="24"/>
                <w:highlight w:val="none"/>
                <w:lang w:val="en-US" w:eastAsia="zh-CN"/>
              </w:rPr>
              <w:t>根据《建设项目环境影响评价报告表编制技术指南》（污染影响类）及现状调查结果，本项目厂界外50m范围内无声环境保护目标</w:t>
            </w:r>
          </w:p>
          <w:p w14:paraId="149F3F3C">
            <w:pPr>
              <w:keepNext w:val="0"/>
              <w:keepLines w:val="0"/>
              <w:widowControl/>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eastAsia="zh-CN"/>
              </w:rPr>
            </w:pPr>
            <w:r>
              <w:rPr>
                <w:rFonts w:hint="default" w:ascii="Times New Roman" w:hAnsi="Times New Roman" w:eastAsia="宋体" w:cs="Times New Roman"/>
                <w:b/>
                <w:color w:val="auto"/>
                <w:sz w:val="24"/>
                <w:highlight w:val="none"/>
              </w:rPr>
              <w:t>3、地下水</w:t>
            </w:r>
            <w:r>
              <w:rPr>
                <w:rFonts w:hint="eastAsia" w:cs="Times New Roman"/>
                <w:b/>
                <w:color w:val="auto"/>
                <w:sz w:val="24"/>
                <w:highlight w:val="none"/>
                <w:lang w:eastAsia="zh-CN"/>
              </w:rPr>
              <w:t>、土壤</w:t>
            </w:r>
            <w:r>
              <w:rPr>
                <w:rFonts w:hint="default" w:ascii="Times New Roman" w:hAnsi="Times New Roman" w:eastAsia="宋体" w:cs="Times New Roman"/>
                <w:b/>
                <w:color w:val="auto"/>
                <w:sz w:val="24"/>
                <w:highlight w:val="none"/>
              </w:rPr>
              <w:t>环境保护目标</w:t>
            </w:r>
          </w:p>
          <w:p w14:paraId="2662D8D6">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highlight w:val="none"/>
                <w:lang w:val="en-US" w:eastAsia="zh-CN"/>
              </w:rPr>
            </w:pPr>
            <w:r>
              <w:rPr>
                <w:rFonts w:hint="eastAsia" w:ascii="Times New Roman" w:hAnsi="Times New Roman" w:eastAsia="宋体" w:cs="Times New Roman"/>
                <w:bCs/>
                <w:color w:val="auto"/>
                <w:kern w:val="0"/>
                <w:sz w:val="24"/>
                <w:highlight w:val="none"/>
                <w:lang w:val="en-US" w:eastAsia="zh-CN"/>
              </w:rPr>
              <w:t>八五零农场居民地下水集中式饮用水水源位于本项目厂界西北侧2.</w:t>
            </w:r>
            <w:r>
              <w:rPr>
                <w:rFonts w:hint="eastAsia" w:cs="Times New Roman"/>
                <w:bCs/>
                <w:color w:val="auto"/>
                <w:kern w:val="0"/>
                <w:sz w:val="24"/>
                <w:highlight w:val="none"/>
                <w:lang w:val="en-US" w:eastAsia="zh-CN"/>
              </w:rPr>
              <w:t>536</w:t>
            </w:r>
            <w:r>
              <w:rPr>
                <w:rFonts w:hint="eastAsia" w:ascii="Times New Roman" w:hAnsi="Times New Roman" w:eastAsia="宋体" w:cs="Times New Roman"/>
                <w:bCs/>
                <w:color w:val="auto"/>
                <w:kern w:val="0"/>
                <w:sz w:val="24"/>
                <w:highlight w:val="none"/>
                <w:lang w:val="en-US" w:eastAsia="zh-CN"/>
              </w:rPr>
              <w:t>千米处</w:t>
            </w:r>
            <w:r>
              <w:rPr>
                <w:rFonts w:hint="eastAsia" w:ascii="Times New Roman" w:hAnsi="Times New Roman" w:eastAsia="宋体" w:cs="Times New Roman"/>
                <w:color w:val="auto"/>
                <w:sz w:val="24"/>
                <w:szCs w:val="24"/>
                <w:highlight w:val="none"/>
                <w:lang w:val="en-US" w:eastAsia="zh-CN"/>
              </w:rPr>
              <w:t>（见附图3）</w:t>
            </w:r>
            <w:r>
              <w:rPr>
                <w:rFonts w:hint="eastAsia" w:ascii="Times New Roman" w:hAnsi="Times New Roman" w:eastAsia="宋体" w:cs="Times New Roman"/>
                <w:bCs/>
                <w:color w:val="auto"/>
                <w:kern w:val="0"/>
                <w:sz w:val="24"/>
                <w:highlight w:val="none"/>
                <w:lang w:val="en-US" w:eastAsia="zh-CN"/>
              </w:rPr>
              <w:t>。</w:t>
            </w:r>
            <w:r>
              <w:rPr>
                <w:rFonts w:hint="default" w:ascii="Times New Roman" w:hAnsi="Times New Roman" w:eastAsia="宋体" w:cs="Times New Roman"/>
                <w:bCs/>
                <w:color w:val="auto"/>
                <w:kern w:val="0"/>
                <w:sz w:val="24"/>
                <w:highlight w:val="none"/>
                <w:lang w:val="en-US" w:eastAsia="zh-CN"/>
              </w:rPr>
              <w:t>本项目厂界外500m范围内无地下水集中式饮用水水源和热水、矿泉水、温泉等特殊地下水资源，不涉及地下水环境保护目标</w:t>
            </w:r>
            <w:r>
              <w:rPr>
                <w:rFonts w:hint="eastAsia" w:cs="Times New Roman"/>
                <w:bCs/>
                <w:color w:val="auto"/>
                <w:kern w:val="0"/>
                <w:sz w:val="24"/>
                <w:highlight w:val="none"/>
                <w:lang w:val="en-US" w:eastAsia="zh-CN"/>
              </w:rPr>
              <w:t>。</w:t>
            </w:r>
          </w:p>
          <w:p w14:paraId="58E07868">
            <w:pPr>
              <w:keepNext w:val="0"/>
              <w:keepLines w:val="0"/>
              <w:widowControl/>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eastAsia="zh-CN"/>
              </w:rPr>
            </w:pPr>
            <w:r>
              <w:rPr>
                <w:rFonts w:hint="default" w:ascii="Times New Roman" w:hAnsi="Times New Roman" w:eastAsia="宋体" w:cs="Times New Roman"/>
                <w:b/>
                <w:color w:val="auto"/>
                <w:sz w:val="24"/>
                <w:highlight w:val="none"/>
              </w:rPr>
              <w:t>4、生态环境保护目标</w:t>
            </w:r>
          </w:p>
          <w:p w14:paraId="5EE1E5FA">
            <w:pPr>
              <w:keepNext w:val="0"/>
              <w:keepLines w:val="0"/>
              <w:suppressLineNumbers w:val="0"/>
              <w:adjustRightInd w:val="0"/>
              <w:snapToGrid w:val="0"/>
              <w:spacing w:before="0" w:beforeAutospacing="0" w:after="0" w:afterAutospacing="0" w:line="500" w:lineRule="exact"/>
              <w:ind w:left="0" w:right="0" w:firstLine="480" w:firstLineChars="200"/>
              <w:textAlignment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highlight w:val="none"/>
              </w:rPr>
              <w:t>本项目占地范围内无特殊生态敏感区及重要生态敏感区等生态环境保护目标，项目占地范围内无国家级、省、市级自然保护区、风景名胜区、文物保护对象</w:t>
            </w:r>
            <w:r>
              <w:rPr>
                <w:rFonts w:hint="default" w:ascii="Times New Roman" w:hAnsi="Times New Roman" w:eastAsia="宋体" w:cs="Times New Roman"/>
                <w:b w:val="0"/>
                <w:bCs w:val="0"/>
                <w:color w:val="auto"/>
                <w:kern w:val="0"/>
                <w:sz w:val="24"/>
                <w:szCs w:val="24"/>
                <w:highlight w:val="none"/>
                <w:lang w:val="en-US" w:eastAsia="zh-CN"/>
              </w:rPr>
              <w:t>。</w:t>
            </w:r>
          </w:p>
        </w:tc>
      </w:tr>
      <w:tr w14:paraId="073304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0" w:hRule="atLeast"/>
          <w:jc w:val="center"/>
        </w:trPr>
        <w:tc>
          <w:tcPr>
            <w:tcW w:w="800" w:type="dxa"/>
            <w:tcMar>
              <w:left w:w="28" w:type="dxa"/>
              <w:right w:w="28" w:type="dxa"/>
            </w:tcMar>
            <w:vAlign w:val="center"/>
          </w:tcPr>
          <w:p w14:paraId="751CBF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污染</w:t>
            </w:r>
          </w:p>
          <w:p w14:paraId="6D6680E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物排</w:t>
            </w:r>
          </w:p>
          <w:p w14:paraId="25ECFA3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放控</w:t>
            </w:r>
          </w:p>
          <w:p w14:paraId="7BECDB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制标</w:t>
            </w:r>
          </w:p>
          <w:p w14:paraId="72387C4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准</w:t>
            </w:r>
          </w:p>
        </w:tc>
        <w:tc>
          <w:tcPr>
            <w:tcW w:w="8190" w:type="dxa"/>
            <w:vAlign w:val="center"/>
          </w:tcPr>
          <w:p w14:paraId="2042C6AA">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1、废气</w:t>
            </w:r>
          </w:p>
          <w:p w14:paraId="077A69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sz w:val="24"/>
                <w:highlight w:val="none"/>
              </w:rPr>
              <w:t>施工期扬尘执行《大气污染物综合排放标准》（GB16297-1996）表2无组织排放限值标准。</w:t>
            </w:r>
          </w:p>
          <w:p w14:paraId="0EBF5BD4">
            <w:pPr>
              <w:pStyle w:val="18"/>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snapToGrid w:val="0"/>
                <w:color w:val="auto"/>
                <w:sz w:val="24"/>
                <w:highlight w:val="none"/>
                <w:lang w:val="en-US" w:eastAsia="zh-CN"/>
              </w:rPr>
            </w:pPr>
            <w:r>
              <w:rPr>
                <w:rFonts w:hint="default" w:ascii="Times New Roman" w:hAnsi="Times New Roman" w:eastAsia="宋体" w:cs="Times New Roman"/>
                <w:color w:val="auto"/>
                <w:kern w:val="0"/>
                <w:sz w:val="24"/>
                <w:highlight w:val="none"/>
                <w:lang w:bidi="ar"/>
              </w:rPr>
              <w:t>运行期热风炉烟气中烟尘和烟气黑度执行《工业炉窑大气污染物排放标准》（GB9078-1996）表2标准，热风炉烟气中SO</w:t>
            </w:r>
            <w:r>
              <w:rPr>
                <w:rFonts w:hint="default" w:ascii="Times New Roman" w:hAnsi="Times New Roman" w:eastAsia="宋体" w:cs="Times New Roman"/>
                <w:color w:val="auto"/>
                <w:kern w:val="0"/>
                <w:sz w:val="16"/>
                <w:szCs w:val="16"/>
                <w:highlight w:val="none"/>
                <w:lang w:bidi="ar"/>
              </w:rPr>
              <w:t>2</w:t>
            </w:r>
            <w:r>
              <w:rPr>
                <w:rFonts w:hint="default" w:ascii="Times New Roman" w:hAnsi="Times New Roman" w:eastAsia="宋体" w:cs="Times New Roman"/>
                <w:color w:val="auto"/>
                <w:kern w:val="0"/>
                <w:sz w:val="24"/>
                <w:highlight w:val="none"/>
                <w:lang w:bidi="ar"/>
              </w:rPr>
              <w:t>执行《工业炉窑大气污染物排放标准》（GB9078-1996）表4中二级标准；生产过程中产生的粉尘执行《大气污染物综合排放标准》（GB16297-1996）表2无组织排放监控浓度限值</w:t>
            </w:r>
            <w:r>
              <w:rPr>
                <w:rFonts w:hint="default" w:ascii="Times New Roman" w:hAnsi="Times New Roman" w:eastAsia="宋体" w:cs="Times New Roman"/>
                <w:color w:val="auto"/>
                <w:sz w:val="24"/>
                <w:highlight w:val="none"/>
              </w:rPr>
              <w:t>标准，</w:t>
            </w:r>
            <w:r>
              <w:rPr>
                <w:rFonts w:hint="default" w:ascii="Times New Roman" w:hAnsi="Times New Roman" w:eastAsia="宋体" w:cs="Times New Roman"/>
                <w:color w:val="auto"/>
                <w:sz w:val="24"/>
                <w:highlight w:val="none"/>
                <w:lang w:val="en-US" w:eastAsia="zh-CN"/>
              </w:rPr>
              <w:t>炉窑厂房门窗处</w:t>
            </w:r>
            <w:r>
              <w:rPr>
                <w:rFonts w:hint="default" w:ascii="Times New Roman" w:hAnsi="Times New Roman" w:eastAsia="宋体" w:cs="Times New Roman"/>
                <w:color w:val="auto"/>
                <w:sz w:val="24"/>
                <w:highlight w:val="none"/>
              </w:rPr>
              <w:t>颗粒物执行《</w:t>
            </w:r>
            <w:r>
              <w:rPr>
                <w:rFonts w:hint="eastAsia" w:ascii="Times New Roman" w:hAnsi="Times New Roman" w:cs="Times New Roman"/>
                <w:color w:val="auto"/>
                <w:sz w:val="24"/>
                <w:highlight w:val="none"/>
                <w:lang w:eastAsia="zh-CN"/>
              </w:rPr>
              <w:t>工业炉窑大气污染物排放标准</w:t>
            </w:r>
            <w:r>
              <w:rPr>
                <w:rFonts w:hint="default" w:ascii="Times New Roman" w:hAnsi="Times New Roman" w:eastAsia="宋体" w:cs="Times New Roman"/>
                <w:color w:val="auto"/>
                <w:sz w:val="24"/>
                <w:highlight w:val="none"/>
              </w:rPr>
              <w:t>》（GB9078-1996）表</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中标准限值</w:t>
            </w:r>
            <w:r>
              <w:rPr>
                <w:rFonts w:hint="default" w:ascii="Times New Roman" w:hAnsi="Times New Roman" w:eastAsia="宋体" w:cs="Times New Roman"/>
                <w:color w:val="auto"/>
                <w:sz w:val="24"/>
                <w:highlight w:val="none"/>
                <w:lang w:val="en-US" w:eastAsia="zh-CN"/>
              </w:rPr>
              <w:t>。</w:t>
            </w:r>
          </w:p>
          <w:p w14:paraId="73ED730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具体标准值见下表。</w:t>
            </w:r>
          </w:p>
          <w:p w14:paraId="6C2C56FE">
            <w:pPr>
              <w:pStyle w:val="62"/>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1"/>
                <w:szCs w:val="21"/>
                <w:highlight w:val="none"/>
                <w:lang w:eastAsia="zh-CN"/>
              </w:rPr>
            </w:pPr>
            <w:bookmarkStart w:id="10" w:name="_Toc29061"/>
            <w:r>
              <w:rPr>
                <w:rFonts w:hint="default" w:ascii="Times New Roman" w:hAnsi="Times New Roman" w:eastAsia="宋体" w:cs="Times New Roman"/>
                <w:b/>
                <w:bCs/>
                <w:color w:val="auto"/>
                <w:sz w:val="21"/>
                <w:szCs w:val="21"/>
                <w:highlight w:val="none"/>
                <w:lang w:val="en-US" w:eastAsia="zh-CN" w:bidi="ar-SA"/>
              </w:rPr>
              <w:t>表3-</w:t>
            </w:r>
            <w:r>
              <w:rPr>
                <w:rFonts w:hint="eastAsia" w:eastAsia="宋体" w:cs="Times New Roman"/>
                <w:b/>
                <w:bCs/>
                <w:color w:val="auto"/>
                <w:sz w:val="21"/>
                <w:szCs w:val="21"/>
                <w:highlight w:val="none"/>
                <w:lang w:val="en-US" w:eastAsia="zh-CN" w:bidi="ar-SA"/>
              </w:rPr>
              <w:t>5</w:t>
            </w:r>
            <w:r>
              <w:rPr>
                <w:rFonts w:hint="default" w:ascii="Times New Roman" w:hAnsi="Times New Roman" w:eastAsia="宋体" w:cs="Times New Roman"/>
                <w:b/>
                <w:bCs/>
                <w:color w:val="auto"/>
                <w:sz w:val="21"/>
                <w:szCs w:val="21"/>
                <w:highlight w:val="none"/>
                <w:lang w:val="en-US" w:eastAsia="zh-CN" w:bidi="ar-SA"/>
              </w:rPr>
              <w:t>《大气污染物综合排放标准》（GB16297-1996）</w:t>
            </w:r>
            <w:r>
              <w:rPr>
                <w:rFonts w:hint="default" w:ascii="Times New Roman" w:hAnsi="Times New Roman" w:eastAsia="宋体" w:cs="Times New Roman"/>
                <w:b/>
                <w:bCs/>
                <w:color w:val="auto"/>
                <w:sz w:val="21"/>
                <w:szCs w:val="21"/>
                <w:highlight w:val="none"/>
              </w:rPr>
              <w:t>单位：mg/m</w:t>
            </w:r>
            <w:r>
              <w:rPr>
                <w:rFonts w:hint="default" w:ascii="Times New Roman" w:hAnsi="Times New Roman" w:eastAsia="宋体" w:cs="Times New Roman"/>
                <w:b/>
                <w:bCs/>
                <w:color w:val="auto"/>
                <w:sz w:val="21"/>
                <w:szCs w:val="21"/>
                <w:highlight w:val="none"/>
                <w:vertAlign w:val="superscript"/>
              </w:rPr>
              <w:t>3</w:t>
            </w:r>
            <w:bookmarkEnd w:id="10"/>
          </w:p>
          <w:tbl>
            <w:tblPr>
              <w:tblStyle w:val="33"/>
              <w:tblW w:w="7959"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2555"/>
              <w:gridCol w:w="2962"/>
              <w:gridCol w:w="2442"/>
            </w:tblGrid>
            <w:tr w14:paraId="4E39C6A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57" w:hRule="atLeast"/>
                <w:jc w:val="center"/>
              </w:trPr>
              <w:tc>
                <w:tcPr>
                  <w:tcW w:w="2555" w:type="dxa"/>
                  <w:vMerge w:val="restart"/>
                  <w:tcBorders>
                    <w:tl2br w:val="nil"/>
                    <w:tr2bl w:val="nil"/>
                  </w:tcBorders>
                  <w:vAlign w:val="center"/>
                </w:tcPr>
                <w:p w14:paraId="0FFBEDF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污染物名称</w:t>
                  </w:r>
                </w:p>
              </w:tc>
              <w:tc>
                <w:tcPr>
                  <w:tcW w:w="5404" w:type="dxa"/>
                  <w:gridSpan w:val="2"/>
                  <w:tcBorders>
                    <w:tl2br w:val="nil"/>
                    <w:tr2bl w:val="nil"/>
                  </w:tcBorders>
                  <w:vAlign w:val="center"/>
                </w:tcPr>
                <w:p w14:paraId="16740B8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无组织排放监控浓度限值</w:t>
                  </w:r>
                </w:p>
              </w:tc>
            </w:tr>
            <w:tr w14:paraId="249D1B2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36" w:hRule="atLeast"/>
                <w:jc w:val="center"/>
              </w:trPr>
              <w:tc>
                <w:tcPr>
                  <w:tcW w:w="2555" w:type="dxa"/>
                  <w:vMerge w:val="continue"/>
                  <w:tcBorders>
                    <w:tl2br w:val="nil"/>
                    <w:tr2bl w:val="nil"/>
                  </w:tcBorders>
                  <w:vAlign w:val="center"/>
                </w:tcPr>
                <w:p w14:paraId="3449682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sz w:val="21"/>
                      <w:szCs w:val="21"/>
                      <w:highlight w:val="none"/>
                    </w:rPr>
                  </w:pPr>
                </w:p>
              </w:tc>
              <w:tc>
                <w:tcPr>
                  <w:tcW w:w="2962" w:type="dxa"/>
                  <w:tcBorders>
                    <w:tl2br w:val="nil"/>
                    <w:tr2bl w:val="nil"/>
                  </w:tcBorders>
                  <w:vAlign w:val="center"/>
                </w:tcPr>
                <w:p w14:paraId="14CC9E5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监控点</w:t>
                  </w:r>
                </w:p>
              </w:tc>
              <w:tc>
                <w:tcPr>
                  <w:tcW w:w="2442" w:type="dxa"/>
                  <w:tcBorders>
                    <w:tl2br w:val="nil"/>
                    <w:tr2bl w:val="nil"/>
                  </w:tcBorders>
                  <w:vAlign w:val="center"/>
                </w:tcPr>
                <w:p w14:paraId="6D36903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r>
            <w:tr w14:paraId="510DA7C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90" w:hRule="atLeast"/>
                <w:jc w:val="center"/>
              </w:trPr>
              <w:tc>
                <w:tcPr>
                  <w:tcW w:w="2555" w:type="dxa"/>
                  <w:tcBorders>
                    <w:tl2br w:val="nil"/>
                    <w:tr2bl w:val="nil"/>
                  </w:tcBorders>
                  <w:vAlign w:val="center"/>
                </w:tcPr>
                <w:p w14:paraId="37D1E6B4">
                  <w:pPr>
                    <w:pStyle w:val="9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颗粒物</w:t>
                  </w:r>
                </w:p>
              </w:tc>
              <w:tc>
                <w:tcPr>
                  <w:tcW w:w="2962" w:type="dxa"/>
                  <w:tcBorders>
                    <w:tl2br w:val="nil"/>
                    <w:tr2bl w:val="nil"/>
                  </w:tcBorders>
                  <w:vAlign w:val="center"/>
                </w:tcPr>
                <w:p w14:paraId="27471B7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周界外浓度最高点</w:t>
                  </w:r>
                </w:p>
              </w:tc>
              <w:tc>
                <w:tcPr>
                  <w:tcW w:w="2442" w:type="dxa"/>
                  <w:tcBorders>
                    <w:tl2br w:val="nil"/>
                    <w:tr2bl w:val="nil"/>
                  </w:tcBorders>
                  <w:vAlign w:val="center"/>
                </w:tcPr>
                <w:p w14:paraId="6F9A10F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bl>
          <w:p w14:paraId="3E1903EE">
            <w:pPr>
              <w:pStyle w:val="4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表3-</w:t>
            </w:r>
            <w:r>
              <w:rPr>
                <w:rFonts w:hint="eastAsia" w:ascii="Times New Roman" w:hAnsi="Times New Roman"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rPr>
              <w:t>《工业炉窑大气污染物排放标准》（GB9078-1996）单位：mg/m</w:t>
            </w:r>
            <w:r>
              <w:rPr>
                <w:rFonts w:hint="default" w:ascii="Times New Roman" w:hAnsi="Times New Roman" w:eastAsia="宋体" w:cs="Times New Roman"/>
                <w:b/>
                <w:bCs/>
                <w:color w:val="auto"/>
                <w:sz w:val="21"/>
                <w:szCs w:val="21"/>
                <w:highlight w:val="none"/>
                <w:vertAlign w:val="superscript"/>
              </w:rPr>
              <w:t>3</w:t>
            </w:r>
          </w:p>
          <w:tbl>
            <w:tblPr>
              <w:tblStyle w:val="33"/>
              <w:tblW w:w="794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3493"/>
              <w:gridCol w:w="2890"/>
            </w:tblGrid>
            <w:tr w14:paraId="58EBB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2" w:type="dxa"/>
                  <w:vAlign w:val="center"/>
                </w:tcPr>
                <w:p w14:paraId="12DDAA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w:t>
                  </w:r>
                </w:p>
              </w:tc>
              <w:tc>
                <w:tcPr>
                  <w:tcW w:w="3493" w:type="dxa"/>
                  <w:vAlign w:val="center"/>
                </w:tcPr>
                <w:p w14:paraId="54D5C9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浓度限值</w:t>
                  </w:r>
                </w:p>
              </w:tc>
              <w:tc>
                <w:tcPr>
                  <w:tcW w:w="2890" w:type="dxa"/>
                  <w:vAlign w:val="center"/>
                </w:tcPr>
                <w:p w14:paraId="3CA472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备注</w:t>
                  </w:r>
                </w:p>
              </w:tc>
            </w:tr>
            <w:tr w14:paraId="67945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2" w:type="dxa"/>
                  <w:vAlign w:val="center"/>
                </w:tcPr>
                <w:p w14:paraId="45A5C7B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烟尘</w:t>
                  </w:r>
                </w:p>
              </w:tc>
              <w:tc>
                <w:tcPr>
                  <w:tcW w:w="3493" w:type="dxa"/>
                  <w:vAlign w:val="center"/>
                </w:tcPr>
                <w:p w14:paraId="7C12C8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200</w:t>
                  </w:r>
                </w:p>
              </w:tc>
              <w:tc>
                <w:tcPr>
                  <w:tcW w:w="2890" w:type="dxa"/>
                  <w:vAlign w:val="center"/>
                </w:tcPr>
                <w:p w14:paraId="562E4C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表2标准</w:t>
                  </w:r>
                </w:p>
              </w:tc>
            </w:tr>
            <w:tr w14:paraId="10864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2" w:type="dxa"/>
                  <w:vAlign w:val="center"/>
                </w:tcPr>
                <w:p w14:paraId="2456029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烟气黑度</w:t>
                  </w:r>
                </w:p>
              </w:tc>
              <w:tc>
                <w:tcPr>
                  <w:tcW w:w="3493" w:type="dxa"/>
                  <w:vAlign w:val="center"/>
                </w:tcPr>
                <w:p w14:paraId="334919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1（林格曼级）</w:t>
                  </w:r>
                </w:p>
              </w:tc>
              <w:tc>
                <w:tcPr>
                  <w:tcW w:w="2890" w:type="dxa"/>
                  <w:vAlign w:val="center"/>
                </w:tcPr>
                <w:p w14:paraId="7738BB3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表2标准</w:t>
                  </w:r>
                </w:p>
              </w:tc>
            </w:tr>
            <w:tr w14:paraId="10FFDF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2" w:type="dxa"/>
                  <w:vAlign w:val="center"/>
                </w:tcPr>
                <w:p w14:paraId="57EE73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SO</w:t>
                  </w:r>
                  <w:r>
                    <w:rPr>
                      <w:rFonts w:hint="default" w:ascii="Times New Roman" w:hAnsi="Times New Roman" w:eastAsia="宋体" w:cs="Times New Roman"/>
                      <w:color w:val="auto"/>
                      <w:szCs w:val="21"/>
                      <w:highlight w:val="none"/>
                      <w:vertAlign w:val="subscript"/>
                    </w:rPr>
                    <w:t>2</w:t>
                  </w:r>
                </w:p>
              </w:tc>
              <w:tc>
                <w:tcPr>
                  <w:tcW w:w="3493" w:type="dxa"/>
                  <w:vAlign w:val="center"/>
                </w:tcPr>
                <w:p w14:paraId="64C6D65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850</w:t>
                  </w:r>
                </w:p>
              </w:tc>
              <w:tc>
                <w:tcPr>
                  <w:tcW w:w="2890" w:type="dxa"/>
                  <w:vAlign w:val="center"/>
                </w:tcPr>
                <w:p w14:paraId="08928F8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表4标准</w:t>
                  </w:r>
                </w:p>
              </w:tc>
            </w:tr>
            <w:tr w14:paraId="564AA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2" w:type="dxa"/>
                  <w:vAlign w:val="center"/>
                </w:tcPr>
                <w:p w14:paraId="1DD7CF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 w:val="21"/>
                      <w:szCs w:val="21"/>
                      <w:highlight w:val="none"/>
                      <w:lang w:eastAsia="zh-CN" w:bidi="ar"/>
                    </w:rPr>
                    <w:t>NOx</w:t>
                  </w:r>
                </w:p>
              </w:tc>
              <w:tc>
                <w:tcPr>
                  <w:tcW w:w="3493" w:type="dxa"/>
                  <w:vAlign w:val="center"/>
                </w:tcPr>
                <w:p w14:paraId="430CD01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2890" w:type="dxa"/>
                  <w:vAlign w:val="center"/>
                </w:tcPr>
                <w:p w14:paraId="456106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r>
          </w:tbl>
          <w:p w14:paraId="2F981A1B">
            <w:pPr>
              <w:pStyle w:val="48"/>
              <w:keepNext w:val="0"/>
              <w:keepLines w:val="0"/>
              <w:suppressLineNumbers w:val="0"/>
              <w:spacing w:before="0" w:beforeAutospacing="0" w:after="0" w:afterAutospacing="0" w:line="360" w:lineRule="auto"/>
              <w:ind w:left="0" w:right="0"/>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表3-</w:t>
            </w:r>
            <w:r>
              <w:rPr>
                <w:rFonts w:hint="eastAsia" w:ascii="Times New Roman" w:hAnsi="Times New Roman" w:eastAsia="宋体"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w:t>
            </w:r>
            <w:r>
              <w:rPr>
                <w:rFonts w:hint="eastAsia" w:ascii="Times New Roman" w:hAnsi="Times New Roman" w:cs="Times New Roman"/>
                <w:b/>
                <w:bCs/>
                <w:color w:val="auto"/>
                <w:sz w:val="21"/>
                <w:szCs w:val="21"/>
                <w:highlight w:val="none"/>
                <w:lang w:eastAsia="zh-CN"/>
              </w:rPr>
              <w:t>工业炉窑大气污染物排放标准</w:t>
            </w:r>
            <w:r>
              <w:rPr>
                <w:rFonts w:hint="default" w:ascii="Times New Roman" w:hAnsi="Times New Roman" w:eastAsia="宋体" w:cs="Times New Roman"/>
                <w:b/>
                <w:bCs/>
                <w:color w:val="auto"/>
                <w:sz w:val="21"/>
                <w:szCs w:val="21"/>
                <w:highlight w:val="none"/>
              </w:rPr>
              <w:t>》（GB9078-1996）</w:t>
            </w:r>
            <w:r>
              <w:rPr>
                <w:rFonts w:hint="default" w:ascii="Times New Roman" w:hAnsi="Times New Roman" w:eastAsia="宋体" w:cs="Times New Roman"/>
                <w:b/>
                <w:bCs/>
                <w:color w:val="auto"/>
                <w:sz w:val="21"/>
                <w:szCs w:val="21"/>
                <w:highlight w:val="none"/>
                <w:lang w:val="en-US" w:eastAsia="zh-CN"/>
              </w:rPr>
              <w:t>表3</w:t>
            </w:r>
          </w:p>
          <w:tbl>
            <w:tblPr>
              <w:tblStyle w:val="33"/>
              <w:tblW w:w="7959"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2555"/>
              <w:gridCol w:w="2962"/>
              <w:gridCol w:w="2442"/>
            </w:tblGrid>
            <w:tr w14:paraId="2ED74C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cantSplit/>
                <w:trHeight w:val="357" w:hRule="atLeast"/>
                <w:jc w:val="center"/>
              </w:trPr>
              <w:tc>
                <w:tcPr>
                  <w:tcW w:w="2555" w:type="dxa"/>
                  <w:tcBorders>
                    <w:tl2br w:val="nil"/>
                    <w:tr2bl w:val="nil"/>
                  </w:tcBorders>
                  <w:vAlign w:val="center"/>
                </w:tcPr>
                <w:p w14:paraId="3AB5B60B">
                  <w:pPr>
                    <w:pStyle w:val="111"/>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设置方式</w:t>
                  </w:r>
                </w:p>
              </w:tc>
              <w:tc>
                <w:tcPr>
                  <w:tcW w:w="2962" w:type="dxa"/>
                  <w:tcBorders>
                    <w:tl2br w:val="nil"/>
                    <w:tr2bl w:val="nil"/>
                  </w:tcBorders>
                  <w:vAlign w:val="center"/>
                </w:tcPr>
                <w:p w14:paraId="52EBB5D1">
                  <w:pPr>
                    <w:pStyle w:val="111"/>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炉窑类别</w:t>
                  </w:r>
                </w:p>
              </w:tc>
              <w:tc>
                <w:tcPr>
                  <w:tcW w:w="2442" w:type="dxa"/>
                  <w:tcBorders>
                    <w:tl2br w:val="nil"/>
                    <w:tr2bl w:val="nil"/>
                  </w:tcBorders>
                  <w:vAlign w:val="center"/>
                </w:tcPr>
                <w:p w14:paraId="136AE4CE">
                  <w:pPr>
                    <w:pStyle w:val="111"/>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无组织排放烟（粉）尘最高允许浓度（mg/m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w:t>
                  </w:r>
                </w:p>
              </w:tc>
            </w:tr>
            <w:tr w14:paraId="45972B2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90" w:hRule="atLeast"/>
                <w:jc w:val="center"/>
              </w:trPr>
              <w:tc>
                <w:tcPr>
                  <w:tcW w:w="2555" w:type="dxa"/>
                  <w:tcBorders>
                    <w:tl2br w:val="nil"/>
                    <w:tr2bl w:val="nil"/>
                  </w:tcBorders>
                  <w:vAlign w:val="center"/>
                </w:tcPr>
                <w:p w14:paraId="386C79B7">
                  <w:pPr>
                    <w:pStyle w:val="111"/>
                    <w:keepNext w:val="0"/>
                    <w:keepLines w:val="0"/>
                    <w:suppressLineNumbers w:val="0"/>
                    <w:snapToGrid w:val="0"/>
                    <w:spacing w:before="0" w:beforeAutospacing="0" w:after="0" w:afterAutospacing="0" w:line="240" w:lineRule="auto"/>
                    <w:ind w:left="0" w:leftChars="0" w:right="0" w:rightChars="0" w:firstLine="315" w:firstLineChars="15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有车间厂房</w:t>
                  </w:r>
                </w:p>
              </w:tc>
              <w:tc>
                <w:tcPr>
                  <w:tcW w:w="2962" w:type="dxa"/>
                  <w:tcBorders>
                    <w:tl2br w:val="nil"/>
                    <w:tr2bl w:val="nil"/>
                  </w:tcBorders>
                  <w:vAlign w:val="center"/>
                </w:tcPr>
                <w:p w14:paraId="3E2B4CD4">
                  <w:pPr>
                    <w:pStyle w:val="111"/>
                    <w:keepNext w:val="0"/>
                    <w:keepLines w:val="0"/>
                    <w:suppressLineNumbers w:val="0"/>
                    <w:snapToGrid w:val="0"/>
                    <w:spacing w:before="0" w:beforeAutospacing="0" w:after="0" w:afterAutospacing="0" w:line="240" w:lineRule="auto"/>
                    <w:ind w:left="0" w:leftChars="0" w:right="0" w:rightChars="0" w:firstLine="315" w:firstLineChars="15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其他炉窑</w:t>
                  </w:r>
                </w:p>
              </w:tc>
              <w:tc>
                <w:tcPr>
                  <w:tcW w:w="2442" w:type="dxa"/>
                  <w:tcBorders>
                    <w:tl2br w:val="nil"/>
                    <w:tr2bl w:val="nil"/>
                  </w:tcBorders>
                  <w:vAlign w:val="center"/>
                </w:tcPr>
                <w:p w14:paraId="4966E1FA">
                  <w:pPr>
                    <w:pStyle w:val="111"/>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r>
          </w:tbl>
          <w:p w14:paraId="2FE604E7">
            <w:pPr>
              <w:keepNext w:val="0"/>
              <w:keepLines w:val="0"/>
              <w:suppressLineNumbers w:val="0"/>
              <w:adjustRightInd w:val="0"/>
              <w:snapToGrid w:val="0"/>
              <w:spacing w:before="0" w:beforeAutospacing="0" w:after="0" w:afterAutospacing="0" w:line="500" w:lineRule="exact"/>
              <w:ind w:left="0" w:right="0" w:firstLine="482" w:firstLineChars="200"/>
              <w:textAlignment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2、噪声</w:t>
            </w:r>
          </w:p>
          <w:p w14:paraId="5CC580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施工期场界噪声执行</w:t>
            </w:r>
            <w:r>
              <w:rPr>
                <w:rFonts w:hint="eastAsia" w:cs="Times New Roman"/>
                <w:bCs/>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建筑施工噪声排放标准》（GB12523-2025）标准。运营期厂界噪声执行《工业企业厂界环境噪声排放标准》（GB12348-2008）中2类标准。标准值见表3-8。</w:t>
            </w:r>
          </w:p>
          <w:p w14:paraId="22A0DF22">
            <w:pPr>
              <w:keepNext w:val="0"/>
              <w:keepLines w:val="0"/>
              <w:suppressLineNumbers w:val="0"/>
              <w:adjustRightInd w:val="0"/>
              <w:snapToGrid w:val="0"/>
              <w:spacing w:before="0" w:beforeAutospacing="0" w:after="0" w:afterAutospacing="0"/>
              <w:ind w:left="0" w:right="0" w:firstLine="422" w:firstLineChars="20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表3-8噪声执行标准值一览表</w:t>
            </w:r>
          </w:p>
          <w:tbl>
            <w:tblPr>
              <w:tblStyle w:val="33"/>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2122"/>
              <w:gridCol w:w="1240"/>
              <w:gridCol w:w="1118"/>
              <w:gridCol w:w="1191"/>
              <w:gridCol w:w="1261"/>
            </w:tblGrid>
            <w:tr w14:paraId="49F4D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650" w:type="pct"/>
                  <w:vMerge w:val="restart"/>
                  <w:tcBorders>
                    <w:tl2br w:val="nil"/>
                    <w:tr2bl w:val="nil"/>
                  </w:tcBorders>
                  <w:noWrap w:val="0"/>
                  <w:vAlign w:val="center"/>
                </w:tcPr>
                <w:p w14:paraId="04EEF5D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时段</w:t>
                  </w:r>
                </w:p>
              </w:tc>
              <w:tc>
                <w:tcPr>
                  <w:tcW w:w="1331" w:type="pct"/>
                  <w:vMerge w:val="restart"/>
                  <w:tcBorders>
                    <w:tl2br w:val="nil"/>
                    <w:tr2bl w:val="nil"/>
                  </w:tcBorders>
                  <w:noWrap w:val="0"/>
                  <w:vAlign w:val="center"/>
                </w:tcPr>
                <w:p w14:paraId="6F38538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声源类型</w:t>
                  </w:r>
                </w:p>
              </w:tc>
              <w:tc>
                <w:tcPr>
                  <w:tcW w:w="3018" w:type="pct"/>
                  <w:gridSpan w:val="4"/>
                  <w:tcBorders>
                    <w:tl2br w:val="nil"/>
                    <w:tr2bl w:val="nil"/>
                  </w:tcBorders>
                  <w:noWrap w:val="0"/>
                  <w:vAlign w:val="center"/>
                </w:tcPr>
                <w:p w14:paraId="04D4318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标准限值</w:t>
                  </w:r>
                </w:p>
              </w:tc>
            </w:tr>
            <w:tr w14:paraId="77A1A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650" w:type="pct"/>
                  <w:vMerge w:val="continue"/>
                  <w:tcBorders>
                    <w:tl2br w:val="nil"/>
                    <w:tr2bl w:val="nil"/>
                  </w:tcBorders>
                  <w:noWrap w:val="0"/>
                  <w:vAlign w:val="center"/>
                </w:tcPr>
                <w:p w14:paraId="1DE0521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olor w:val="auto"/>
                      <w:sz w:val="21"/>
                      <w:szCs w:val="21"/>
                      <w:highlight w:val="none"/>
                    </w:rPr>
                  </w:pPr>
                </w:p>
              </w:tc>
              <w:tc>
                <w:tcPr>
                  <w:tcW w:w="1331" w:type="pct"/>
                  <w:vMerge w:val="continue"/>
                  <w:tcBorders>
                    <w:tl2br w:val="nil"/>
                    <w:tr2bl w:val="nil"/>
                  </w:tcBorders>
                  <w:noWrap w:val="0"/>
                  <w:vAlign w:val="center"/>
                </w:tcPr>
                <w:p w14:paraId="2EC82B2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olor w:val="auto"/>
                      <w:sz w:val="21"/>
                      <w:szCs w:val="21"/>
                      <w:highlight w:val="none"/>
                    </w:rPr>
                  </w:pPr>
                </w:p>
              </w:tc>
              <w:tc>
                <w:tcPr>
                  <w:tcW w:w="1479" w:type="pct"/>
                  <w:gridSpan w:val="2"/>
                  <w:tcBorders>
                    <w:tl2br w:val="nil"/>
                    <w:tr2bl w:val="nil"/>
                  </w:tcBorders>
                  <w:noWrap w:val="0"/>
                  <w:vAlign w:val="center"/>
                </w:tcPr>
                <w:p w14:paraId="78EDCB3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1538" w:type="pct"/>
                  <w:gridSpan w:val="2"/>
                  <w:tcBorders>
                    <w:tl2br w:val="nil"/>
                    <w:tr2bl w:val="nil"/>
                  </w:tcBorders>
                  <w:noWrap w:val="0"/>
                  <w:vAlign w:val="center"/>
                </w:tcPr>
                <w:p w14:paraId="2AF3120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r>
            <w:tr w14:paraId="64C5F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650" w:type="pct"/>
                  <w:tcBorders>
                    <w:tl2br w:val="nil"/>
                    <w:tr2bl w:val="nil"/>
                  </w:tcBorders>
                  <w:noWrap w:val="0"/>
                  <w:vAlign w:val="center"/>
                </w:tcPr>
                <w:p w14:paraId="1C570A4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施工期</w:t>
                  </w:r>
                </w:p>
              </w:tc>
              <w:tc>
                <w:tcPr>
                  <w:tcW w:w="1331" w:type="pct"/>
                  <w:tcBorders>
                    <w:tl2br w:val="nil"/>
                    <w:tr2bl w:val="nil"/>
                  </w:tcBorders>
                  <w:noWrap w:val="0"/>
                  <w:vAlign w:val="center"/>
                </w:tcPr>
                <w:p w14:paraId="206AF64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场界</w:t>
                  </w:r>
                  <w:r>
                    <w:rPr>
                      <w:rFonts w:hint="default" w:ascii="Times New Roman" w:hAnsi="Times New Roman" w:cs="Times New Roman"/>
                      <w:color w:val="auto"/>
                      <w:sz w:val="21"/>
                      <w:szCs w:val="21"/>
                      <w:highlight w:val="none"/>
                    </w:rPr>
                    <w:t>噪声</w:t>
                  </w:r>
                </w:p>
              </w:tc>
              <w:tc>
                <w:tcPr>
                  <w:tcW w:w="778" w:type="pct"/>
                  <w:tcBorders>
                    <w:tl2br w:val="nil"/>
                    <w:tr2bl w:val="nil"/>
                  </w:tcBorders>
                  <w:noWrap w:val="0"/>
                  <w:vAlign w:val="center"/>
                </w:tcPr>
                <w:p w14:paraId="7818B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w:t>
                  </w:r>
                </w:p>
              </w:tc>
              <w:tc>
                <w:tcPr>
                  <w:tcW w:w="701" w:type="pct"/>
                  <w:tcBorders>
                    <w:tl2br w:val="nil"/>
                    <w:tr2bl w:val="nil"/>
                  </w:tcBorders>
                  <w:noWrap w:val="0"/>
                  <w:vAlign w:val="center"/>
                </w:tcPr>
                <w:p w14:paraId="395733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70</w:t>
                  </w:r>
                </w:p>
              </w:tc>
              <w:tc>
                <w:tcPr>
                  <w:tcW w:w="747" w:type="pct"/>
                  <w:tcBorders>
                    <w:tl2br w:val="nil"/>
                    <w:tr2bl w:val="nil"/>
                  </w:tcBorders>
                  <w:noWrap w:val="0"/>
                  <w:vAlign w:val="center"/>
                </w:tcPr>
                <w:p w14:paraId="48C6CA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w:t>
                  </w:r>
                </w:p>
              </w:tc>
              <w:tc>
                <w:tcPr>
                  <w:tcW w:w="791" w:type="pct"/>
                  <w:tcBorders>
                    <w:tl2br w:val="nil"/>
                    <w:tr2bl w:val="nil"/>
                  </w:tcBorders>
                  <w:noWrap w:val="0"/>
                  <w:vAlign w:val="center"/>
                </w:tcPr>
                <w:p w14:paraId="6B0EC3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55</w:t>
                  </w:r>
                </w:p>
              </w:tc>
            </w:tr>
            <w:tr w14:paraId="6D53F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50" w:type="pct"/>
                  <w:tcBorders>
                    <w:tl2br w:val="nil"/>
                    <w:tr2bl w:val="nil"/>
                  </w:tcBorders>
                  <w:noWrap w:val="0"/>
                  <w:vAlign w:val="center"/>
                </w:tcPr>
                <w:p w14:paraId="34C04DD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运营期</w:t>
                  </w:r>
                </w:p>
              </w:tc>
              <w:tc>
                <w:tcPr>
                  <w:tcW w:w="1331" w:type="pct"/>
                  <w:tcBorders>
                    <w:tl2br w:val="nil"/>
                    <w:tr2bl w:val="nil"/>
                  </w:tcBorders>
                  <w:noWrap w:val="0"/>
                  <w:vAlign w:val="center"/>
                </w:tcPr>
                <w:p w14:paraId="334E80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厂界噪声</w:t>
                  </w:r>
                </w:p>
              </w:tc>
              <w:tc>
                <w:tcPr>
                  <w:tcW w:w="778" w:type="pct"/>
                  <w:tcBorders>
                    <w:tl2br w:val="nil"/>
                    <w:tr2bl w:val="nil"/>
                  </w:tcBorders>
                  <w:noWrap w:val="0"/>
                  <w:vAlign w:val="center"/>
                </w:tcPr>
                <w:p w14:paraId="2BEF8F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2类区</w:t>
                  </w:r>
                </w:p>
              </w:tc>
              <w:tc>
                <w:tcPr>
                  <w:tcW w:w="701" w:type="pct"/>
                  <w:tcBorders>
                    <w:tl2br w:val="nil"/>
                    <w:tr2bl w:val="nil"/>
                  </w:tcBorders>
                  <w:noWrap w:val="0"/>
                  <w:vAlign w:val="center"/>
                </w:tcPr>
                <w:p w14:paraId="7DEA3C6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p>
              </w:tc>
              <w:tc>
                <w:tcPr>
                  <w:tcW w:w="747" w:type="pct"/>
                  <w:tcBorders>
                    <w:tl2br w:val="nil"/>
                    <w:tr2bl w:val="nil"/>
                  </w:tcBorders>
                  <w:noWrap w:val="0"/>
                  <w:vAlign w:val="center"/>
                </w:tcPr>
                <w:p w14:paraId="548E109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2类区</w:t>
                  </w:r>
                </w:p>
              </w:tc>
              <w:tc>
                <w:tcPr>
                  <w:tcW w:w="791" w:type="pct"/>
                  <w:tcBorders>
                    <w:tl2br w:val="nil"/>
                    <w:tr2bl w:val="nil"/>
                  </w:tcBorders>
                  <w:noWrap w:val="0"/>
                  <w:vAlign w:val="center"/>
                </w:tcPr>
                <w:p w14:paraId="17EE4A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r>
          </w:tbl>
          <w:p w14:paraId="382ED42E">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、固体废物</w:t>
            </w:r>
          </w:p>
          <w:p w14:paraId="49F55DB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highlight w:val="none"/>
              </w:rPr>
              <w:t>《一般工业固体废物贮存和填埋污染控制标准》（GB18599-2020）、《固体废物分类与代码目录》（2024</w:t>
            </w:r>
            <w:r>
              <w:rPr>
                <w:rFonts w:hint="default" w:ascii="Times New Roman" w:hAnsi="Times New Roman" w:eastAsia="宋体" w:cs="Times New Roman"/>
                <w:color w:val="auto"/>
                <w:sz w:val="24"/>
                <w:highlight w:val="none"/>
                <w:lang w:val="en-US" w:eastAsia="zh-CN"/>
              </w:rPr>
              <w:t>版</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《危险废物贮存污染控制标准》（GB18597-2023）</w:t>
            </w:r>
            <w:r>
              <w:rPr>
                <w:rFonts w:hint="default" w:ascii="Times New Roman" w:hAnsi="Times New Roman" w:eastAsia="宋体" w:cs="Times New Roman"/>
                <w:color w:val="auto"/>
                <w:sz w:val="24"/>
                <w:highlight w:val="none"/>
              </w:rPr>
              <w:t>。</w:t>
            </w:r>
          </w:p>
        </w:tc>
      </w:tr>
      <w:tr w14:paraId="14A0FF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25" w:hRule="atLeast"/>
          <w:jc w:val="center"/>
        </w:trPr>
        <w:tc>
          <w:tcPr>
            <w:tcW w:w="800" w:type="dxa"/>
            <w:vAlign w:val="center"/>
          </w:tcPr>
          <w:p w14:paraId="3B2D47A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总量</w:t>
            </w:r>
          </w:p>
          <w:p w14:paraId="2E68B52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控制</w:t>
            </w:r>
          </w:p>
          <w:p w14:paraId="005914D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指标</w:t>
            </w:r>
          </w:p>
        </w:tc>
        <w:tc>
          <w:tcPr>
            <w:tcW w:w="8190" w:type="dxa"/>
            <w:vAlign w:val="center"/>
          </w:tcPr>
          <w:p w14:paraId="08995042">
            <w:pPr>
              <w:pStyle w:val="128"/>
              <w:keepNext w:val="0"/>
              <w:keepLines w:val="0"/>
              <w:suppressLineNumbers w:val="0"/>
              <w:spacing w:before="0" w:beforeAutospacing="0" w:after="0" w:afterAutospacing="0"/>
              <w:ind w:left="0" w:right="0" w:firstLine="48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根据《关于做好“十四五”主要污染物总量减排工作的通知》黑环办发[2021]79号文件，本项目总量控制指标</w:t>
            </w:r>
            <w:r>
              <w:rPr>
                <w:rFonts w:hint="eastAsia" w:cs="Times New Roman"/>
                <w:color w:val="auto"/>
                <w:sz w:val="24"/>
                <w:szCs w:val="24"/>
                <w:highlight w:val="none"/>
                <w:lang w:val="en-US" w:eastAsia="zh-CN"/>
              </w:rPr>
              <w:t>如下</w:t>
            </w:r>
            <w:r>
              <w:rPr>
                <w:rFonts w:hint="eastAsia" w:ascii="Times New Roman" w:hAnsi="Times New Roman" w:eastAsia="宋体" w:cs="Times New Roman"/>
                <w:color w:val="auto"/>
                <w:sz w:val="24"/>
                <w:szCs w:val="24"/>
                <w:highlight w:val="none"/>
                <w:lang w:val="en-US" w:eastAsia="zh-CN"/>
              </w:rPr>
              <w:t>。</w:t>
            </w:r>
          </w:p>
          <w:p w14:paraId="5E1F8AF3">
            <w:pPr>
              <w:keepNext w:val="0"/>
              <w:keepLines w:val="0"/>
              <w:suppressLineNumbers w:val="0"/>
              <w:spacing w:before="0" w:beforeAutospacing="0" w:after="0" w:afterAutospacing="0"/>
              <w:ind w:left="0" w:right="0"/>
              <w:jc w:val="center"/>
              <w:rPr>
                <w:rFonts w:hint="eastAsia" w:eastAsia="宋体"/>
                <w:b/>
                <w:bCs/>
                <w:color w:val="auto"/>
                <w:highlight w:val="none"/>
                <w:lang w:eastAsia="zh-CN"/>
              </w:rPr>
            </w:pPr>
            <w:r>
              <w:rPr>
                <w:rFonts w:hint="default"/>
                <w:b/>
                <w:bCs/>
                <w:color w:val="auto"/>
                <w:highlight w:val="none"/>
              </w:rPr>
              <w:t>表3-</w:t>
            </w:r>
            <w:r>
              <w:rPr>
                <w:rFonts w:hint="eastAsia"/>
                <w:b/>
                <w:bCs/>
                <w:color w:val="auto"/>
                <w:highlight w:val="none"/>
                <w:lang w:val="en-US" w:eastAsia="zh-CN"/>
              </w:rPr>
              <w:t>9</w:t>
            </w:r>
            <w:r>
              <w:rPr>
                <w:rFonts w:hint="default"/>
                <w:b/>
                <w:bCs/>
                <w:color w:val="auto"/>
                <w:highlight w:val="none"/>
              </w:rPr>
              <w:t>总量控制表单位：t/a</w:t>
            </w:r>
          </w:p>
          <w:tbl>
            <w:tblPr>
              <w:tblStyle w:val="33"/>
              <w:tblW w:w="7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2"/>
              <w:gridCol w:w="4355"/>
            </w:tblGrid>
            <w:tr w14:paraId="5DA84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56" w:type="pct"/>
                  <w:noWrap w:val="0"/>
                  <w:vAlign w:val="center"/>
                </w:tcPr>
                <w:p w14:paraId="1B652D56">
                  <w:pPr>
                    <w:keepNext w:val="0"/>
                    <w:keepLines w:val="0"/>
                    <w:suppressLineNumbers w:val="0"/>
                    <w:spacing w:before="0" w:beforeAutospacing="0" w:after="0" w:afterAutospacing="0"/>
                    <w:ind w:left="0" w:right="0"/>
                    <w:jc w:val="center"/>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污染物</w:t>
                  </w:r>
                </w:p>
              </w:tc>
              <w:tc>
                <w:tcPr>
                  <w:tcW w:w="2743" w:type="pct"/>
                  <w:noWrap w:val="0"/>
                  <w:vAlign w:val="center"/>
                </w:tcPr>
                <w:p w14:paraId="121F473B">
                  <w:pPr>
                    <w:keepNext w:val="0"/>
                    <w:keepLines w:val="0"/>
                    <w:suppressLineNumbers w:val="0"/>
                    <w:spacing w:before="0" w:beforeAutospacing="0" w:after="0" w:afterAutospacing="0"/>
                    <w:ind w:left="0" w:right="0"/>
                    <w:jc w:val="center"/>
                    <w:rPr>
                      <w:rFonts w:hint="default"/>
                      <w:b/>
                      <w:bCs/>
                      <w:color w:val="auto"/>
                      <w:sz w:val="21"/>
                      <w:szCs w:val="21"/>
                      <w:highlight w:val="none"/>
                    </w:rPr>
                  </w:pPr>
                  <w:r>
                    <w:rPr>
                      <w:rFonts w:hint="default"/>
                      <w:b/>
                      <w:bCs/>
                      <w:color w:val="auto"/>
                      <w:sz w:val="21"/>
                      <w:szCs w:val="21"/>
                      <w:highlight w:val="none"/>
                    </w:rPr>
                    <w:t>预测排放量</w:t>
                  </w:r>
                </w:p>
              </w:tc>
            </w:tr>
            <w:tr w14:paraId="4B7C4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56" w:type="pct"/>
                  <w:noWrap w:val="0"/>
                  <w:vAlign w:val="center"/>
                </w:tcPr>
                <w:p w14:paraId="597D5AD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b w:val="0"/>
                      <w:bCs w:val="0"/>
                      <w:color w:val="auto"/>
                      <w:kern w:val="2"/>
                      <w:sz w:val="21"/>
                      <w:szCs w:val="21"/>
                      <w:highlight w:val="none"/>
                      <w:lang w:val="zh-CN" w:eastAsia="zh-CN" w:bidi="ar-SA"/>
                    </w:rPr>
                  </w:pPr>
                  <w:r>
                    <w:rPr>
                      <w:rFonts w:hint="eastAsia"/>
                      <w:b w:val="0"/>
                      <w:bCs w:val="0"/>
                      <w:color w:val="auto"/>
                      <w:sz w:val="21"/>
                      <w:szCs w:val="21"/>
                      <w:highlight w:val="none"/>
                      <w:lang w:val="zh-CN"/>
                    </w:rPr>
                    <w:t>工业粉尘</w:t>
                  </w:r>
                </w:p>
              </w:tc>
              <w:tc>
                <w:tcPr>
                  <w:tcW w:w="2743" w:type="pct"/>
                  <w:noWrap w:val="0"/>
                  <w:vAlign w:val="center"/>
                </w:tcPr>
                <w:p w14:paraId="01AA0C4C">
                  <w:pPr>
                    <w:keepNext w:val="0"/>
                    <w:keepLines w:val="0"/>
                    <w:suppressLineNumbers w:val="0"/>
                    <w:spacing w:before="0" w:beforeAutospacing="0" w:after="0" w:afterAutospacing="0" w:line="0" w:lineRule="atLeast"/>
                    <w:ind w:left="0" w:leftChars="0" w:right="0" w:rightChars="0"/>
                    <w:jc w:val="center"/>
                    <w:rPr>
                      <w:rFonts w:hint="default"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6.72</w:t>
                  </w:r>
                </w:p>
              </w:tc>
            </w:tr>
            <w:tr w14:paraId="19769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56" w:type="pct"/>
                  <w:noWrap w:val="0"/>
                  <w:vAlign w:val="center"/>
                </w:tcPr>
                <w:p w14:paraId="18DD6E6B">
                  <w:pPr>
                    <w:pStyle w:val="55"/>
                    <w:keepNext w:val="0"/>
                    <w:keepLines w:val="0"/>
                    <w:suppressLineNumbers w:val="0"/>
                    <w:spacing w:before="0" w:beforeLines="0" w:beforeAutospacing="0" w:after="0" w:afterLines="0" w:afterAutospacing="0" w:line="240" w:lineRule="auto"/>
                    <w:ind w:left="0" w:leftChars="0" w:right="0" w:rightChars="0"/>
                    <w:rPr>
                      <w:rFonts w:hint="default"/>
                      <w:b w:val="0"/>
                      <w:bCs w:val="0"/>
                      <w:color w:val="auto"/>
                      <w:sz w:val="21"/>
                      <w:szCs w:val="21"/>
                      <w:highlight w:val="none"/>
                      <w:lang w:val="zh-CN"/>
                    </w:rPr>
                  </w:pPr>
                  <w:r>
                    <w:rPr>
                      <w:rFonts w:hint="default" w:ascii="Times New Roman" w:hAnsi="Times New Roman" w:eastAsia="宋体" w:cs="Times New Roman"/>
                      <w:snapToGrid w:val="0"/>
                      <w:color w:val="auto"/>
                      <w:kern w:val="21"/>
                      <w:sz w:val="21"/>
                      <w:szCs w:val="21"/>
                      <w:highlight w:val="none"/>
                    </w:rPr>
                    <w:t>颗粒物</w:t>
                  </w:r>
                </w:p>
              </w:tc>
              <w:tc>
                <w:tcPr>
                  <w:tcW w:w="2743" w:type="pct"/>
                  <w:noWrap w:val="0"/>
                  <w:vAlign w:val="center"/>
                </w:tcPr>
                <w:p w14:paraId="23FAFE9C">
                  <w:pPr>
                    <w:keepNext w:val="0"/>
                    <w:keepLines w:val="0"/>
                    <w:suppressLineNumbers w:val="0"/>
                    <w:spacing w:before="0" w:beforeAutospacing="0" w:after="0" w:afterAutospacing="0" w:line="0" w:lineRule="atLeast"/>
                    <w:ind w:left="0" w:leftChars="0" w:right="0" w:rightChars="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0.379</w:t>
                  </w:r>
                </w:p>
              </w:tc>
            </w:tr>
            <w:tr w14:paraId="0DBB7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56" w:type="pct"/>
                  <w:noWrap w:val="0"/>
                  <w:vAlign w:val="center"/>
                </w:tcPr>
                <w:p w14:paraId="03969CBC">
                  <w:pPr>
                    <w:pStyle w:val="55"/>
                    <w:keepNext w:val="0"/>
                    <w:keepLines w:val="0"/>
                    <w:suppressLineNumbers w:val="0"/>
                    <w:spacing w:before="0" w:beforeLines="0" w:beforeAutospacing="0" w:after="0" w:afterLines="0" w:afterAutospacing="0" w:line="240" w:lineRule="auto"/>
                    <w:ind w:left="0" w:leftChars="0" w:right="0" w:rightChars="0"/>
                    <w:rPr>
                      <w:rFonts w:hint="default"/>
                      <w:b w:val="0"/>
                      <w:bCs w:val="0"/>
                      <w:color w:val="auto"/>
                      <w:sz w:val="21"/>
                      <w:szCs w:val="21"/>
                      <w:highlight w:val="none"/>
                      <w:lang w:val="zh-CN"/>
                    </w:rPr>
                  </w:pPr>
                  <w:r>
                    <w:rPr>
                      <w:rFonts w:hint="default" w:ascii="Times New Roman" w:hAnsi="Times New Roman" w:eastAsia="宋体" w:cs="Times New Roman"/>
                      <w:color w:val="auto"/>
                      <w:sz w:val="21"/>
                      <w:szCs w:val="21"/>
                      <w:highlight w:val="none"/>
                      <w:lang w:bidi="ar"/>
                    </w:rPr>
                    <w:t>SO</w:t>
                  </w:r>
                  <w:r>
                    <w:rPr>
                      <w:rFonts w:hint="default" w:ascii="Times New Roman" w:hAnsi="Times New Roman" w:eastAsia="宋体" w:cs="Times New Roman"/>
                      <w:color w:val="auto"/>
                      <w:sz w:val="21"/>
                      <w:szCs w:val="21"/>
                      <w:highlight w:val="none"/>
                      <w:vertAlign w:val="subscript"/>
                      <w:lang w:bidi="ar"/>
                    </w:rPr>
                    <w:t>2</w:t>
                  </w:r>
                </w:p>
              </w:tc>
              <w:tc>
                <w:tcPr>
                  <w:tcW w:w="2743" w:type="pct"/>
                  <w:noWrap w:val="0"/>
                  <w:vAlign w:val="center"/>
                </w:tcPr>
                <w:p w14:paraId="22936A0D">
                  <w:pPr>
                    <w:keepNext w:val="0"/>
                    <w:keepLines w:val="0"/>
                    <w:suppressLineNumbers w:val="0"/>
                    <w:spacing w:before="0" w:beforeAutospacing="0" w:after="0" w:afterAutospacing="0" w:line="0" w:lineRule="atLeast"/>
                    <w:ind w:left="0" w:leftChars="0" w:right="0" w:rightChars="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1.35</w:t>
                  </w:r>
                </w:p>
              </w:tc>
            </w:tr>
            <w:tr w14:paraId="4381D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56" w:type="pct"/>
                  <w:noWrap w:val="0"/>
                  <w:vAlign w:val="center"/>
                </w:tcPr>
                <w:p w14:paraId="6E32518E">
                  <w:pPr>
                    <w:pStyle w:val="55"/>
                    <w:keepNext w:val="0"/>
                    <w:keepLines w:val="0"/>
                    <w:suppressLineNumbers w:val="0"/>
                    <w:spacing w:before="0" w:beforeLines="0" w:beforeAutospacing="0" w:after="0" w:afterLines="0" w:afterAutospacing="0" w:line="240" w:lineRule="auto"/>
                    <w:ind w:left="0" w:leftChars="0" w:right="0" w:rightChars="0"/>
                    <w:rPr>
                      <w:rFonts w:hint="default"/>
                      <w:b w:val="0"/>
                      <w:bCs w:val="0"/>
                      <w:color w:val="auto"/>
                      <w:sz w:val="21"/>
                      <w:szCs w:val="21"/>
                      <w:highlight w:val="none"/>
                      <w:lang w:val="zh-CN"/>
                    </w:rPr>
                  </w:pPr>
                  <w:r>
                    <w:rPr>
                      <w:rFonts w:hint="default" w:ascii="Times New Roman" w:hAnsi="Times New Roman" w:eastAsia="宋体" w:cs="Times New Roman"/>
                      <w:color w:val="auto"/>
                      <w:sz w:val="21"/>
                      <w:szCs w:val="21"/>
                      <w:highlight w:val="none"/>
                      <w:lang w:bidi="ar"/>
                    </w:rPr>
                    <w:t>NO</w:t>
                  </w:r>
                  <w:r>
                    <w:rPr>
                      <w:rFonts w:hint="default" w:ascii="Times New Roman" w:hAnsi="Times New Roman" w:eastAsia="宋体" w:cs="Times New Roman"/>
                      <w:color w:val="auto"/>
                      <w:sz w:val="21"/>
                      <w:szCs w:val="21"/>
                      <w:highlight w:val="none"/>
                      <w:vertAlign w:val="subscript"/>
                      <w:lang w:bidi="ar"/>
                    </w:rPr>
                    <w:t>X</w:t>
                  </w:r>
                </w:p>
              </w:tc>
              <w:tc>
                <w:tcPr>
                  <w:tcW w:w="2743" w:type="pct"/>
                  <w:noWrap w:val="0"/>
                  <w:vAlign w:val="center"/>
                </w:tcPr>
                <w:p w14:paraId="1F3AC82F">
                  <w:pPr>
                    <w:keepNext w:val="0"/>
                    <w:keepLines w:val="0"/>
                    <w:suppressLineNumbers w:val="0"/>
                    <w:spacing w:before="0" w:beforeAutospacing="0" w:after="0" w:afterAutospacing="0" w:line="0" w:lineRule="atLeast"/>
                    <w:ind w:left="0" w:leftChars="0" w:right="0" w:rightChars="0"/>
                    <w:jc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3.25</w:t>
                  </w:r>
                </w:p>
              </w:tc>
            </w:tr>
          </w:tbl>
          <w:p w14:paraId="0C1DB752">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Cs w:val="21"/>
                <w:highlight w:val="none"/>
              </w:rPr>
            </w:pPr>
          </w:p>
          <w:p w14:paraId="3DA0F15A">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Cs w:val="21"/>
                <w:highlight w:val="none"/>
              </w:rPr>
            </w:pPr>
          </w:p>
          <w:p w14:paraId="2F21220D">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Cs w:val="21"/>
                <w:highlight w:val="none"/>
              </w:rPr>
            </w:pPr>
          </w:p>
          <w:p w14:paraId="5F563EAE">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Cs w:val="21"/>
                <w:highlight w:val="none"/>
              </w:rPr>
            </w:pPr>
          </w:p>
        </w:tc>
      </w:tr>
    </w:tbl>
    <w:p w14:paraId="6BED9BB5">
      <w:pPr>
        <w:pStyle w:val="28"/>
        <w:jc w:val="center"/>
        <w:outlineLvl w:val="0"/>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snapToGrid w:val="0"/>
          <w:color w:val="auto"/>
          <w:sz w:val="36"/>
          <w:szCs w:val="36"/>
          <w:highlight w:val="none"/>
        </w:rPr>
        <w:br w:type="page"/>
      </w:r>
      <w:bookmarkStart w:id="11" w:name="_Toc5453"/>
      <w:bookmarkStart w:id="12" w:name="_Toc13576"/>
      <w:r>
        <w:rPr>
          <w:rFonts w:hint="default" w:ascii="Times New Roman" w:hAnsi="Times New Roman" w:eastAsia="宋体" w:cs="Times New Roman"/>
          <w:snapToGrid w:val="0"/>
          <w:color w:val="auto"/>
          <w:sz w:val="30"/>
          <w:szCs w:val="30"/>
          <w:highlight w:val="none"/>
        </w:rPr>
        <w:t>四、主要环境影响和保护措施</w:t>
      </w:r>
      <w:bookmarkEnd w:id="11"/>
      <w:bookmarkEnd w:id="12"/>
    </w:p>
    <w:tbl>
      <w:tblPr>
        <w:tblStyle w:val="33"/>
        <w:tblW w:w="89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70"/>
      </w:tblGrid>
      <w:tr w14:paraId="6ACB2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5" w:hRule="atLeast"/>
          <w:jc w:val="center"/>
        </w:trPr>
        <w:tc>
          <w:tcPr>
            <w:tcW w:w="746" w:type="dxa"/>
            <w:tcMar>
              <w:left w:w="28" w:type="dxa"/>
              <w:right w:w="28" w:type="dxa"/>
            </w:tcMar>
            <w:vAlign w:val="center"/>
          </w:tcPr>
          <w:p w14:paraId="66764357">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施工</w:t>
            </w:r>
          </w:p>
          <w:p w14:paraId="59EBF694">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期环</w:t>
            </w:r>
          </w:p>
          <w:p w14:paraId="2971E926">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境保</w:t>
            </w:r>
          </w:p>
          <w:p w14:paraId="7D139524">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护措</w:t>
            </w:r>
          </w:p>
          <w:p w14:paraId="6E79EB56">
            <w:pPr>
              <w:pStyle w:val="28"/>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kern w:val="2"/>
                <w:szCs w:val="24"/>
                <w:highlight w:val="none"/>
              </w:rPr>
            </w:pPr>
            <w:r>
              <w:rPr>
                <w:rFonts w:hint="default" w:ascii="Times New Roman" w:hAnsi="Times New Roman" w:eastAsia="宋体" w:cs="Times New Roman"/>
                <w:color w:val="auto"/>
                <w:kern w:val="2"/>
                <w:szCs w:val="24"/>
                <w:highlight w:val="none"/>
              </w:rPr>
              <w:t>施</w:t>
            </w:r>
          </w:p>
        </w:tc>
        <w:tc>
          <w:tcPr>
            <w:tcW w:w="8170" w:type="dxa"/>
            <w:vAlign w:val="center"/>
          </w:tcPr>
          <w:p w14:paraId="0E4373FC">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r>
              <w:rPr>
                <w:rFonts w:hint="default" w:ascii="Times New Roman" w:hAnsi="Times New Roman" w:eastAsia="宋体" w:cs="Times New Roman"/>
                <w:bCs/>
                <w:color w:val="auto"/>
                <w:spacing w:val="-10"/>
                <w:sz w:val="24"/>
                <w:highlight w:val="none"/>
              </w:rPr>
              <w:t>1、废气</w:t>
            </w:r>
          </w:p>
          <w:p w14:paraId="76C32E8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施工期对环境大气的影响主要是建筑材料和工程弃土的堆放、装卸、拌料过程以及车辆在运输过程中产生的扬尘。施工扬尘主要影响施工场地及附近区域的环境卫生和环境质量。经采取必要的防尘措施后可有效地减轻扬尘对环境的影响。洒水可简洁有效的抑制扬尘。如果在施工期内对车辆行驶的路面实施洒水抑尘，每天洒水4～5次，可</w:t>
            </w:r>
            <w:r>
              <w:rPr>
                <w:rFonts w:hint="default" w:ascii="Times New Roman" w:hAnsi="Times New Roman" w:eastAsia="宋体" w:cs="Times New Roman"/>
                <w:bCs/>
                <w:color w:val="auto"/>
                <w:spacing w:val="0"/>
                <w:sz w:val="24"/>
                <w:highlight w:val="none"/>
                <w:lang w:val="en-US" w:eastAsia="zh-CN"/>
              </w:rPr>
              <w:t>有效降低扬尘</w:t>
            </w:r>
            <w:r>
              <w:rPr>
                <w:rFonts w:hint="default" w:ascii="Times New Roman" w:hAnsi="Times New Roman" w:eastAsia="宋体" w:cs="Times New Roman"/>
                <w:bCs/>
                <w:color w:val="auto"/>
                <w:spacing w:val="0"/>
                <w:sz w:val="24"/>
                <w:highlight w:val="none"/>
              </w:rPr>
              <w:t>。</w:t>
            </w:r>
          </w:p>
          <w:p w14:paraId="6C30C92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因此，在建设期应对运输的道路及时清扫和浇水，并加强施工管理，配置工地细目滞尘防护网，施工现场设置围栏，封闭现场，同时必须采用封闭车辆运输，最大程度地减少扬尘对周围大气环境及居民的影响。</w:t>
            </w:r>
          </w:p>
          <w:p w14:paraId="51FECD8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采用污染防治措施后，使施工期对周围环境的大气污染降到最小，施工厂界扬尘浓度贡献值均低于《大气污染物综合排放标准》（GB16297-1996）规定的颗粒物无组织排放监控浓度限值1.0mg/m</w:t>
            </w:r>
            <w:r>
              <w:rPr>
                <w:rFonts w:hint="default" w:ascii="Times New Roman" w:hAnsi="Times New Roman" w:eastAsia="宋体" w:cs="Times New Roman"/>
                <w:bCs/>
                <w:color w:val="auto"/>
                <w:spacing w:val="0"/>
                <w:sz w:val="24"/>
                <w:highlight w:val="none"/>
                <w:vertAlign w:val="superscript"/>
              </w:rPr>
              <w:t>3</w:t>
            </w:r>
            <w:r>
              <w:rPr>
                <w:rFonts w:hint="default" w:ascii="Times New Roman" w:hAnsi="Times New Roman" w:eastAsia="宋体" w:cs="Times New Roman"/>
                <w:bCs/>
                <w:color w:val="auto"/>
                <w:spacing w:val="0"/>
                <w:sz w:val="24"/>
                <w:highlight w:val="none"/>
              </w:rPr>
              <w:t>，可被周围环境所接受。</w:t>
            </w:r>
          </w:p>
          <w:p w14:paraId="4CBBF4A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2、废水</w:t>
            </w:r>
          </w:p>
          <w:p w14:paraId="7707DE8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施工过程中产生的废水主要为施工人员排放的生活污水和施工作业产生的废水以及施工期间车辆冲洗废水，由于施工期施工人员只在白天工作，施工人员不在场地内食宿，因此产生的废水较少。</w:t>
            </w:r>
          </w:p>
          <w:p w14:paraId="685B822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废水中主要污染因子为COD、BOD</w:t>
            </w:r>
            <w:r>
              <w:rPr>
                <w:rFonts w:hint="default" w:ascii="Times New Roman" w:hAnsi="Times New Roman" w:eastAsia="宋体" w:cs="Times New Roman"/>
                <w:bCs/>
                <w:color w:val="auto"/>
                <w:spacing w:val="0"/>
                <w:sz w:val="24"/>
                <w:highlight w:val="none"/>
                <w:vertAlign w:val="subscript"/>
              </w:rPr>
              <w:t>5</w:t>
            </w:r>
            <w:r>
              <w:rPr>
                <w:rFonts w:hint="default" w:ascii="Times New Roman" w:hAnsi="Times New Roman" w:eastAsia="宋体" w:cs="Times New Roman"/>
                <w:bCs/>
                <w:color w:val="auto"/>
                <w:spacing w:val="0"/>
                <w:sz w:val="24"/>
                <w:highlight w:val="none"/>
              </w:rPr>
              <w:t>、氨氮等。生活污水排入防渗旱厕，施工作业和冲洗车辆产生的废水沉淀后用于场地内洒水抑尘。</w:t>
            </w:r>
          </w:p>
          <w:p w14:paraId="6FD2EC7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3、噪声</w:t>
            </w:r>
          </w:p>
          <w:p w14:paraId="3847789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施工期声环境的主要影响是施工机械噪声。一般施工机械噪声源强为75～90dB(A)之间。为了减轻本建设项目施工期噪声的环境影响，必须采取以下控制措施：</w:t>
            </w:r>
          </w:p>
          <w:p w14:paraId="668EBFF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（1）加强施工管理，合理安排作业时间，严格执行施工噪声管理的有关规定；</w:t>
            </w:r>
          </w:p>
          <w:p w14:paraId="7C93FC4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（2）机械限时使用，避免夜间施工，晚22：00至早6：00和中午12：00至13：30禁止机械作业；</w:t>
            </w:r>
          </w:p>
          <w:p w14:paraId="2515837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（3）施工机械应尽可能放置于对场界外居民区造成影响最小的地点；</w:t>
            </w:r>
          </w:p>
          <w:p w14:paraId="61CB8D1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（4）作业时在高噪声设备周围设置声屏障；</w:t>
            </w:r>
          </w:p>
          <w:p w14:paraId="5FA7051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（5）加强车辆的管理，建材等运输尽量在白天进行，并控制车辆鸣笛。</w:t>
            </w:r>
          </w:p>
          <w:p w14:paraId="61BEB46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在严格执行本报告提出的污染防治措施的前提下，施工期噪声满足</w:t>
            </w:r>
            <w:r>
              <w:rPr>
                <w:rFonts w:hint="eastAsia" w:cs="Times New Roman"/>
                <w:bCs/>
                <w:color w:val="auto"/>
                <w:spacing w:val="0"/>
                <w:sz w:val="24"/>
                <w:highlight w:val="none"/>
                <w:lang w:eastAsia="zh-CN"/>
              </w:rPr>
              <w:t>《建筑施工噪声排放标准》（GB12523-2025）</w:t>
            </w:r>
            <w:r>
              <w:rPr>
                <w:rFonts w:hint="default" w:ascii="Times New Roman" w:hAnsi="Times New Roman" w:eastAsia="宋体" w:cs="Times New Roman"/>
                <w:bCs/>
                <w:color w:val="auto"/>
                <w:spacing w:val="0"/>
                <w:sz w:val="24"/>
                <w:highlight w:val="none"/>
              </w:rPr>
              <w:t>中的排放限值，对周围环境的影响是可以被接受的。</w:t>
            </w:r>
          </w:p>
          <w:p w14:paraId="4532863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4、固废</w:t>
            </w:r>
          </w:p>
          <w:p w14:paraId="3BF41F0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本项目施工人员产生的生活垃圾集中收集由市政部门统一清运处置；产生的建筑垃圾在施工中尽量综合利用，不能利用的建筑垃圾集中堆存采取苫布遮盖措施，由市政部门统一清运处置。采取上述措施后，本项目施工期的产生固体废物对环境影响较小。</w:t>
            </w:r>
          </w:p>
          <w:p w14:paraId="586607CD">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5DC6AB7D">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0BAAB416">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54E5F7DD">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4F21D7DB">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4F989F7D">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1D63F9AD">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5E8AA8F1">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2071A7BF">
            <w:pPr>
              <w:keepNext w:val="0"/>
              <w:keepLines w:val="0"/>
              <w:suppressLineNumbers w:val="0"/>
              <w:adjustRightInd w:val="0"/>
              <w:snapToGrid w:val="0"/>
              <w:spacing w:before="0" w:beforeAutospacing="0" w:after="0" w:afterAutospacing="0" w:line="360" w:lineRule="auto"/>
              <w:ind w:left="0" w:right="0" w:firstLine="440" w:firstLineChars="200"/>
              <w:rPr>
                <w:rFonts w:hint="default" w:ascii="Times New Roman" w:hAnsi="Times New Roman" w:eastAsia="宋体" w:cs="Times New Roman"/>
                <w:bCs/>
                <w:color w:val="auto"/>
                <w:spacing w:val="-10"/>
                <w:sz w:val="24"/>
                <w:highlight w:val="none"/>
              </w:rPr>
            </w:pPr>
          </w:p>
          <w:p w14:paraId="16A85929">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pacing w:val="-10"/>
                <w:sz w:val="24"/>
                <w:highlight w:val="none"/>
              </w:rPr>
            </w:pPr>
          </w:p>
          <w:p w14:paraId="15F79166">
            <w:pPr>
              <w:pStyle w:val="3"/>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2E861570">
            <w:pPr>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34C42791">
            <w:pPr>
              <w:pStyle w:val="3"/>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477838AC">
            <w:pPr>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41482619">
            <w:pPr>
              <w:pStyle w:val="3"/>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516DC71F">
            <w:pPr>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10"/>
                <w:sz w:val="24"/>
                <w:highlight w:val="none"/>
              </w:rPr>
            </w:pPr>
          </w:p>
          <w:p w14:paraId="00053506">
            <w:pPr>
              <w:pStyle w:val="3"/>
              <w:keepLines w:val="0"/>
              <w:suppressLineNumbers w:val="0"/>
              <w:spacing w:before="0" w:beforeAutospacing="0" w:after="0" w:afterAutospacing="0"/>
              <w:ind w:left="0" w:right="0"/>
              <w:rPr>
                <w:rFonts w:hint="default"/>
                <w:color w:val="auto"/>
                <w:highlight w:val="none"/>
              </w:rPr>
            </w:pPr>
          </w:p>
        </w:tc>
      </w:tr>
      <w:tr w14:paraId="128ED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73" w:hRule="atLeast"/>
          <w:jc w:val="center"/>
        </w:trPr>
        <w:tc>
          <w:tcPr>
            <w:tcW w:w="746" w:type="dxa"/>
            <w:tcMar>
              <w:left w:w="28" w:type="dxa"/>
              <w:right w:w="28" w:type="dxa"/>
            </w:tcMar>
            <w:vAlign w:val="center"/>
          </w:tcPr>
          <w:p w14:paraId="3BB9A12E">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运营</w:t>
            </w:r>
          </w:p>
          <w:p w14:paraId="13B33F75">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期环</w:t>
            </w:r>
          </w:p>
          <w:p w14:paraId="37E93C9C">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境影</w:t>
            </w:r>
          </w:p>
          <w:p w14:paraId="044DC398">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响和</w:t>
            </w:r>
          </w:p>
          <w:p w14:paraId="47441265">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保护</w:t>
            </w:r>
          </w:p>
          <w:p w14:paraId="7AF71852">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措施</w:t>
            </w:r>
          </w:p>
        </w:tc>
        <w:tc>
          <w:tcPr>
            <w:tcW w:w="8170" w:type="dxa"/>
            <w:vAlign w:val="center"/>
          </w:tcPr>
          <w:p w14:paraId="1D4785A6">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1、废气</w:t>
            </w:r>
          </w:p>
          <w:p w14:paraId="1448F323">
            <w:pPr>
              <w:pStyle w:val="67"/>
              <w:keepNext w:val="0"/>
              <w:keepLines w:val="0"/>
              <w:suppressLineNumbers w:val="0"/>
              <w:spacing w:before="0" w:beforeLines="0" w:beforeAutospacing="0" w:after="0" w:afterLines="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本项目灰渣存放在</w:t>
            </w:r>
            <w:r>
              <w:rPr>
                <w:rFonts w:hint="eastAsia" w:cs="Times New Roman"/>
                <w:color w:val="auto"/>
                <w:sz w:val="24"/>
                <w:szCs w:val="24"/>
                <w:highlight w:val="none"/>
                <w:lang w:eastAsia="zh-CN"/>
              </w:rPr>
              <w:t>灰渣间</w:t>
            </w:r>
            <w:r>
              <w:rPr>
                <w:rFonts w:hint="default" w:ascii="Times New Roman" w:hAnsi="Times New Roman" w:eastAsia="宋体" w:cs="Times New Roman"/>
                <w:color w:val="auto"/>
                <w:sz w:val="24"/>
                <w:szCs w:val="24"/>
                <w:highlight w:val="none"/>
              </w:rPr>
              <w:t>内，</w:t>
            </w:r>
            <w:r>
              <w:rPr>
                <w:rFonts w:hint="default" w:ascii="Times New Roman" w:hAnsi="Times New Roman" w:eastAsia="宋体" w:cs="Times New Roman"/>
                <w:color w:val="auto"/>
                <w:sz w:val="24"/>
                <w:szCs w:val="24"/>
                <w:highlight w:val="none"/>
                <w:lang w:val="en-US" w:eastAsia="zh-CN"/>
              </w:rPr>
              <w:t>袋装</w:t>
            </w:r>
            <w:r>
              <w:rPr>
                <w:rFonts w:hint="default" w:ascii="Times New Roman" w:hAnsi="Times New Roman" w:eastAsia="宋体" w:cs="Times New Roman"/>
                <w:color w:val="auto"/>
                <w:sz w:val="24"/>
                <w:szCs w:val="24"/>
                <w:highlight w:val="none"/>
              </w:rPr>
              <w:t>封闭存放，及时清运处理，不会产生污染；</w:t>
            </w:r>
            <w:r>
              <w:rPr>
                <w:rFonts w:hint="default" w:ascii="Times New Roman" w:hAnsi="Times New Roman" w:eastAsia="宋体" w:cs="Times New Roman"/>
                <w:color w:val="auto"/>
                <w:sz w:val="24"/>
                <w:szCs w:val="24"/>
                <w:highlight w:val="none"/>
                <w:lang w:val="en-US" w:eastAsia="zh-CN"/>
              </w:rPr>
              <w:t>本项目所用提升、输送设备为密闭设备，原粮及烘干后的玉米、水稻均采用密闭输送设备输送，运行过程需加强输送设备的管理，做好设备密封工作，定期检修，输送粉尘产生量少，本次不做具体分析。</w:t>
            </w:r>
            <w:r>
              <w:rPr>
                <w:rFonts w:hint="default" w:ascii="Times New Roman" w:hAnsi="Times New Roman" w:eastAsia="宋体" w:cs="Times New Roman"/>
                <w:color w:val="auto"/>
                <w:sz w:val="24"/>
                <w:szCs w:val="24"/>
                <w:highlight w:val="none"/>
              </w:rPr>
              <w:t>运行期废气污染源主要为卸粮及筛分工序产生的废气，烘干塔废气和热风炉烟气。</w:t>
            </w:r>
          </w:p>
          <w:p w14:paraId="172C9A6E">
            <w:pPr>
              <w:pStyle w:val="67"/>
              <w:keepNext w:val="0"/>
              <w:keepLines w:val="0"/>
              <w:numPr>
                <w:ilvl w:val="0"/>
                <w:numId w:val="0"/>
              </w:numPr>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（一）</w:t>
            </w:r>
            <w:r>
              <w:rPr>
                <w:rFonts w:hint="default" w:ascii="Times New Roman" w:hAnsi="Times New Roman" w:eastAsia="宋体" w:cs="Times New Roman"/>
                <w:color w:val="auto"/>
                <w:sz w:val="24"/>
                <w:szCs w:val="24"/>
                <w:highlight w:val="none"/>
              </w:rPr>
              <w:t>源强核算及达标排放情况</w:t>
            </w:r>
          </w:p>
          <w:p w14:paraId="40537365">
            <w:pPr>
              <w:pStyle w:val="6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运输废气</w:t>
            </w:r>
          </w:p>
          <w:p w14:paraId="13FD5CD2">
            <w:pPr>
              <w:pStyle w:val="67"/>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项目运行期间原料及燃料量较大，运输过程中可能会产生扬尘本</w:t>
            </w: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要求：生物质燃料和原料运输过程中用毡布覆盖，装卸过程中严格遵守在封闭仓库内进行；</w:t>
            </w:r>
            <w:r>
              <w:rPr>
                <w:rFonts w:hint="default" w:ascii="Times New Roman" w:hAnsi="Times New Roman" w:eastAsia="宋体" w:cs="Times New Roman"/>
                <w:color w:val="auto"/>
                <w:kern w:val="2"/>
                <w:sz w:val="24"/>
                <w:szCs w:val="24"/>
                <w:highlight w:val="none"/>
                <w:lang w:val="en-US" w:eastAsia="zh-CN" w:bidi="ar-SA"/>
              </w:rPr>
              <w:t>运输车辆严格控制车速减速慢行，</w:t>
            </w:r>
            <w:r>
              <w:rPr>
                <w:rFonts w:hint="default" w:ascii="Times New Roman" w:hAnsi="Times New Roman" w:eastAsia="宋体" w:cs="Times New Roman"/>
                <w:color w:val="auto"/>
                <w:sz w:val="24"/>
                <w:szCs w:val="24"/>
                <w:highlight w:val="none"/>
                <w:lang w:val="en-US" w:eastAsia="zh-CN"/>
              </w:rPr>
              <w:t>车辆进厂后及时洒水降尘；</w:t>
            </w:r>
          </w:p>
          <w:p w14:paraId="5CDA43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sz w:val="24"/>
                <w:szCs w:val="24"/>
                <w:highlight w:val="none"/>
              </w:rPr>
              <w:t>卸粮废气</w:t>
            </w:r>
          </w:p>
          <w:p w14:paraId="054F2741">
            <w:pPr>
              <w:pStyle w:val="67"/>
              <w:keepNext w:val="0"/>
              <w:keepLines w:val="0"/>
              <w:suppressLineNumbers w:val="0"/>
              <w:spacing w:before="0" w:beforeLines="0" w:beforeAutospacing="0" w:after="0" w:afterLines="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本项目原粮卸粮过程中会产生废气，主要污染物为颗粒物，根据《逸散性工业粉尘控制技术》中谷物贮仓，卡车卸料粉尘系数为0.16kg/t（卸料），本项目原粮卸料总量为</w:t>
            </w:r>
            <w:r>
              <w:rPr>
                <w:rFonts w:hint="default" w:ascii="Times New Roman" w:hAnsi="Times New Roman" w:eastAsia="宋体"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rPr>
              <w:t>000吨，粉尘产生量为</w:t>
            </w:r>
            <w:r>
              <w:rPr>
                <w:rFonts w:hint="default" w:ascii="Times New Roman" w:hAnsi="Times New Roman" w:eastAsia="宋体" w:cs="Times New Roman"/>
                <w:color w:val="auto"/>
                <w:sz w:val="24"/>
                <w:szCs w:val="24"/>
                <w:highlight w:val="none"/>
                <w:lang w:val="en-US" w:eastAsia="zh-CN"/>
              </w:rPr>
              <w:t>9.6t</w:t>
            </w:r>
            <w:r>
              <w:rPr>
                <w:rFonts w:hint="default" w:ascii="Times New Roman" w:hAnsi="Times New Roman" w:eastAsia="宋体" w:cs="Times New Roman"/>
                <w:color w:val="auto"/>
                <w:sz w:val="24"/>
                <w:szCs w:val="24"/>
                <w:highlight w:val="none"/>
              </w:rPr>
              <w:t>/a，卸粮时间按</w:t>
            </w:r>
            <w:r>
              <w:rPr>
                <w:rFonts w:hint="default" w:ascii="Times New Roman" w:hAnsi="Times New Roman" w:eastAsia="宋体" w:cs="Times New Roman"/>
                <w:color w:val="auto"/>
                <w:sz w:val="24"/>
                <w:szCs w:val="24"/>
                <w:highlight w:val="none"/>
                <w:lang w:val="en-US" w:eastAsia="zh-CN"/>
              </w:rPr>
              <w:t>每天6</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年工作</w:t>
            </w:r>
            <w:r>
              <w:rPr>
                <w:rFonts w:hint="eastAsia"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天</w:t>
            </w:r>
            <w:r>
              <w:rPr>
                <w:rFonts w:hint="default" w:ascii="Times New Roman" w:hAnsi="Times New Roman" w:eastAsia="宋体" w:cs="Times New Roman"/>
                <w:color w:val="auto"/>
                <w:sz w:val="24"/>
                <w:szCs w:val="24"/>
                <w:highlight w:val="none"/>
              </w:rPr>
              <w:t>计，产生速率为</w:t>
            </w:r>
            <w:r>
              <w:rPr>
                <w:rFonts w:hint="eastAsia" w:cs="Times New Roman"/>
                <w:color w:val="auto"/>
                <w:sz w:val="24"/>
                <w:szCs w:val="24"/>
                <w:highlight w:val="none"/>
                <w:lang w:val="en-US" w:eastAsia="zh-CN"/>
              </w:rPr>
              <w:t>21.33</w:t>
            </w:r>
            <w:r>
              <w:rPr>
                <w:rFonts w:hint="default" w:ascii="Times New Roman" w:hAnsi="Times New Roman" w:eastAsia="宋体" w:cs="Times New Roman"/>
                <w:color w:val="auto"/>
                <w:sz w:val="24"/>
                <w:szCs w:val="24"/>
                <w:highlight w:val="none"/>
              </w:rPr>
              <w:t>kg/h，粮食装卸粉尘绝大多数将受到重力的作用回落到地面，</w:t>
            </w:r>
            <w:r>
              <w:rPr>
                <w:rFonts w:hint="default" w:ascii="Times New Roman" w:hAnsi="Times New Roman" w:eastAsia="宋体" w:cs="Times New Roman"/>
                <w:color w:val="auto"/>
                <w:sz w:val="24"/>
                <w:szCs w:val="24"/>
                <w:highlight w:val="none"/>
                <w:lang w:val="en-US" w:eastAsia="zh-CN"/>
              </w:rPr>
              <w:t>根据《逸散性工业粉尘控制技术（中国环境科学出版社）》</w:t>
            </w:r>
            <w:r>
              <w:rPr>
                <w:rFonts w:hint="eastAsia" w:cs="Times New Roman"/>
                <w:color w:val="auto"/>
                <w:sz w:val="24"/>
                <w:szCs w:val="24"/>
                <w:highlight w:val="none"/>
                <w:lang w:val="en-US" w:eastAsia="zh-CN"/>
              </w:rPr>
              <w:t>可知</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采取减小装卸高度、密闭输送等降尘措施，可使粉尘降低</w:t>
            </w:r>
            <w:r>
              <w:rPr>
                <w:rFonts w:hint="default" w:ascii="Times New Roman" w:hAnsi="Times New Roman" w:eastAsia="宋体" w:cs="Times New Roman"/>
                <w:color w:val="auto"/>
                <w:sz w:val="24"/>
                <w:szCs w:val="24"/>
                <w:highlight w:val="none"/>
                <w:lang w:val="en-US" w:eastAsia="zh-CN"/>
              </w:rPr>
              <w:t>约</w:t>
            </w:r>
            <w:r>
              <w:rPr>
                <w:rFonts w:hint="default" w:ascii="Times New Roman" w:hAnsi="Times New Roman" w:eastAsia="宋体" w:cs="Times New Roman"/>
                <w:color w:val="auto"/>
                <w:sz w:val="24"/>
                <w:szCs w:val="24"/>
                <w:highlight w:val="none"/>
              </w:rPr>
              <w:t>80%，粉尘排放量为</w:t>
            </w:r>
            <w:r>
              <w:rPr>
                <w:rFonts w:hint="eastAsia" w:cs="Times New Roman"/>
                <w:color w:val="auto"/>
                <w:sz w:val="24"/>
                <w:szCs w:val="24"/>
                <w:highlight w:val="none"/>
                <w:lang w:val="en-US" w:eastAsia="zh-CN"/>
              </w:rPr>
              <w:t>4.266</w:t>
            </w:r>
            <w:r>
              <w:rPr>
                <w:rFonts w:hint="default" w:ascii="Times New Roman" w:hAnsi="Times New Roman" w:eastAsia="宋体" w:cs="Times New Roman"/>
                <w:color w:val="auto"/>
                <w:sz w:val="24"/>
                <w:szCs w:val="24"/>
                <w:highlight w:val="none"/>
              </w:rPr>
              <w:t>kg/h、</w:t>
            </w:r>
            <w:r>
              <w:rPr>
                <w:rFonts w:hint="eastAsia" w:cs="Times New Roman"/>
                <w:color w:val="auto"/>
                <w:sz w:val="24"/>
                <w:szCs w:val="24"/>
                <w:highlight w:val="none"/>
                <w:lang w:eastAsia="zh-CN"/>
              </w:rPr>
              <w:t>1.92</w:t>
            </w:r>
            <w:r>
              <w:rPr>
                <w:rFonts w:hint="default" w:ascii="Times New Roman" w:hAnsi="Times New Roman" w:eastAsia="宋体" w:cs="Times New Roman"/>
                <w:color w:val="auto"/>
                <w:sz w:val="24"/>
                <w:szCs w:val="24"/>
                <w:highlight w:val="none"/>
              </w:rPr>
              <w:t>t/a。</w:t>
            </w:r>
          </w:p>
          <w:p w14:paraId="77AAB556">
            <w:pPr>
              <w:pStyle w:val="67"/>
              <w:keepNext w:val="0"/>
              <w:keepLines w:val="0"/>
              <w:suppressLineNumbers w:val="0"/>
              <w:spacing w:before="0" w:beforeLines="0" w:beforeAutospacing="0" w:after="0" w:afterLines="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）筛分废气</w:t>
            </w:r>
          </w:p>
          <w:p w14:paraId="053013E4">
            <w:pPr>
              <w:pStyle w:val="26"/>
              <w:keepNext w:val="0"/>
              <w:keepLines w:val="0"/>
              <w:suppressLineNumbers w:val="0"/>
              <w:spacing w:before="0" w:beforeAutospacing="0" w:after="0" w:afterAutospacing="0"/>
              <w:ind w:left="0" w:right="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sz w:val="24"/>
                <w:szCs w:val="24"/>
                <w:highlight w:val="none"/>
              </w:rPr>
              <w:t>本项目原粮筛分过程中会产生废气，主要污染物为颗粒物，根据《逸散性工业粉尘控制技术》中谷物贮仓，筛分粉尘系数为0.1kg/t（过筛和清理），本项目筛分原粮量</w:t>
            </w:r>
            <w:r>
              <w:rPr>
                <w:rFonts w:hint="default" w:ascii="Times New Roman" w:hAnsi="Times New Roman" w:eastAsia="宋体" w:cs="Times New Roman"/>
                <w:color w:val="auto"/>
                <w:sz w:val="24"/>
                <w:szCs w:val="24"/>
                <w:highlight w:val="none"/>
                <w:lang w:val="en-US" w:eastAsia="zh-CN"/>
              </w:rPr>
              <w:t>60000</w:t>
            </w:r>
            <w:r>
              <w:rPr>
                <w:rFonts w:hint="default" w:ascii="Times New Roman" w:hAnsi="Times New Roman" w:eastAsia="宋体" w:cs="Times New Roman"/>
                <w:color w:val="auto"/>
                <w:sz w:val="24"/>
                <w:szCs w:val="24"/>
                <w:highlight w:val="none"/>
              </w:rPr>
              <w:t>吨，则粉尘产生量为</w:t>
            </w:r>
            <w:r>
              <w:rPr>
                <w:rFonts w:hint="default" w:ascii="Times New Roman" w:hAnsi="Times New Roman" w:eastAsia="宋体"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rPr>
              <w:t>t/a，原粮筛分时间按</w:t>
            </w:r>
            <w:r>
              <w:rPr>
                <w:rFonts w:hint="default" w:ascii="Times New Roman" w:hAnsi="Times New Roman" w:eastAsia="宋体" w:cs="Times New Roman"/>
                <w:color w:val="auto"/>
                <w:sz w:val="24"/>
                <w:szCs w:val="24"/>
                <w:highlight w:val="none"/>
                <w:lang w:val="en-US" w:eastAsia="zh-CN"/>
              </w:rPr>
              <w:t>每天6</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年工作</w:t>
            </w:r>
            <w:r>
              <w:rPr>
                <w:rFonts w:hint="eastAsia"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天</w:t>
            </w:r>
            <w:r>
              <w:rPr>
                <w:rFonts w:hint="default" w:ascii="Times New Roman" w:hAnsi="Times New Roman" w:eastAsia="宋体" w:cs="Times New Roman"/>
                <w:color w:val="auto"/>
                <w:sz w:val="24"/>
                <w:szCs w:val="24"/>
                <w:highlight w:val="none"/>
              </w:rPr>
              <w:t>计，产生速率为</w:t>
            </w:r>
            <w:r>
              <w:rPr>
                <w:rFonts w:hint="eastAsia" w:cs="Times New Roman"/>
                <w:color w:val="auto"/>
                <w:sz w:val="24"/>
                <w:szCs w:val="24"/>
                <w:highlight w:val="none"/>
                <w:lang w:val="en-US" w:eastAsia="zh-CN"/>
              </w:rPr>
              <w:t>13.33</w:t>
            </w:r>
            <w:r>
              <w:rPr>
                <w:rFonts w:hint="default" w:ascii="Times New Roman" w:hAnsi="Times New Roman" w:eastAsia="宋体" w:cs="Times New Roman"/>
                <w:color w:val="auto"/>
                <w:sz w:val="24"/>
                <w:szCs w:val="24"/>
                <w:highlight w:val="none"/>
              </w:rPr>
              <w:t>kg/h，采用</w:t>
            </w:r>
            <w:r>
              <w:rPr>
                <w:rFonts w:hint="default" w:ascii="Times New Roman" w:hAnsi="Times New Roman" w:eastAsia="宋体" w:cs="Times New Roman"/>
                <w:color w:val="auto"/>
                <w:sz w:val="24"/>
                <w:szCs w:val="24"/>
                <w:highlight w:val="none"/>
                <w:lang w:eastAsia="zh-CN"/>
              </w:rPr>
              <w:t>密闭</w:t>
            </w:r>
            <w:r>
              <w:rPr>
                <w:rFonts w:hint="default" w:ascii="Times New Roman" w:hAnsi="Times New Roman" w:eastAsia="宋体" w:cs="Times New Roman"/>
                <w:color w:val="auto"/>
                <w:sz w:val="24"/>
                <w:szCs w:val="24"/>
                <w:highlight w:val="none"/>
              </w:rPr>
              <w:t>式</w:t>
            </w:r>
            <w:r>
              <w:rPr>
                <w:rFonts w:hint="default" w:ascii="Times New Roman" w:hAnsi="Times New Roman" w:eastAsia="宋体" w:cs="Times New Roman"/>
                <w:color w:val="auto"/>
                <w:sz w:val="24"/>
                <w:szCs w:val="24"/>
                <w:highlight w:val="none"/>
                <w:lang w:val="en-US" w:eastAsia="zh-CN"/>
              </w:rPr>
              <w:t>环保设备</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滚筒筛外部被密封隔离罩所密封，根据《逸散性工业粉尘控制技术（中国环境科学出版社）》采取上述措施后颗粒物排放量可减少约90%，</w:t>
            </w:r>
            <w:r>
              <w:rPr>
                <w:rFonts w:hint="default" w:ascii="Times New Roman" w:hAnsi="Times New Roman" w:eastAsia="宋体" w:cs="Times New Roman"/>
                <w:color w:val="auto"/>
                <w:sz w:val="24"/>
                <w:szCs w:val="24"/>
                <w:highlight w:val="none"/>
              </w:rPr>
              <w:t>原粮筛分粉尘</w:t>
            </w:r>
            <w:r>
              <w:rPr>
                <w:rFonts w:hint="default" w:ascii="Times New Roman" w:hAnsi="Times New Roman" w:eastAsia="宋体" w:cs="Times New Roman"/>
                <w:color w:val="auto"/>
                <w:sz w:val="24"/>
                <w:szCs w:val="24"/>
                <w:highlight w:val="none"/>
                <w:lang w:val="en-US" w:eastAsia="zh-CN"/>
              </w:rPr>
              <w:t>排放量约为产生量的10%，</w:t>
            </w:r>
            <w:r>
              <w:rPr>
                <w:rFonts w:hint="default" w:ascii="Times New Roman" w:hAnsi="Times New Roman" w:eastAsia="宋体" w:cs="Times New Roman"/>
                <w:color w:val="auto"/>
                <w:sz w:val="24"/>
                <w:szCs w:val="24"/>
                <w:highlight w:val="none"/>
              </w:rPr>
              <w:t>则筛分粉尘排放量为</w:t>
            </w:r>
            <w:r>
              <w:rPr>
                <w:rFonts w:hint="eastAsia" w:cs="Times New Roman"/>
                <w:color w:val="auto"/>
                <w:sz w:val="24"/>
                <w:szCs w:val="24"/>
                <w:highlight w:val="none"/>
                <w:lang w:val="en-US" w:eastAsia="zh-CN"/>
              </w:rPr>
              <w:t>1.333</w:t>
            </w:r>
            <w:r>
              <w:rPr>
                <w:rFonts w:hint="default" w:ascii="Times New Roman" w:hAnsi="Times New Roman" w:eastAsia="宋体" w:cs="Times New Roman"/>
                <w:color w:val="auto"/>
                <w:sz w:val="24"/>
                <w:szCs w:val="24"/>
                <w:highlight w:val="none"/>
              </w:rPr>
              <w:t>kg/h、</w:t>
            </w:r>
            <w:r>
              <w:rPr>
                <w:rFonts w:hint="default" w:ascii="Times New Roman" w:hAnsi="Times New Roman" w:eastAsia="宋体" w:cs="Times New Roman"/>
                <w:color w:val="auto"/>
                <w:sz w:val="24"/>
                <w:szCs w:val="24"/>
                <w:highlight w:val="none"/>
                <w:lang w:eastAsia="zh-CN"/>
              </w:rPr>
              <w:t>0.6</w:t>
            </w:r>
            <w:r>
              <w:rPr>
                <w:rFonts w:hint="default" w:ascii="Times New Roman" w:hAnsi="Times New Roman" w:eastAsia="宋体" w:cs="Times New Roman"/>
                <w:color w:val="auto"/>
                <w:sz w:val="24"/>
                <w:szCs w:val="24"/>
                <w:highlight w:val="none"/>
              </w:rPr>
              <w:t>t/a</w:t>
            </w:r>
            <w:r>
              <w:rPr>
                <w:rFonts w:hint="eastAsia" w:cs="Times New Roman"/>
                <w:color w:val="auto"/>
                <w:sz w:val="24"/>
                <w:szCs w:val="24"/>
                <w:highlight w:val="none"/>
                <w:lang w:eastAsia="zh-CN"/>
              </w:rPr>
              <w:t>。</w:t>
            </w:r>
          </w:p>
          <w:p w14:paraId="4FCD4061">
            <w:pPr>
              <w:pStyle w:val="67"/>
              <w:keepNext w:val="0"/>
              <w:keepLines w:val="0"/>
              <w:suppressLineNumbers w:val="0"/>
              <w:spacing w:before="0" w:beforeLines="0" w:beforeAutospacing="0" w:after="0" w:afterLines="0" w:afterAutospacing="0" w:line="360" w:lineRule="auto"/>
              <w:ind w:left="0" w:right="0" w:firstLine="48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）烘干塔废气</w:t>
            </w:r>
          </w:p>
          <w:p w14:paraId="7316EB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原粮烘干过程中会有粉尘产生，参考《逸散性工业粉尘控制技术》（中国环境科学出版社）谷物贮仓章节中，对谷物烘干过程中产尘系数的分析，本次产尘系数按照0.1千克/吨-原料进行核算，根据物料平衡，进入烘干塔原粮量为</w:t>
            </w:r>
            <w:r>
              <w:rPr>
                <w:rFonts w:hint="default" w:ascii="Times New Roman" w:hAnsi="Times New Roman" w:eastAsia="宋体" w:cs="Times New Roman"/>
                <w:color w:val="auto"/>
                <w:sz w:val="24"/>
                <w:szCs w:val="24"/>
                <w:highlight w:val="none"/>
                <w:lang w:val="en-US" w:eastAsia="zh-CN"/>
              </w:rPr>
              <w:t>60000</w:t>
            </w:r>
            <w:r>
              <w:rPr>
                <w:rFonts w:hint="default" w:ascii="Times New Roman" w:hAnsi="Times New Roman" w:eastAsia="宋体" w:cs="Times New Roman"/>
                <w:color w:val="auto"/>
                <w:sz w:val="24"/>
                <w:szCs w:val="24"/>
                <w:highlight w:val="none"/>
              </w:rPr>
              <w:t>t/a，则产生粉尘量</w:t>
            </w:r>
            <w:r>
              <w:rPr>
                <w:rFonts w:hint="default" w:ascii="Times New Roman" w:hAnsi="Times New Roman" w:eastAsia="宋体"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rPr>
              <w:t>t/a，烘干塔工作时间按</w:t>
            </w:r>
            <w:r>
              <w:rPr>
                <w:rFonts w:hint="default" w:ascii="Times New Roman" w:hAnsi="Times New Roman" w:eastAsia="宋体" w:cs="Times New Roman"/>
                <w:color w:val="auto"/>
                <w:sz w:val="24"/>
                <w:szCs w:val="24"/>
                <w:highlight w:val="none"/>
                <w:lang w:val="en-US" w:eastAsia="zh-CN"/>
              </w:rPr>
              <w:t>每天24</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年工作</w:t>
            </w:r>
            <w:r>
              <w:rPr>
                <w:rFonts w:hint="eastAsia"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天</w:t>
            </w:r>
            <w:r>
              <w:rPr>
                <w:rFonts w:hint="default" w:ascii="Times New Roman" w:hAnsi="Times New Roman" w:eastAsia="宋体" w:cs="Times New Roman"/>
                <w:color w:val="auto"/>
                <w:sz w:val="24"/>
                <w:szCs w:val="24"/>
                <w:highlight w:val="none"/>
              </w:rPr>
              <w:t>计，产生速率</w:t>
            </w:r>
            <w:r>
              <w:rPr>
                <w:rFonts w:hint="eastAsia" w:cs="Times New Roman"/>
                <w:color w:val="auto"/>
                <w:sz w:val="24"/>
                <w:szCs w:val="24"/>
                <w:highlight w:val="none"/>
                <w:lang w:val="en-US" w:eastAsia="zh-CN"/>
              </w:rPr>
              <w:t>3.333</w:t>
            </w:r>
            <w:r>
              <w:rPr>
                <w:rFonts w:hint="default" w:ascii="Times New Roman" w:hAnsi="Times New Roman" w:eastAsia="宋体" w:cs="Times New Roman"/>
                <w:color w:val="auto"/>
                <w:sz w:val="24"/>
                <w:szCs w:val="24"/>
                <w:highlight w:val="none"/>
              </w:rPr>
              <w:t>kg/h，烘干塔塔体两侧排气孔设置折流挡板，塔顶排气孔滤尘网过滤能有效控制大粒径粉尘的排放，除尘效率可达70%，烘干塔废气经塔体两侧排气孔排出，排放速率为</w:t>
            </w:r>
            <w:r>
              <w:rPr>
                <w:rFonts w:hint="eastAsia" w:cs="Times New Roman"/>
                <w:color w:val="auto"/>
                <w:sz w:val="24"/>
                <w:szCs w:val="24"/>
                <w:highlight w:val="none"/>
                <w:lang w:eastAsia="zh-CN"/>
              </w:rPr>
              <w:t>0.9999</w:t>
            </w:r>
            <w:r>
              <w:rPr>
                <w:rFonts w:hint="default" w:ascii="Times New Roman" w:hAnsi="Times New Roman" w:eastAsia="宋体" w:cs="Times New Roman"/>
                <w:color w:val="auto"/>
                <w:sz w:val="24"/>
                <w:szCs w:val="24"/>
                <w:highlight w:val="none"/>
              </w:rPr>
              <w:t>kg/h，排放量为</w:t>
            </w:r>
            <w:r>
              <w:rPr>
                <w:rFonts w:hint="default" w:ascii="Times New Roman" w:hAnsi="Times New Roman" w:eastAsia="宋体" w:cs="Times New Roman"/>
                <w:color w:val="auto"/>
                <w:sz w:val="24"/>
                <w:szCs w:val="24"/>
                <w:highlight w:val="none"/>
                <w:lang w:eastAsia="zh-CN"/>
              </w:rPr>
              <w:t>1.80</w:t>
            </w:r>
            <w:r>
              <w:rPr>
                <w:rFonts w:hint="default" w:ascii="Times New Roman" w:hAnsi="Times New Roman" w:eastAsia="宋体" w:cs="Times New Roman"/>
                <w:color w:val="auto"/>
                <w:sz w:val="24"/>
                <w:szCs w:val="24"/>
                <w:highlight w:val="none"/>
              </w:rPr>
              <w:t>t/a。</w:t>
            </w:r>
          </w:p>
          <w:p w14:paraId="6DFD491E">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）热风炉烟气</w:t>
            </w:r>
          </w:p>
          <w:p w14:paraId="3658CE8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本项目烘干塔烘干用热由生物质热风炉提供，</w:t>
            </w:r>
            <w:r>
              <w:rPr>
                <w:rFonts w:hint="default" w:ascii="Times New Roman" w:hAnsi="Times New Roman" w:eastAsia="宋体" w:cs="Times New Roman"/>
                <w:color w:val="auto"/>
                <w:sz w:val="24"/>
                <w:szCs w:val="24"/>
                <w:highlight w:val="none"/>
              </w:rPr>
              <w:t>根据物料平衡，烘干玉米原粮量为</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lang w:val="en-US" w:eastAsia="zh-CN"/>
              </w:rPr>
              <w:t>00</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烘干水稻</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lang w:val="en-US" w:eastAsia="zh-CN"/>
              </w:rPr>
              <w:t>00t/a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0"/>
                <w:sz w:val="24"/>
                <w:szCs w:val="24"/>
                <w:highlight w:val="none"/>
                <w:lang w:bidi="ar"/>
              </w:rPr>
              <w:t>年烘干时间</w:t>
            </w:r>
            <w:r>
              <w:rPr>
                <w:rFonts w:hint="eastAsia" w:cs="Times New Roman"/>
                <w:color w:val="auto"/>
                <w:kern w:val="0"/>
                <w:sz w:val="24"/>
                <w:szCs w:val="24"/>
                <w:highlight w:val="none"/>
                <w:lang w:val="en-US" w:eastAsia="zh-CN" w:bidi="ar"/>
              </w:rPr>
              <w:t>75</w:t>
            </w:r>
            <w:r>
              <w:rPr>
                <w:rFonts w:hint="default" w:ascii="Times New Roman" w:hAnsi="Times New Roman" w:eastAsia="宋体" w:cs="Times New Roman"/>
                <w:color w:val="auto"/>
                <w:kern w:val="0"/>
                <w:sz w:val="24"/>
                <w:szCs w:val="24"/>
                <w:highlight w:val="none"/>
                <w:lang w:val="en-US" w:eastAsia="zh-CN" w:bidi="ar"/>
              </w:rPr>
              <w:t>天</w:t>
            </w:r>
            <w:r>
              <w:rPr>
                <w:rFonts w:hint="default" w:ascii="Times New Roman" w:hAnsi="Times New Roman" w:eastAsia="宋体" w:cs="Times New Roman"/>
                <w:color w:val="auto"/>
                <w:kern w:val="0"/>
                <w:sz w:val="24"/>
                <w:szCs w:val="24"/>
                <w:highlight w:val="none"/>
                <w:lang w:bidi="ar"/>
              </w:rPr>
              <w:t>（每天24h），热风炉烟气经过布袋除尘器处理后排放。热风炉的燃料为生物质成型颗粒，生物质燃料热值取</w:t>
            </w:r>
            <w:r>
              <w:rPr>
                <w:rFonts w:hint="eastAsia" w:cs="Times New Roman"/>
                <w:color w:val="auto"/>
                <w:kern w:val="0"/>
                <w:sz w:val="24"/>
                <w:szCs w:val="24"/>
                <w:highlight w:val="none"/>
                <w:lang w:eastAsia="zh-CN" w:bidi="ar"/>
              </w:rPr>
              <w:t>3600</w:t>
            </w:r>
            <w:r>
              <w:rPr>
                <w:rFonts w:hint="default" w:ascii="Times New Roman" w:hAnsi="Times New Roman" w:eastAsia="宋体" w:cs="Times New Roman"/>
                <w:color w:val="auto"/>
                <w:kern w:val="0"/>
                <w:sz w:val="24"/>
                <w:szCs w:val="24"/>
                <w:highlight w:val="none"/>
                <w:lang w:bidi="ar"/>
              </w:rPr>
              <w:t>cal/g（</w:t>
            </w:r>
            <w:r>
              <w:rPr>
                <w:rFonts w:hint="eastAsia" w:cs="Times New Roman"/>
                <w:color w:val="auto"/>
                <w:kern w:val="0"/>
                <w:sz w:val="24"/>
                <w:szCs w:val="24"/>
                <w:highlight w:val="none"/>
                <w:lang w:eastAsia="zh-CN" w:bidi="ar"/>
              </w:rPr>
              <w:t>14.4</w:t>
            </w:r>
            <w:r>
              <w:rPr>
                <w:rFonts w:hint="default" w:ascii="Times New Roman" w:hAnsi="Times New Roman" w:eastAsia="宋体" w:cs="Times New Roman"/>
                <w:color w:val="auto"/>
                <w:kern w:val="0"/>
                <w:sz w:val="24"/>
                <w:szCs w:val="24"/>
                <w:highlight w:val="none"/>
                <w:lang w:bidi="ar"/>
              </w:rPr>
              <w:t>MJ/kg）（见附件</w:t>
            </w:r>
            <w:r>
              <w:rPr>
                <w:rFonts w:hint="eastAsia"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bidi="ar"/>
              </w:rPr>
              <w:t>），热风炉热效率为</w:t>
            </w:r>
            <w:r>
              <w:rPr>
                <w:rFonts w:hint="default" w:ascii="Times New Roman" w:hAnsi="Times New Roman" w:eastAsia="宋体" w:cs="Times New Roman"/>
                <w:color w:val="auto"/>
                <w:kern w:val="0"/>
                <w:sz w:val="24"/>
                <w:szCs w:val="24"/>
                <w:highlight w:val="none"/>
                <w:lang w:val="en-US" w:eastAsia="zh-CN" w:bidi="ar"/>
              </w:rPr>
              <w:t>8</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bidi="ar"/>
              </w:rPr>
              <w:t>%，本项目设计燃料使用量为</w:t>
            </w:r>
            <w:r>
              <w:rPr>
                <w:rFonts w:hint="eastAsia" w:cs="Times New Roman"/>
                <w:color w:val="auto"/>
                <w:kern w:val="0"/>
                <w:sz w:val="24"/>
                <w:szCs w:val="24"/>
                <w:highlight w:val="none"/>
                <w:lang w:val="en-US" w:eastAsia="zh-CN" w:bidi="ar"/>
              </w:rPr>
              <w:t>3187</w:t>
            </w:r>
            <w:r>
              <w:rPr>
                <w:rFonts w:hint="default" w:ascii="Times New Roman" w:hAnsi="Times New Roman" w:eastAsia="宋体" w:cs="Times New Roman"/>
                <w:color w:val="auto"/>
                <w:kern w:val="0"/>
                <w:sz w:val="24"/>
                <w:szCs w:val="24"/>
                <w:highlight w:val="none"/>
                <w:lang w:bidi="ar"/>
              </w:rPr>
              <w:t>t/a。</w:t>
            </w:r>
          </w:p>
          <w:p w14:paraId="023478E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2"/>
                <w:sz w:val="24"/>
                <w:szCs w:val="24"/>
                <w:highlight w:val="none"/>
                <w:lang w:val="en-US" w:eastAsia="zh-CN" w:bidi="ar"/>
              </w:rPr>
              <w:t>本项目生物质分析报告中未体现汞含量，根据《直接法测定固体生物质燃料中汞的试验研究》（煤质技术，2020年）可知，生物质汞含量为15.47ng/g，生物质燃料汞含量极低。由于生物质汞含量极低的特点，本项目暂不开展汞及其化合物分析。因此，本项目不涉及大气专项设置原则中提及的有毒有害物质。</w:t>
            </w:r>
          </w:p>
          <w:p w14:paraId="7C57318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rPr>
              <w:t>热风炉燃烧产生的大气污染物有SO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eastAsia="宋体" w:cs="Times New Roman"/>
                <w:color w:val="auto"/>
                <w:kern w:val="0"/>
                <w:sz w:val="24"/>
                <w:highlight w:val="none"/>
              </w:rPr>
              <w:t>、烟尘及NO</w:t>
            </w:r>
            <w:r>
              <w:rPr>
                <w:rFonts w:hint="default" w:ascii="Times New Roman" w:hAnsi="Times New Roman" w:eastAsia="宋体" w:cs="Times New Roman"/>
                <w:color w:val="auto"/>
                <w:kern w:val="0"/>
                <w:sz w:val="24"/>
                <w:highlight w:val="none"/>
                <w:vertAlign w:val="subscript"/>
              </w:rPr>
              <w:t>X</w:t>
            </w:r>
            <w:r>
              <w:rPr>
                <w:rFonts w:hint="default" w:ascii="Times New Roman" w:hAnsi="Times New Roman" w:eastAsia="宋体" w:cs="Times New Roman"/>
                <w:color w:val="auto"/>
                <w:kern w:val="0"/>
                <w:sz w:val="24"/>
                <w:highlight w:val="none"/>
              </w:rPr>
              <w:t>。根据《污染源源强核算技术指南锅炉》(HJ991-2018)</w:t>
            </w:r>
            <w:r>
              <w:rPr>
                <w:rFonts w:hint="eastAsia" w:cs="Times New Roman"/>
                <w:color w:val="auto"/>
                <w:kern w:val="0"/>
                <w:sz w:val="24"/>
                <w:highlight w:val="none"/>
                <w:lang w:eastAsia="zh-CN"/>
              </w:rPr>
              <w:t>计算如下：</w:t>
            </w:r>
          </w:p>
          <w:p w14:paraId="1BCC270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u w:val="none"/>
                <w:lang w:val="en-US" w:eastAsia="zh-CN"/>
              </w:rPr>
              <w:t>①</w:t>
            </w:r>
            <w:r>
              <w:rPr>
                <w:rFonts w:hint="default" w:ascii="Times New Roman" w:hAnsi="Times New Roman" w:eastAsia="宋体" w:cs="Times New Roman"/>
                <w:color w:val="auto"/>
                <w:sz w:val="24"/>
                <w:highlight w:val="none"/>
                <w:u w:val="none"/>
              </w:rPr>
              <w:t>烟气量</w:t>
            </w:r>
          </w:p>
          <w:p w14:paraId="77C3DD0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本项目理论空气量采用《污染源源强核算技术指南锅炉》（HJ991-2018）附录C中C.2有元素成分分析时理论空气量进行计算，公式如下：</w:t>
            </w:r>
          </w:p>
          <w:p w14:paraId="0600BC4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INCLUDEPICTURE "C:\\Users\\admin\\AppData\\Local\\Temp\\ksohtml23920\\wps1.png" \* MERGEFORMATINET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drawing>
                <wp:inline distT="0" distB="0" distL="114300" distR="114300">
                  <wp:extent cx="3448050" cy="323850"/>
                  <wp:effectExtent l="0" t="0" r="0" b="0"/>
                  <wp:docPr id="73" name="图片 7"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 descr="wps1"/>
                          <pic:cNvPicPr>
                            <a:picLocks noChangeAspect="1"/>
                          </pic:cNvPicPr>
                        </pic:nvPicPr>
                        <pic:blipFill>
                          <a:blip r:embed="rId19"/>
                          <a:stretch>
                            <a:fillRect/>
                          </a:stretch>
                        </pic:blipFill>
                        <pic:spPr>
                          <a:xfrm>
                            <a:off x="0" y="0"/>
                            <a:ext cx="3448050" cy="32385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lang w:val="en-US" w:eastAsia="zh-CN"/>
              </w:rPr>
              <w:fldChar w:fldCharType="end"/>
            </w:r>
          </w:p>
          <w:p w14:paraId="67AF337F">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式中：</w:t>
            </w:r>
          </w:p>
          <w:p w14:paraId="7A86E214">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V</w:t>
            </w:r>
            <w:r>
              <w:rPr>
                <w:rFonts w:hint="default" w:ascii="Times New Roman" w:hAnsi="Times New Roman" w:eastAsia="宋体" w:cs="Times New Roman"/>
                <w:b w:val="0"/>
                <w:bCs w:val="0"/>
                <w:color w:val="auto"/>
                <w:spacing w:val="0"/>
                <w:sz w:val="24"/>
                <w:szCs w:val="24"/>
                <w:highlight w:val="none"/>
                <w:vertAlign w:val="subscript"/>
                <w:lang w:val="en-US" w:eastAsia="zh-CN"/>
              </w:rPr>
              <w:t>0</w:t>
            </w:r>
            <w:r>
              <w:rPr>
                <w:rFonts w:hint="default" w:ascii="Times New Roman" w:hAnsi="Times New Roman" w:eastAsia="宋体" w:cs="Times New Roman"/>
                <w:b w:val="0"/>
                <w:bCs w:val="0"/>
                <w:color w:val="auto"/>
                <w:spacing w:val="0"/>
                <w:sz w:val="24"/>
                <w:szCs w:val="24"/>
                <w:highlight w:val="none"/>
                <w:lang w:val="en-US" w:eastAsia="zh-CN"/>
              </w:rPr>
              <w:t>——理论空气量，m</w:t>
            </w:r>
            <w:r>
              <w:rPr>
                <w:rFonts w:hint="default" w:ascii="Times New Roman" w:hAnsi="Times New Roman" w:eastAsia="宋体" w:cs="Times New Roman"/>
                <w:b w:val="0"/>
                <w:bCs w:val="0"/>
                <w:color w:val="auto"/>
                <w:spacing w:val="0"/>
                <w:sz w:val="24"/>
                <w:szCs w:val="24"/>
                <w:highlight w:val="none"/>
                <w:vertAlign w:val="superscript"/>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/kg；</w:t>
            </w:r>
          </w:p>
          <w:p w14:paraId="2013A01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Car——收到基碳的质量分数，%，本次评价取值29.3；</w:t>
            </w:r>
          </w:p>
          <w:p w14:paraId="0DFB6CE1">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Sar——收到基硫的质量分数，%，本次评价取值0.05；</w:t>
            </w:r>
          </w:p>
          <w:p w14:paraId="3337646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Har——收到基氢的质量分数，%，本次评价取值4.09；</w:t>
            </w:r>
          </w:p>
          <w:p w14:paraId="059B8427">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Oar——收到基氧的质量分数，%，本次评价取值29.43。</w:t>
            </w:r>
          </w:p>
          <w:p w14:paraId="28B02C20">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热风炉烟气排放量采用《污染源源强核算技术指南锅炉》（HJ991-2018）附录C中C.3锅炉中实际燃烧过程是在过量空气系数α＞1的条件下进行的，1kg固体或液体燃料产生的烟气排放量可用下式计算：</w:t>
            </w:r>
          </w:p>
          <w:p w14:paraId="10E8B9F7">
            <w:pPr>
              <w:pStyle w:val="118"/>
              <w:keepNext w:val="0"/>
              <w:keepLines w:val="0"/>
              <w:suppressLineNumbers w:val="0"/>
              <w:adjustRightInd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INCLUDEPICTURE "C:\\Users\\admin\\AppData\\Local\\Temp\\ksohtml23920\\wps2.png" \* MERGEFORMATINET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drawing>
                <wp:inline distT="0" distB="0" distL="114300" distR="114300">
                  <wp:extent cx="1876425" cy="323850"/>
                  <wp:effectExtent l="0" t="0" r="9525" b="0"/>
                  <wp:docPr id="74" name="图片 74"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wps2"/>
                          <pic:cNvPicPr>
                            <a:picLocks noChangeAspect="1"/>
                          </pic:cNvPicPr>
                        </pic:nvPicPr>
                        <pic:blipFill>
                          <a:blip r:embed="rId20"/>
                          <a:stretch>
                            <a:fillRect/>
                          </a:stretch>
                        </pic:blipFill>
                        <pic:spPr>
                          <a:xfrm>
                            <a:off x="0" y="0"/>
                            <a:ext cx="1876425" cy="32385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lang w:val="en-US" w:eastAsia="zh-CN"/>
              </w:rPr>
              <w:fldChar w:fldCharType="end"/>
            </w:r>
          </w:p>
          <w:p w14:paraId="6C3B7DA7">
            <w:pPr>
              <w:pStyle w:val="118"/>
              <w:keepNext w:val="0"/>
              <w:keepLines w:val="0"/>
              <w:suppressLineNumbers w:val="0"/>
              <w:adjustRightInd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INCLUDEPICTURE "C:\\Users\\admin\\AppData\\Local\\Temp\\ksohtml23920\\wps3.png" \* MERGEFORMATINET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drawing>
                <wp:inline distT="0" distB="0" distL="114300" distR="114300">
                  <wp:extent cx="2685415" cy="466090"/>
                  <wp:effectExtent l="0" t="0" r="635" b="10160"/>
                  <wp:docPr id="37" name="图片 9"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descr="wps3"/>
                          <pic:cNvPicPr>
                            <a:picLocks noChangeAspect="1"/>
                          </pic:cNvPicPr>
                        </pic:nvPicPr>
                        <pic:blipFill>
                          <a:blip r:embed="rId21"/>
                          <a:stretch>
                            <a:fillRect/>
                          </a:stretch>
                        </pic:blipFill>
                        <pic:spPr>
                          <a:xfrm>
                            <a:off x="0" y="0"/>
                            <a:ext cx="2685415" cy="46609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lang w:val="en-US" w:eastAsia="zh-CN"/>
              </w:rPr>
              <w:fldChar w:fldCharType="end"/>
            </w:r>
          </w:p>
          <w:p w14:paraId="53EEB56C">
            <w:pPr>
              <w:pStyle w:val="118"/>
              <w:keepNext w:val="0"/>
              <w:keepLines w:val="0"/>
              <w:suppressLineNumbers w:val="0"/>
              <w:adjustRightInd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INCLUDEPICTURE "C:\\Users\\admin\\AppData\\Local\\Temp\\ksohtml23920\\wps4.png" \* MERGEFORMATINET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drawing>
                <wp:inline distT="0" distB="0" distL="114300" distR="114300">
                  <wp:extent cx="1618615" cy="427990"/>
                  <wp:effectExtent l="0" t="0" r="635" b="10160"/>
                  <wp:docPr id="75" name="图片 10" descr="wp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0" descr="wps4"/>
                          <pic:cNvPicPr>
                            <a:picLocks noChangeAspect="1"/>
                          </pic:cNvPicPr>
                        </pic:nvPicPr>
                        <pic:blipFill>
                          <a:blip r:embed="rId22"/>
                          <a:stretch>
                            <a:fillRect/>
                          </a:stretch>
                        </pic:blipFill>
                        <pic:spPr>
                          <a:xfrm>
                            <a:off x="0" y="0"/>
                            <a:ext cx="1618615" cy="42799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lang w:val="en-US" w:eastAsia="zh-CN"/>
              </w:rPr>
              <w:fldChar w:fldCharType="end"/>
            </w:r>
          </w:p>
          <w:p w14:paraId="1874C4AB">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式中：</w:t>
            </w:r>
          </w:p>
          <w:p w14:paraId="346C4E6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Vg——干烟气排放量，m</w:t>
            </w:r>
            <w:r>
              <w:rPr>
                <w:rFonts w:hint="default" w:ascii="Times New Roman" w:hAnsi="Times New Roman" w:eastAsia="宋体" w:cs="Times New Roman"/>
                <w:b w:val="0"/>
                <w:bCs w:val="0"/>
                <w:color w:val="auto"/>
                <w:spacing w:val="0"/>
                <w:sz w:val="24"/>
                <w:szCs w:val="24"/>
                <w:highlight w:val="none"/>
                <w:vertAlign w:val="superscript"/>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/kg；</w:t>
            </w:r>
          </w:p>
          <w:p w14:paraId="4B7CC4D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V</w:t>
            </w:r>
            <w:r>
              <w:rPr>
                <w:rFonts w:hint="default" w:ascii="Times New Roman" w:hAnsi="Times New Roman" w:eastAsia="宋体" w:cs="Times New Roman"/>
                <w:b w:val="0"/>
                <w:bCs w:val="0"/>
                <w:color w:val="auto"/>
                <w:spacing w:val="0"/>
                <w:sz w:val="24"/>
                <w:szCs w:val="24"/>
                <w:highlight w:val="none"/>
                <w:vertAlign w:val="subscript"/>
                <w:lang w:val="en-US" w:eastAsia="zh-CN"/>
              </w:rPr>
              <w:t>RO2</w:t>
            </w:r>
            <w:r>
              <w:rPr>
                <w:rFonts w:hint="default" w:ascii="Times New Roman" w:hAnsi="Times New Roman" w:eastAsia="宋体" w:cs="Times New Roman"/>
                <w:b w:val="0"/>
                <w:bCs w:val="0"/>
                <w:color w:val="auto"/>
                <w:spacing w:val="0"/>
                <w:sz w:val="24"/>
                <w:szCs w:val="24"/>
                <w:highlight w:val="none"/>
                <w:lang w:val="en-US" w:eastAsia="zh-CN"/>
              </w:rPr>
              <w:t>——烟气中二氧化碳和二氧化硫容积之和，m</w:t>
            </w:r>
            <w:r>
              <w:rPr>
                <w:rFonts w:hint="default" w:ascii="Times New Roman" w:hAnsi="Times New Roman" w:eastAsia="宋体" w:cs="Times New Roman"/>
                <w:b w:val="0"/>
                <w:bCs w:val="0"/>
                <w:color w:val="auto"/>
                <w:spacing w:val="0"/>
                <w:sz w:val="24"/>
                <w:szCs w:val="24"/>
                <w:highlight w:val="none"/>
                <w:vertAlign w:val="superscript"/>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/kg；</w:t>
            </w:r>
          </w:p>
          <w:p w14:paraId="261412C0">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Car——收到基碳的质量分数，%，根据燃料成分分析为29.3%；</w:t>
            </w:r>
          </w:p>
          <w:p w14:paraId="11846505">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Sar——收到基硫的质量分数，%，根据燃料成分分析为0.05%；</w:t>
            </w:r>
          </w:p>
          <w:p w14:paraId="1AD4EE2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V</w:t>
            </w:r>
            <w:r>
              <w:rPr>
                <w:rFonts w:hint="default" w:ascii="Times New Roman" w:hAnsi="Times New Roman" w:eastAsia="宋体" w:cs="Times New Roman"/>
                <w:b w:val="0"/>
                <w:bCs w:val="0"/>
                <w:color w:val="auto"/>
                <w:spacing w:val="0"/>
                <w:sz w:val="24"/>
                <w:szCs w:val="24"/>
                <w:highlight w:val="none"/>
                <w:vertAlign w:val="subscript"/>
                <w:lang w:val="en-US" w:eastAsia="zh-CN"/>
              </w:rPr>
              <w:t>N2</w:t>
            </w:r>
            <w:r>
              <w:rPr>
                <w:rFonts w:hint="default" w:ascii="Times New Roman" w:hAnsi="Times New Roman" w:eastAsia="宋体" w:cs="Times New Roman"/>
                <w:b w:val="0"/>
                <w:bCs w:val="0"/>
                <w:color w:val="auto"/>
                <w:spacing w:val="0"/>
                <w:sz w:val="24"/>
                <w:szCs w:val="24"/>
                <w:highlight w:val="none"/>
                <w:lang w:val="en-US" w:eastAsia="zh-CN"/>
              </w:rPr>
              <w:t>——烟气中氮气，m</w:t>
            </w:r>
            <w:r>
              <w:rPr>
                <w:rFonts w:hint="default" w:ascii="Times New Roman" w:hAnsi="Times New Roman" w:eastAsia="宋体" w:cs="Times New Roman"/>
                <w:b w:val="0"/>
                <w:bCs w:val="0"/>
                <w:color w:val="auto"/>
                <w:spacing w:val="0"/>
                <w:sz w:val="24"/>
                <w:szCs w:val="24"/>
                <w:highlight w:val="none"/>
                <w:vertAlign w:val="superscript"/>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/kg；</w:t>
            </w:r>
          </w:p>
          <w:p w14:paraId="74F8397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α——过量空气系数，燃料燃烧时实际空气供给量与理论空气需要量之比值，本项目取1.75；</w:t>
            </w:r>
          </w:p>
          <w:p w14:paraId="2D46169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contextualSpacing/>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Nar——收到基氮的质量分数，%，根据燃料成分分析为0.009%。</w:t>
            </w:r>
          </w:p>
          <w:p w14:paraId="6BFCC30C">
            <w:pPr>
              <w:pStyle w:val="118"/>
              <w:keepNext w:val="0"/>
              <w:keepLines w:val="0"/>
              <w:suppressLineNumbers w:val="0"/>
              <w:adjustRightInd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经计算，</w:t>
            </w:r>
            <w:r>
              <w:rPr>
                <w:rFonts w:hint="eastAsia" w:cs="Times New Roman"/>
                <w:color w:val="auto"/>
                <w:sz w:val="24"/>
                <w:szCs w:val="24"/>
                <w:highlight w:val="none"/>
                <w:lang w:val="en-US" w:eastAsia="zh-CN"/>
              </w:rPr>
              <w:t>Vg==0.55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/kg</w:t>
            </w:r>
            <w:r>
              <w:rPr>
                <w:rFonts w:hint="eastAsia" w:cs="Times New Roman"/>
                <w:color w:val="auto"/>
                <w:sz w:val="24"/>
                <w:szCs w:val="24"/>
                <w:highlight w:val="none"/>
                <w:lang w:val="en-US" w:eastAsia="zh-CN"/>
              </w:rPr>
              <w:t>+2.14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/kg</w:t>
            </w:r>
            <w:r>
              <w:rPr>
                <w:rFonts w:hint="eastAsia" w:cs="Times New Roman"/>
                <w:color w:val="auto"/>
                <w:sz w:val="24"/>
                <w:szCs w:val="24"/>
                <w:highlight w:val="none"/>
                <w:lang w:val="en-US" w:eastAsia="zh-CN"/>
              </w:rPr>
              <w:t>+（1.75-1）</w:t>
            </w:r>
            <w:r>
              <w:rPr>
                <w:rFonts w:hint="default" w:ascii="Times New Roman" w:hAnsi="Times New Roman" w:eastAsia="宋体" w:cs="Times New Roman"/>
                <w:color w:val="auto"/>
                <w:sz w:val="24"/>
                <w:szCs w:val="24"/>
                <w:highlight w:val="none"/>
                <w:lang w:val="en-US" w:eastAsia="zh-CN" w:bidi="ar-SA"/>
              </w:rPr>
              <w:t>×</w:t>
            </w:r>
            <w:r>
              <w:rPr>
                <w:rFonts w:hint="eastAsia" w:cs="Times New Roman"/>
                <w:color w:val="auto"/>
                <w:sz w:val="24"/>
                <w:szCs w:val="24"/>
                <w:highlight w:val="none"/>
                <w:lang w:val="en-US" w:eastAsia="zh-CN"/>
              </w:rPr>
              <w:t>2.71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/kg</w:t>
            </w:r>
            <w:r>
              <w:rPr>
                <w:rFonts w:hint="eastAsia" w:ascii="Times New Roman" w:hAnsi="Times New Roman" w:eastAsia="宋体" w:cs="Times New Roman"/>
                <w:color w:val="auto"/>
                <w:sz w:val="24"/>
                <w:szCs w:val="24"/>
                <w:highlight w:val="none"/>
                <w:lang w:val="en-US" w:eastAsia="zh-CN"/>
              </w:rPr>
              <w:t>=4.72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/kg</w:t>
            </w:r>
          </w:p>
          <w:p w14:paraId="3D255E5C">
            <w:pPr>
              <w:pStyle w:val="118"/>
              <w:keepNext w:val="0"/>
              <w:keepLines w:val="0"/>
              <w:suppressLineNumbers w:val="0"/>
              <w:adjustRightInd w:val="0"/>
              <w:spacing w:before="0" w:beforeAutospacing="0" w:after="0" w:afterAutospacing="0"/>
              <w:ind w:left="0" w:leftChars="0" w:right="0" w:firstLine="480" w:firstLineChars="200"/>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则烟气量为</w:t>
            </w:r>
            <w:r>
              <w:rPr>
                <w:rFonts w:hint="eastAsia" w:cs="Times New Roman"/>
                <w:color w:val="auto"/>
                <w:sz w:val="24"/>
                <w:szCs w:val="24"/>
                <w:highlight w:val="none"/>
                <w:lang w:val="en-US" w:eastAsia="zh-CN"/>
              </w:rPr>
              <w:t>=4.72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/kg</w:t>
            </w:r>
            <w:r>
              <w:rPr>
                <w:rFonts w:hint="default" w:ascii="Times New Roman" w:hAnsi="Times New Roman" w:eastAsia="宋体" w:cs="Times New Roman"/>
                <w:color w:val="auto"/>
                <w:sz w:val="24"/>
                <w:szCs w:val="24"/>
                <w:highlight w:val="none"/>
                <w:lang w:val="en-US" w:eastAsia="zh-CN" w:bidi="ar-SA"/>
              </w:rPr>
              <w:t>×</w:t>
            </w:r>
            <w:r>
              <w:rPr>
                <w:rFonts w:hint="eastAsia" w:cs="Times New Roman"/>
                <w:color w:val="auto"/>
                <w:sz w:val="24"/>
                <w:szCs w:val="24"/>
                <w:highlight w:val="none"/>
                <w:lang w:val="en-US" w:eastAsia="zh-CN"/>
              </w:rPr>
              <w:t>3187</w:t>
            </w:r>
            <w:r>
              <w:rPr>
                <w:rFonts w:hint="default" w:ascii="Times New Roman" w:hAnsi="Times New Roman" w:eastAsia="宋体" w:cs="Times New Roman"/>
                <w:color w:val="auto"/>
                <w:sz w:val="24"/>
                <w:highlight w:val="none"/>
                <w:u w:val="none"/>
                <w:lang w:val="en-US" w:eastAsia="zh-CN"/>
              </w:rPr>
              <w:t>t/a</w:t>
            </w:r>
            <w:r>
              <w:rPr>
                <w:rFonts w:hint="eastAsia" w:cs="Times New Roman"/>
                <w:color w:val="auto"/>
                <w:sz w:val="24"/>
                <w:szCs w:val="24"/>
                <w:highlight w:val="none"/>
                <w:lang w:val="en-US" w:eastAsia="zh-CN"/>
              </w:rPr>
              <w:t>=</w:t>
            </w:r>
            <w:r>
              <w:rPr>
                <w:rFonts w:hint="eastAsia" w:cs="Times New Roman"/>
                <w:b w:val="0"/>
                <w:bCs w:val="0"/>
                <w:color w:val="auto"/>
                <w:spacing w:val="0"/>
                <w:sz w:val="24"/>
                <w:szCs w:val="24"/>
                <w:highlight w:val="none"/>
                <w:lang w:val="en-US" w:eastAsia="zh-CN"/>
              </w:rPr>
              <w:t>15042640</w:t>
            </w:r>
            <w:r>
              <w:rPr>
                <w:rFonts w:hint="default"/>
                <w:color w:val="auto"/>
                <w:sz w:val="24"/>
                <w:szCs w:val="24"/>
                <w:highlight w:val="none"/>
              </w:rPr>
              <w:t>Nm</w:t>
            </w:r>
            <w:r>
              <w:rPr>
                <w:rFonts w:hint="default"/>
                <w:color w:val="auto"/>
                <w:sz w:val="24"/>
                <w:szCs w:val="24"/>
                <w:highlight w:val="none"/>
                <w:vertAlign w:val="superscript"/>
              </w:rPr>
              <w:t>3</w:t>
            </w:r>
            <w:r>
              <w:rPr>
                <w:rFonts w:hint="default"/>
                <w:color w:val="auto"/>
                <w:sz w:val="24"/>
                <w:szCs w:val="24"/>
                <w:highlight w:val="none"/>
              </w:rPr>
              <w:t>/a</w:t>
            </w:r>
            <w:r>
              <w:rPr>
                <w:rFonts w:hint="default" w:ascii="Times New Roman" w:hAnsi="Times New Roman" w:eastAsia="宋体" w:cs="Times New Roman"/>
                <w:color w:val="auto"/>
                <w:sz w:val="24"/>
                <w:szCs w:val="24"/>
                <w:highlight w:val="none"/>
                <w:lang w:val="en-US" w:eastAsia="zh-CN"/>
              </w:rPr>
              <w:t>。</w:t>
            </w:r>
          </w:p>
          <w:p w14:paraId="08779711">
            <w:pPr>
              <w:pStyle w:val="20"/>
              <w:keepNext w:val="0"/>
              <w:keepLines w:val="0"/>
              <w:suppressLineNumbers w:val="0"/>
              <w:spacing w:before="0" w:beforeAutospacing="0" w:after="0" w:afterAutospacing="0" w:line="360" w:lineRule="auto"/>
              <w:ind w:left="0" w:leftChars="0" w:right="0" w:firstLine="480" w:firstLineChars="200"/>
              <w:contextualSpacing/>
              <w:rPr>
                <w:rFonts w:hint="default" w:ascii="Times New Roman" w:hAnsi="Times New Roman" w:eastAsia="宋体" w:cs="Times New Roman"/>
                <w:color w:val="auto"/>
                <w:sz w:val="24"/>
                <w:highlight w:val="none"/>
                <w:u w:val="none"/>
                <w:lang w:eastAsia="zh-CN"/>
              </w:rPr>
            </w:pPr>
            <w:r>
              <w:rPr>
                <w:rFonts w:hint="default" w:ascii="Times New Roman" w:hAnsi="Times New Roman" w:eastAsia="宋体" w:cs="Times New Roman"/>
                <w:color w:val="auto"/>
                <w:sz w:val="24"/>
                <w:highlight w:val="none"/>
                <w:u w:val="none"/>
                <w:lang w:val="en-US" w:eastAsia="zh-CN"/>
              </w:rPr>
              <w:t>②颗粒物</w:t>
            </w:r>
            <w:r>
              <w:rPr>
                <w:rFonts w:hint="default" w:ascii="Times New Roman" w:hAnsi="Times New Roman" w:eastAsia="宋体" w:cs="Times New Roman"/>
                <w:color w:val="auto"/>
                <w:sz w:val="24"/>
                <w:highlight w:val="none"/>
                <w:u w:val="none"/>
              </w:rPr>
              <w:t>（烟尘）</w:t>
            </w:r>
          </w:p>
          <w:p w14:paraId="65A474C7">
            <w:pPr>
              <w:pStyle w:val="20"/>
              <w:keepNext w:val="0"/>
              <w:keepLines w:val="0"/>
              <w:suppressLineNumbers w:val="0"/>
              <w:spacing w:before="0" w:beforeAutospacing="0" w:afterAutospacing="0" w:line="360" w:lineRule="auto"/>
              <w:ind w:right="0"/>
              <w:jc w:val="center"/>
              <w:rPr>
                <w:rFonts w:hint="default" w:ascii="Times New Roman" w:hAnsi="Times New Roman" w:eastAsia="宋体" w:cs="Times New Roman"/>
                <w:color w:val="auto"/>
                <w:szCs w:val="32"/>
                <w:highlight w:val="none"/>
                <w:u w:val="none"/>
              </w:rPr>
            </w:pPr>
            <w:r>
              <w:rPr>
                <w:rFonts w:hint="default" w:ascii="Times New Roman" w:hAnsi="Times New Roman" w:eastAsia="宋体" w:cs="Times New Roman"/>
                <w:color w:val="auto"/>
                <w:position w:val="-56"/>
                <w:sz w:val="21"/>
                <w:szCs w:val="21"/>
                <w:highlight w:val="none"/>
              </w:rPr>
              <w:object>
                <v:shape id="_x0000_i1025" o:spt="75" type="#_x0000_t75" style="height:64.55pt;width:219.9pt;" o:ole="t" filled="f" o:preferrelative="t" stroked="f" coordsize="21600,21600">
                  <v:path/>
                  <v:fill on="f" focussize="0,0"/>
                  <v:stroke on="f"/>
                  <v:imagedata r:id="rId24" o:title=""/>
                  <o:lock v:ext="edit" aspectratio="t"/>
                  <w10:wrap type="none"/>
                  <w10:anchorlock/>
                </v:shape>
                <o:OLEObject Type="Embed" ProgID="Equations" ShapeID="_x0000_i1025" DrawAspect="Content" ObjectID="_1468075725" r:id="rId23">
                  <o:LockedField>false</o:LockedField>
                </o:OLEObject>
              </w:object>
            </w:r>
          </w:p>
          <w:p w14:paraId="1B932CFD">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式中：E</w:t>
            </w:r>
            <w:r>
              <w:rPr>
                <w:rFonts w:hint="default" w:ascii="Times New Roman" w:hAnsi="Times New Roman" w:eastAsia="宋体" w:cs="Times New Roman"/>
                <w:color w:val="auto"/>
                <w:sz w:val="24"/>
                <w:highlight w:val="none"/>
                <w:u w:val="none"/>
                <w:vertAlign w:val="subscript"/>
              </w:rPr>
              <w:t>A</w:t>
            </w:r>
            <w:r>
              <w:rPr>
                <w:rFonts w:hint="default" w:ascii="Times New Roman" w:hAnsi="Times New Roman" w:eastAsia="宋体" w:cs="Times New Roman"/>
                <w:color w:val="auto"/>
                <w:sz w:val="24"/>
                <w:highlight w:val="none"/>
                <w:u w:val="none"/>
              </w:rPr>
              <w:t>—核算时段内颗粒物（烟尘）排放量，t；</w:t>
            </w:r>
          </w:p>
          <w:p w14:paraId="50878A91">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R—核算时段内燃料耗量，t；</w:t>
            </w:r>
            <w:r>
              <w:rPr>
                <w:rFonts w:hint="default" w:ascii="Times New Roman" w:hAnsi="Times New Roman" w:eastAsia="宋体" w:cs="Times New Roman"/>
                <w:color w:val="auto"/>
                <w:sz w:val="24"/>
                <w:highlight w:val="none"/>
                <w:u w:val="none"/>
                <w:lang w:val="en-US" w:eastAsia="zh-CN"/>
              </w:rPr>
              <w:t>为</w:t>
            </w:r>
            <w:r>
              <w:rPr>
                <w:rFonts w:hint="eastAsia"/>
                <w:color w:val="auto"/>
                <w:sz w:val="24"/>
                <w:szCs w:val="24"/>
                <w:highlight w:val="none"/>
                <w:lang w:val="en-US" w:eastAsia="zh-CN"/>
              </w:rPr>
              <w:t>3187</w:t>
            </w:r>
            <w:r>
              <w:rPr>
                <w:rFonts w:hint="default" w:ascii="Times New Roman" w:hAnsi="Times New Roman" w:eastAsia="宋体" w:cs="Times New Roman"/>
                <w:color w:val="auto"/>
                <w:sz w:val="24"/>
                <w:highlight w:val="none"/>
                <w:u w:val="none"/>
                <w:lang w:val="en-US" w:eastAsia="zh-CN"/>
              </w:rPr>
              <w:t>t/a</w:t>
            </w:r>
            <w:r>
              <w:rPr>
                <w:rFonts w:hint="default" w:ascii="Times New Roman" w:hAnsi="Times New Roman" w:eastAsia="宋体" w:cs="Times New Roman"/>
                <w:color w:val="auto"/>
                <w:sz w:val="24"/>
                <w:highlight w:val="none"/>
                <w:u w:val="none"/>
              </w:rPr>
              <w:t>；</w:t>
            </w:r>
          </w:p>
          <w:p w14:paraId="10A4E35A">
            <w:pPr>
              <w:pStyle w:val="20"/>
              <w:keepNext w:val="0"/>
              <w:keepLines w:val="0"/>
              <w:suppressLineNumbers w:val="0"/>
              <w:spacing w:before="0" w:beforeAutospacing="0" w:after="0" w:afterAutospacing="0" w:line="360" w:lineRule="auto"/>
              <w:ind w:right="0"/>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A</w:t>
            </w:r>
            <w:r>
              <w:rPr>
                <w:rFonts w:hint="default" w:ascii="Times New Roman" w:hAnsi="Times New Roman" w:eastAsia="宋体" w:cs="Times New Roman"/>
                <w:color w:val="auto"/>
                <w:sz w:val="24"/>
                <w:highlight w:val="none"/>
                <w:u w:val="none"/>
                <w:vertAlign w:val="subscript"/>
              </w:rPr>
              <w:t>ar</w:t>
            </w:r>
            <w:r>
              <w:rPr>
                <w:rFonts w:hint="default" w:ascii="Times New Roman" w:hAnsi="Times New Roman" w:eastAsia="宋体" w:cs="Times New Roman"/>
                <w:color w:val="auto"/>
                <w:sz w:val="24"/>
                <w:highlight w:val="none"/>
                <w:u w:val="none"/>
              </w:rPr>
              <w:t>—收到基灰分的质量分数，</w:t>
            </w:r>
            <w:r>
              <w:rPr>
                <w:rFonts w:hint="eastAsia" w:cs="Times New Roman"/>
                <w:color w:val="auto"/>
                <w:sz w:val="24"/>
                <w:highlight w:val="none"/>
                <w:u w:val="none"/>
                <w:lang w:val="en-US" w:eastAsia="zh-CN"/>
              </w:rPr>
              <w:t>4.65</w:t>
            </w:r>
            <w:r>
              <w:rPr>
                <w:rFonts w:hint="default" w:ascii="Times New Roman" w:hAnsi="Times New Roman" w:eastAsia="宋体" w:cs="Times New Roman"/>
                <w:color w:val="auto"/>
                <w:sz w:val="24"/>
                <w:highlight w:val="none"/>
                <w:u w:val="none"/>
              </w:rPr>
              <w:t>%；</w:t>
            </w:r>
          </w:p>
          <w:p w14:paraId="57102E83">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lang w:eastAsia="zh-CN"/>
              </w:rPr>
            </w:pPr>
            <w:r>
              <w:rPr>
                <w:rFonts w:hint="default" w:ascii="Times New Roman" w:hAnsi="Times New Roman" w:eastAsia="宋体" w:cs="Times New Roman"/>
                <w:color w:val="auto"/>
                <w:sz w:val="24"/>
                <w:highlight w:val="none"/>
                <w:u w:val="none"/>
              </w:rPr>
              <w:t>d</w:t>
            </w:r>
            <w:r>
              <w:rPr>
                <w:rFonts w:hint="default" w:ascii="Times New Roman" w:hAnsi="Times New Roman" w:eastAsia="宋体" w:cs="Times New Roman"/>
                <w:color w:val="auto"/>
                <w:sz w:val="24"/>
                <w:highlight w:val="none"/>
                <w:u w:val="none"/>
                <w:vertAlign w:val="subscript"/>
              </w:rPr>
              <w:t>fh</w:t>
            </w:r>
            <w:r>
              <w:rPr>
                <w:rFonts w:hint="default" w:ascii="Times New Roman" w:hAnsi="Times New Roman" w:eastAsia="宋体" w:cs="Times New Roman"/>
                <w:color w:val="auto"/>
                <w:sz w:val="24"/>
                <w:highlight w:val="none"/>
                <w:u w:val="none"/>
              </w:rPr>
              <w:t>—锅炉烟气带出的</w:t>
            </w:r>
            <w:r>
              <w:rPr>
                <w:rFonts w:hint="default" w:ascii="Times New Roman" w:hAnsi="Times New Roman" w:eastAsia="宋体" w:cs="Times New Roman"/>
                <w:color w:val="auto"/>
                <w:sz w:val="24"/>
                <w:highlight w:val="none"/>
                <w:u w:val="none"/>
                <w:lang w:eastAsia="zh-CN"/>
              </w:rPr>
              <w:t>除尘灰</w:t>
            </w:r>
            <w:r>
              <w:rPr>
                <w:rFonts w:hint="default" w:ascii="Times New Roman" w:hAnsi="Times New Roman" w:eastAsia="宋体" w:cs="Times New Roman"/>
                <w:color w:val="auto"/>
                <w:sz w:val="24"/>
                <w:highlight w:val="none"/>
                <w:u w:val="none"/>
              </w:rPr>
              <w:t>份额，%；燃用</w:t>
            </w:r>
            <w:r>
              <w:rPr>
                <w:rFonts w:hint="default" w:ascii="Times New Roman" w:hAnsi="Times New Roman" w:eastAsia="宋体" w:cs="Times New Roman"/>
                <w:color w:val="auto"/>
                <w:sz w:val="24"/>
                <w:highlight w:val="none"/>
                <w:u w:val="none"/>
                <w:lang w:eastAsia="zh-CN"/>
              </w:rPr>
              <w:t>生物质</w:t>
            </w:r>
            <w:r>
              <w:rPr>
                <w:rFonts w:hint="default" w:ascii="Times New Roman" w:hAnsi="Times New Roman" w:eastAsia="宋体" w:cs="Times New Roman"/>
                <w:color w:val="auto"/>
                <w:sz w:val="24"/>
                <w:highlight w:val="none"/>
                <w:u w:val="none"/>
              </w:rPr>
              <w:t>燃料</w:t>
            </w:r>
            <w:r>
              <w:rPr>
                <w:rFonts w:hint="default" w:ascii="Times New Roman" w:hAnsi="Times New Roman" w:eastAsia="宋体" w:cs="Times New Roman"/>
                <w:color w:val="auto"/>
                <w:sz w:val="24"/>
                <w:highlight w:val="none"/>
                <w:u w:val="none"/>
                <w:lang w:val="en-US" w:eastAsia="zh-CN"/>
              </w:rPr>
              <w:t>飞灰份额加30%，</w:t>
            </w:r>
            <w:r>
              <w:rPr>
                <w:rFonts w:hint="default" w:ascii="Times New Roman" w:hAnsi="Times New Roman" w:eastAsia="宋体" w:cs="Times New Roman"/>
                <w:color w:val="auto"/>
                <w:sz w:val="24"/>
                <w:highlight w:val="none"/>
                <w:u w:val="none"/>
              </w:rPr>
              <w:t>故取</w:t>
            </w:r>
            <w:r>
              <w:rPr>
                <w:rFonts w:hint="default" w:ascii="Times New Roman" w:hAnsi="Times New Roman" w:eastAsia="宋体" w:cs="Times New Roman"/>
                <w:color w:val="auto"/>
                <w:sz w:val="24"/>
                <w:highlight w:val="none"/>
                <w:u w:val="none"/>
                <w:lang w:val="en-US" w:eastAsia="zh-CN"/>
              </w:rPr>
              <w:t>45%</w:t>
            </w:r>
            <w:r>
              <w:rPr>
                <w:rFonts w:hint="default" w:ascii="Times New Roman" w:hAnsi="Times New Roman" w:eastAsia="宋体" w:cs="Times New Roman"/>
                <w:color w:val="auto"/>
                <w:sz w:val="24"/>
                <w:highlight w:val="none"/>
                <w:u w:val="none"/>
              </w:rPr>
              <w:t>；</w:t>
            </w:r>
          </w:p>
          <w:p w14:paraId="665EF446">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η</w:t>
            </w:r>
            <w:r>
              <w:rPr>
                <w:rFonts w:hint="default" w:ascii="Times New Roman" w:hAnsi="Times New Roman" w:eastAsia="宋体" w:cs="Times New Roman"/>
                <w:color w:val="auto"/>
                <w:sz w:val="24"/>
                <w:highlight w:val="none"/>
                <w:u w:val="none"/>
                <w:vertAlign w:val="subscript"/>
              </w:rPr>
              <w:t>c</w:t>
            </w:r>
            <w:r>
              <w:rPr>
                <w:rFonts w:hint="default" w:ascii="Times New Roman" w:hAnsi="Times New Roman" w:eastAsia="宋体" w:cs="Times New Roman"/>
                <w:color w:val="auto"/>
                <w:sz w:val="24"/>
                <w:highlight w:val="none"/>
                <w:u w:val="none"/>
              </w:rPr>
              <w:t>—综合除尘效率，%；本项目除尘效率为</w:t>
            </w:r>
            <w:r>
              <w:rPr>
                <w:rFonts w:hint="eastAsia" w:cs="Times New Roman"/>
                <w:color w:val="auto"/>
                <w:sz w:val="24"/>
                <w:highlight w:val="none"/>
                <w:u w:val="none"/>
                <w:lang w:eastAsia="zh-CN"/>
              </w:rPr>
              <w:t>99.5%</w:t>
            </w:r>
            <w:r>
              <w:rPr>
                <w:rFonts w:hint="default" w:ascii="Times New Roman" w:hAnsi="Times New Roman" w:eastAsia="宋体" w:cs="Times New Roman"/>
                <w:color w:val="auto"/>
                <w:sz w:val="24"/>
                <w:highlight w:val="none"/>
                <w:u w:val="none"/>
              </w:rPr>
              <w:t>；</w:t>
            </w:r>
          </w:p>
          <w:p w14:paraId="49E6B4E2">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C</w:t>
            </w:r>
            <w:r>
              <w:rPr>
                <w:rFonts w:hint="default" w:ascii="Times New Roman" w:hAnsi="Times New Roman" w:eastAsia="宋体" w:cs="Times New Roman"/>
                <w:color w:val="auto"/>
                <w:sz w:val="24"/>
                <w:highlight w:val="none"/>
                <w:u w:val="none"/>
                <w:vertAlign w:val="subscript"/>
              </w:rPr>
              <w:t>fh</w:t>
            </w:r>
            <w:r>
              <w:rPr>
                <w:rFonts w:hint="default" w:ascii="Times New Roman" w:hAnsi="Times New Roman" w:eastAsia="宋体" w:cs="Times New Roman"/>
                <w:color w:val="auto"/>
                <w:sz w:val="24"/>
                <w:highlight w:val="none"/>
                <w:u w:val="none"/>
              </w:rPr>
              <w:t>—</w:t>
            </w:r>
            <w:r>
              <w:rPr>
                <w:rFonts w:hint="default" w:ascii="Times New Roman" w:hAnsi="Times New Roman" w:eastAsia="宋体" w:cs="Times New Roman"/>
                <w:color w:val="auto"/>
                <w:sz w:val="24"/>
                <w:highlight w:val="none"/>
                <w:u w:val="none"/>
                <w:lang w:val="en-US" w:eastAsia="zh-CN"/>
              </w:rPr>
              <w:t>飞</w:t>
            </w:r>
            <w:r>
              <w:rPr>
                <w:rFonts w:hint="default" w:ascii="Times New Roman" w:hAnsi="Times New Roman" w:eastAsia="宋体" w:cs="Times New Roman"/>
                <w:color w:val="auto"/>
                <w:sz w:val="24"/>
                <w:highlight w:val="none"/>
                <w:u w:val="none"/>
                <w:lang w:eastAsia="zh-CN"/>
              </w:rPr>
              <w:t>灰</w:t>
            </w:r>
            <w:r>
              <w:rPr>
                <w:rFonts w:hint="default" w:ascii="Times New Roman" w:hAnsi="Times New Roman" w:eastAsia="宋体" w:cs="Times New Roman"/>
                <w:color w:val="auto"/>
                <w:sz w:val="24"/>
                <w:highlight w:val="none"/>
                <w:u w:val="none"/>
              </w:rPr>
              <w:t>中的可燃物含量，%；即由烟道经除尘器排出的细灰的含碳量。参照《燃煤工业锅炉节能监测》</w:t>
            </w:r>
            <w:r>
              <w:rPr>
                <w:rFonts w:hint="default" w:ascii="Times New Roman" w:hAnsi="Times New Roman" w:eastAsia="宋体"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GB/T15317-2009</w:t>
            </w:r>
            <w:r>
              <w:rPr>
                <w:rFonts w:hint="default" w:ascii="Times New Roman" w:hAnsi="Times New Roman" w:eastAsia="宋体"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表5中炉渣含碳量考核指标，故C</w:t>
            </w:r>
            <w:r>
              <w:rPr>
                <w:rFonts w:hint="default" w:ascii="Times New Roman" w:hAnsi="Times New Roman" w:eastAsia="宋体" w:cs="Times New Roman"/>
                <w:color w:val="auto"/>
                <w:sz w:val="24"/>
                <w:highlight w:val="none"/>
                <w:u w:val="none"/>
                <w:vertAlign w:val="subscript"/>
              </w:rPr>
              <w:t>fh</w:t>
            </w:r>
            <w:r>
              <w:rPr>
                <w:rFonts w:hint="default" w:ascii="Times New Roman" w:hAnsi="Times New Roman" w:eastAsia="宋体" w:cs="Times New Roman"/>
                <w:color w:val="auto"/>
                <w:sz w:val="24"/>
                <w:highlight w:val="none"/>
                <w:u w:val="none"/>
              </w:rPr>
              <w:t>选取推荐指标为</w:t>
            </w:r>
            <w:r>
              <w:rPr>
                <w:rFonts w:hint="eastAsia" w:cs="Times New Roman"/>
                <w:color w:val="auto"/>
                <w:sz w:val="24"/>
                <w:highlight w:val="none"/>
                <w:u w:val="none"/>
                <w:lang w:val="en-US" w:eastAsia="zh-CN"/>
              </w:rPr>
              <w:t>12</w:t>
            </w:r>
            <w:r>
              <w:rPr>
                <w:rFonts w:hint="default" w:ascii="Times New Roman" w:hAnsi="Times New Roman" w:eastAsia="宋体" w:cs="Times New Roman"/>
                <w:color w:val="auto"/>
                <w:sz w:val="24"/>
                <w:highlight w:val="none"/>
                <w:u w:val="none"/>
              </w:rPr>
              <w:t>。</w:t>
            </w:r>
          </w:p>
          <w:p w14:paraId="2BD57BF1">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sz w:val="24"/>
                <w:highlight w:val="none"/>
                <w:u w:val="none"/>
                <w:lang w:eastAsia="zh-CN"/>
              </w:rPr>
            </w:pPr>
            <w:r>
              <w:rPr>
                <w:rFonts w:hint="default" w:ascii="Times New Roman" w:hAnsi="Times New Roman" w:eastAsia="宋体" w:cs="Times New Roman"/>
                <w:color w:val="auto"/>
                <w:sz w:val="24"/>
                <w:highlight w:val="none"/>
                <w:u w:val="none"/>
              </w:rPr>
              <w:t>经计算，E</w:t>
            </w:r>
            <w:r>
              <w:rPr>
                <w:rFonts w:hint="default" w:ascii="Times New Roman" w:hAnsi="Times New Roman" w:eastAsia="宋体" w:cs="Times New Roman"/>
                <w:color w:val="auto"/>
                <w:sz w:val="24"/>
                <w:highlight w:val="none"/>
                <w:u w:val="none"/>
                <w:vertAlign w:val="subscript"/>
              </w:rPr>
              <w:t>A</w:t>
            </w:r>
            <w:r>
              <w:rPr>
                <w:rFonts w:hint="default" w:ascii="Times New Roman" w:hAnsi="Times New Roman" w:eastAsia="宋体" w:cs="Times New Roman"/>
                <w:color w:val="auto"/>
                <w:sz w:val="24"/>
                <w:highlight w:val="none"/>
                <w:u w:val="none"/>
              </w:rPr>
              <w:t>=</w:t>
            </w:r>
            <w:r>
              <w:rPr>
                <w:rFonts w:hint="eastAsia" w:cs="Times New Roman"/>
                <w:color w:val="auto"/>
                <w:sz w:val="24"/>
                <w:highlight w:val="none"/>
                <w:u w:val="none"/>
                <w:lang w:val="en-US" w:eastAsia="zh-CN"/>
              </w:rPr>
              <w:t>{3187</w:t>
            </w:r>
            <w:r>
              <w:rPr>
                <w:rFonts w:hint="default" w:ascii="Times New Roman" w:hAnsi="Times New Roman" w:eastAsia="宋体" w:cs="Times New Roman"/>
                <w:color w:val="auto"/>
                <w:sz w:val="24"/>
                <w:szCs w:val="24"/>
                <w:highlight w:val="none"/>
                <w:lang w:val="en-US" w:eastAsia="zh-CN" w:bidi="ar-SA"/>
              </w:rPr>
              <w:t>×</w:t>
            </w:r>
            <w:r>
              <w:rPr>
                <w:rFonts w:hint="eastAsia" w:cs="Times New Roman"/>
                <w:color w:val="auto"/>
                <w:sz w:val="24"/>
                <w:highlight w:val="none"/>
                <w:u w:val="none"/>
                <w:lang w:val="en-US" w:eastAsia="zh-CN"/>
              </w:rPr>
              <w:t>4.65</w:t>
            </w:r>
            <w:r>
              <w:rPr>
                <w:rFonts w:hint="default" w:ascii="Times New Roman" w:hAnsi="Times New Roman" w:eastAsia="宋体" w:cs="Times New Roman"/>
                <w:color w:val="auto"/>
                <w:sz w:val="24"/>
                <w:highlight w:val="none"/>
                <w:u w:val="none"/>
              </w:rPr>
              <w:t>%</w:t>
            </w:r>
            <w:r>
              <w:rPr>
                <w:rFonts w:hint="default" w:ascii="Times New Roman" w:hAnsi="Times New Roman" w:eastAsia="宋体" w:cs="Times New Roman"/>
                <w:color w:val="auto"/>
                <w:sz w:val="24"/>
                <w:szCs w:val="24"/>
                <w:highlight w:val="none"/>
                <w:lang w:val="en-US" w:eastAsia="zh-CN" w:bidi="ar-SA"/>
              </w:rPr>
              <w:t>×</w:t>
            </w:r>
            <w:r>
              <w:rPr>
                <w:rFonts w:hint="default" w:ascii="Times New Roman" w:hAnsi="Times New Roman" w:eastAsia="宋体" w:cs="Times New Roman"/>
                <w:color w:val="auto"/>
                <w:sz w:val="24"/>
                <w:highlight w:val="none"/>
                <w:u w:val="none"/>
                <w:lang w:val="en-US" w:eastAsia="zh-CN"/>
              </w:rPr>
              <w:t>45%</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（1-99.5%）}/（1-</w:t>
            </w:r>
            <w:r>
              <w:rPr>
                <w:rFonts w:hint="eastAsia" w:cs="Times New Roman"/>
                <w:color w:val="auto"/>
                <w:sz w:val="24"/>
                <w:highlight w:val="none"/>
                <w:u w:val="none"/>
                <w:lang w:val="en-US" w:eastAsia="zh-CN"/>
              </w:rPr>
              <w:t>12</w:t>
            </w:r>
            <w:r>
              <w:rPr>
                <w:rFonts w:hint="eastAsia" w:ascii="Times New Roman" w:hAnsi="Times New Roman" w:eastAsia="宋体" w:cs="Times New Roman"/>
                <w:color w:val="auto"/>
                <w:sz w:val="24"/>
                <w:szCs w:val="24"/>
                <w:highlight w:val="none"/>
                <w:lang w:val="en-US" w:eastAsia="zh-CN" w:bidi="ar-SA"/>
              </w:rPr>
              <w:t>%）</w:t>
            </w:r>
            <w:r>
              <w:rPr>
                <w:rFonts w:hint="eastAsia" w:cs="Times New Roman"/>
                <w:color w:val="auto"/>
                <w:sz w:val="24"/>
                <w:highlight w:val="none"/>
                <w:u w:val="none"/>
                <w:lang w:val="en-US" w:eastAsia="zh-CN"/>
              </w:rPr>
              <w:t>=0.379</w:t>
            </w:r>
            <w:r>
              <w:rPr>
                <w:rFonts w:hint="default" w:ascii="Times New Roman" w:hAnsi="Times New Roman" w:eastAsia="宋体" w:cs="Times New Roman"/>
                <w:color w:val="auto"/>
                <w:sz w:val="24"/>
                <w:szCs w:val="24"/>
                <w:highlight w:val="none"/>
              </w:rPr>
              <w:t>t</w:t>
            </w:r>
            <w:r>
              <w:rPr>
                <w:rFonts w:hint="default" w:ascii="Times New Roman" w:hAnsi="Times New Roman" w:eastAsia="宋体" w:cs="Times New Roman"/>
                <w:color w:val="auto"/>
                <w:sz w:val="24"/>
                <w:highlight w:val="none"/>
                <w:u w:val="none"/>
              </w:rPr>
              <w:t>，即</w:t>
            </w:r>
            <w:r>
              <w:rPr>
                <w:rFonts w:hint="default" w:ascii="Times New Roman" w:hAnsi="Times New Roman" w:eastAsia="宋体" w:cs="Times New Roman"/>
                <w:color w:val="auto"/>
                <w:sz w:val="24"/>
                <w:highlight w:val="none"/>
                <w:u w:val="none"/>
                <w:lang w:val="en-US" w:eastAsia="zh-CN"/>
              </w:rPr>
              <w:t>热风炉</w:t>
            </w:r>
            <w:r>
              <w:rPr>
                <w:rFonts w:hint="default" w:ascii="Times New Roman" w:hAnsi="Times New Roman" w:eastAsia="宋体" w:cs="Times New Roman"/>
                <w:color w:val="auto"/>
                <w:sz w:val="24"/>
                <w:highlight w:val="none"/>
                <w:u w:val="none"/>
              </w:rPr>
              <w:t>烟尘排放量为</w:t>
            </w:r>
            <w:r>
              <w:rPr>
                <w:rFonts w:hint="eastAsia" w:cs="Times New Roman"/>
                <w:color w:val="auto"/>
                <w:sz w:val="24"/>
                <w:highlight w:val="none"/>
                <w:u w:val="none"/>
                <w:lang w:val="en-US" w:eastAsia="zh-CN"/>
              </w:rPr>
              <w:t>0.379</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highlight w:val="none"/>
                <w:u w:val="none"/>
              </w:rPr>
              <w:t>，</w:t>
            </w:r>
            <w:r>
              <w:rPr>
                <w:rFonts w:hint="default" w:ascii="Times New Roman" w:hAnsi="Times New Roman" w:eastAsia="宋体" w:cs="Times New Roman"/>
                <w:color w:val="auto"/>
                <w:sz w:val="24"/>
                <w:highlight w:val="none"/>
                <w:u w:val="none"/>
                <w:lang w:val="en-US" w:eastAsia="zh-CN"/>
              </w:rPr>
              <w:t>排放速率为</w:t>
            </w:r>
            <w:r>
              <w:rPr>
                <w:rFonts w:hint="eastAsia" w:cs="Times New Roman"/>
                <w:color w:val="auto"/>
                <w:sz w:val="24"/>
                <w:highlight w:val="none"/>
                <w:u w:val="none"/>
                <w:lang w:val="en-US" w:eastAsia="zh-CN"/>
              </w:rPr>
              <w:t>0.211</w:t>
            </w:r>
            <w:r>
              <w:rPr>
                <w:rFonts w:hint="default" w:ascii="Times New Roman" w:hAnsi="Times New Roman" w:eastAsia="宋体" w:cs="Times New Roman"/>
                <w:color w:val="auto"/>
                <w:sz w:val="24"/>
                <w:highlight w:val="none"/>
                <w:u w:val="none"/>
                <w:lang w:val="en-US" w:eastAsia="zh-CN"/>
              </w:rPr>
              <w:t>kg/h，排</w:t>
            </w:r>
            <w:r>
              <w:rPr>
                <w:rFonts w:hint="default" w:ascii="Times New Roman" w:hAnsi="Times New Roman" w:eastAsia="宋体" w:cs="Times New Roman"/>
                <w:color w:val="auto"/>
                <w:sz w:val="24"/>
                <w:highlight w:val="none"/>
                <w:u w:val="none"/>
              </w:rPr>
              <w:t>放浓度为</w:t>
            </w:r>
            <w:r>
              <w:rPr>
                <w:rFonts w:hint="eastAsia" w:cs="Times New Roman"/>
                <w:color w:val="auto"/>
                <w:sz w:val="24"/>
                <w:highlight w:val="none"/>
                <w:u w:val="none"/>
                <w:lang w:val="en-US" w:eastAsia="zh-CN"/>
              </w:rPr>
              <w:t>25.2</w:t>
            </w:r>
            <w:r>
              <w:rPr>
                <w:rFonts w:hint="default" w:ascii="Times New Roman" w:hAnsi="Times New Roman" w:eastAsia="宋体" w:cs="Times New Roman"/>
                <w:color w:val="auto"/>
                <w:sz w:val="24"/>
                <w:highlight w:val="none"/>
                <w:u w:val="none"/>
              </w:rPr>
              <w:t>mg/m</w:t>
            </w:r>
            <w:r>
              <w:rPr>
                <w:rFonts w:hint="default" w:ascii="Times New Roman" w:hAnsi="Times New Roman" w:eastAsia="宋体" w:cs="Times New Roman"/>
                <w:color w:val="auto"/>
                <w:sz w:val="24"/>
                <w:highlight w:val="none"/>
                <w:u w:val="none"/>
                <w:vertAlign w:val="superscript"/>
              </w:rPr>
              <w:t>3</w:t>
            </w:r>
            <w:r>
              <w:rPr>
                <w:rFonts w:hint="default" w:ascii="Times New Roman" w:hAnsi="Times New Roman" w:eastAsia="宋体" w:cs="Times New Roman"/>
                <w:color w:val="auto"/>
                <w:sz w:val="24"/>
                <w:highlight w:val="none"/>
                <w:u w:val="none"/>
                <w:lang w:eastAsia="zh-CN"/>
              </w:rPr>
              <w:t>。</w:t>
            </w:r>
          </w:p>
          <w:p w14:paraId="7D2E0537">
            <w:pPr>
              <w:pStyle w:val="2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kern w:val="0"/>
                <w:sz w:val="24"/>
                <w:highlight w:val="none"/>
                <w:u w:val="none"/>
                <w:vertAlign w:val="subscript"/>
              </w:rPr>
            </w:pPr>
            <w:r>
              <w:rPr>
                <w:rFonts w:hint="eastAsia" w:cs="Times New Roman"/>
                <w:color w:val="auto"/>
                <w:kern w:val="0"/>
                <w:sz w:val="24"/>
                <w:highlight w:val="none"/>
                <w:u w:val="none"/>
                <w:lang w:val="en-US" w:eastAsia="zh-CN"/>
              </w:rPr>
              <w:t>③</w:t>
            </w:r>
            <w:r>
              <w:rPr>
                <w:rFonts w:hint="default" w:ascii="Times New Roman" w:hAnsi="Times New Roman" w:eastAsia="宋体" w:cs="Times New Roman"/>
                <w:color w:val="auto"/>
                <w:kern w:val="0"/>
                <w:sz w:val="24"/>
                <w:highlight w:val="none"/>
                <w:u w:val="none"/>
              </w:rPr>
              <w:t>SO</w:t>
            </w:r>
            <w:r>
              <w:rPr>
                <w:rFonts w:hint="default" w:ascii="Times New Roman" w:hAnsi="Times New Roman" w:eastAsia="宋体" w:cs="Times New Roman"/>
                <w:color w:val="auto"/>
                <w:kern w:val="0"/>
                <w:sz w:val="24"/>
                <w:highlight w:val="none"/>
                <w:u w:val="none"/>
                <w:vertAlign w:val="subscript"/>
              </w:rPr>
              <w:t>2</w:t>
            </w:r>
          </w:p>
          <w:p w14:paraId="66212C3C">
            <w:pPr>
              <w:keepNext w:val="0"/>
              <w:keepLines w:val="0"/>
              <w:suppressLineNumbers w:val="0"/>
              <w:autoSpaceDE w:val="0"/>
              <w:autoSpaceDN w:val="0"/>
              <w:adjustRightInd w:val="0"/>
              <w:spacing w:before="0" w:beforeAutospacing="0" w:after="0" w:afterAutospacing="0" w:line="240" w:lineRule="auto"/>
              <w:ind w:left="523" w:right="0"/>
              <w:jc w:val="center"/>
              <w:textAlignment w:val="baseline"/>
              <w:rPr>
                <w:rFonts w:hint="default" w:ascii="Times New Roman" w:hAnsi="Times New Roman" w:eastAsia="宋体" w:cs="Times New Roman"/>
                <w:color w:val="auto"/>
                <w:kern w:val="0"/>
                <w:sz w:val="24"/>
                <w:szCs w:val="32"/>
                <w:highlight w:val="none"/>
                <w:u w:val="none"/>
                <w:vertAlign w:val="subscript"/>
              </w:rPr>
            </w:pPr>
            <w:r>
              <w:rPr>
                <w:rFonts w:hint="default" w:ascii="Times New Roman" w:hAnsi="Times New Roman" w:eastAsia="宋体" w:cs="Times New Roman"/>
                <w:color w:val="auto"/>
                <w:kern w:val="0"/>
                <w:sz w:val="24"/>
                <w:szCs w:val="32"/>
                <w:highlight w:val="none"/>
                <w:u w:val="none"/>
                <w:vertAlign w:val="subscript"/>
                <w:lang w:val="en-US" w:eastAsia="zh-CN" w:bidi="ar-SA"/>
              </w:rPr>
              <w:drawing>
                <wp:inline distT="0" distB="0" distL="114300" distR="114300">
                  <wp:extent cx="2519045" cy="492125"/>
                  <wp:effectExtent l="0" t="0" r="14605" b="3175"/>
                  <wp:docPr id="13" name="图片 10" descr="1554718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1554718402(1)"/>
                          <pic:cNvPicPr>
                            <a:picLocks noChangeAspect="1"/>
                          </pic:cNvPicPr>
                        </pic:nvPicPr>
                        <pic:blipFill>
                          <a:blip r:embed="rId25">
                            <a:lum/>
                          </a:blip>
                          <a:stretch>
                            <a:fillRect/>
                          </a:stretch>
                        </pic:blipFill>
                        <pic:spPr>
                          <a:xfrm>
                            <a:off x="0" y="0"/>
                            <a:ext cx="2519045" cy="492125"/>
                          </a:xfrm>
                          <a:prstGeom prst="rect">
                            <a:avLst/>
                          </a:prstGeom>
                          <a:noFill/>
                          <a:ln>
                            <a:noFill/>
                          </a:ln>
                        </pic:spPr>
                      </pic:pic>
                    </a:graphicData>
                  </a:graphic>
                </wp:inline>
              </w:drawing>
            </w:r>
          </w:p>
          <w:p w14:paraId="12A92680">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式中：E</w:t>
            </w:r>
            <w:r>
              <w:rPr>
                <w:rFonts w:hint="default" w:ascii="Times New Roman" w:hAnsi="Times New Roman" w:eastAsia="宋体" w:cs="Times New Roman"/>
                <w:color w:val="auto"/>
                <w:kern w:val="0"/>
                <w:sz w:val="24"/>
                <w:szCs w:val="32"/>
                <w:highlight w:val="none"/>
                <w:u w:val="none"/>
                <w:vertAlign w:val="subscript"/>
              </w:rPr>
              <w:t>SO2</w:t>
            </w:r>
            <w:r>
              <w:rPr>
                <w:rFonts w:hint="default" w:ascii="Times New Roman" w:hAnsi="Times New Roman" w:eastAsia="宋体" w:cs="Times New Roman"/>
                <w:color w:val="auto"/>
                <w:kern w:val="0"/>
                <w:sz w:val="24"/>
                <w:szCs w:val="32"/>
                <w:highlight w:val="none"/>
                <w:u w:val="none"/>
              </w:rPr>
              <w:t>—核算时段内SO</w:t>
            </w:r>
            <w:r>
              <w:rPr>
                <w:rFonts w:hint="default" w:ascii="Times New Roman" w:hAnsi="Times New Roman" w:eastAsia="宋体" w:cs="Times New Roman"/>
                <w:color w:val="auto"/>
                <w:kern w:val="0"/>
                <w:sz w:val="24"/>
                <w:szCs w:val="32"/>
                <w:highlight w:val="none"/>
                <w:u w:val="none"/>
                <w:vertAlign w:val="subscript"/>
              </w:rPr>
              <w:t>2</w:t>
            </w:r>
            <w:r>
              <w:rPr>
                <w:rFonts w:hint="default" w:ascii="Times New Roman" w:hAnsi="Times New Roman" w:eastAsia="宋体" w:cs="Times New Roman"/>
                <w:color w:val="auto"/>
                <w:kern w:val="0"/>
                <w:sz w:val="24"/>
                <w:szCs w:val="32"/>
                <w:highlight w:val="none"/>
                <w:u w:val="none"/>
              </w:rPr>
              <w:t>排放量，t；</w:t>
            </w:r>
          </w:p>
          <w:p w14:paraId="50495777">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R—核算时段内锅炉燃料耗量，t；</w:t>
            </w:r>
            <w:r>
              <w:rPr>
                <w:rFonts w:hint="default" w:ascii="Times New Roman" w:hAnsi="Times New Roman" w:eastAsia="宋体" w:cs="Times New Roman"/>
                <w:color w:val="auto"/>
                <w:sz w:val="24"/>
                <w:highlight w:val="none"/>
                <w:u w:val="none"/>
                <w:lang w:val="en-US" w:eastAsia="zh-CN"/>
              </w:rPr>
              <w:t>为</w:t>
            </w:r>
            <w:r>
              <w:rPr>
                <w:rFonts w:hint="eastAsia"/>
                <w:color w:val="auto"/>
                <w:sz w:val="24"/>
                <w:szCs w:val="24"/>
                <w:highlight w:val="none"/>
                <w:lang w:val="en-US" w:eastAsia="zh-CN"/>
              </w:rPr>
              <w:t>3187</w:t>
            </w:r>
            <w:r>
              <w:rPr>
                <w:rFonts w:hint="default" w:ascii="Times New Roman" w:hAnsi="Times New Roman" w:eastAsia="宋体" w:cs="Times New Roman"/>
                <w:color w:val="auto"/>
                <w:sz w:val="24"/>
                <w:highlight w:val="none"/>
                <w:u w:val="none"/>
                <w:lang w:val="en-US" w:eastAsia="zh-CN"/>
              </w:rPr>
              <w:t>t/a</w:t>
            </w:r>
            <w:r>
              <w:rPr>
                <w:rFonts w:hint="default" w:ascii="Times New Roman" w:hAnsi="Times New Roman" w:eastAsia="宋体" w:cs="Times New Roman"/>
                <w:color w:val="auto"/>
                <w:kern w:val="0"/>
                <w:sz w:val="24"/>
                <w:szCs w:val="32"/>
                <w:highlight w:val="none"/>
                <w:u w:val="none"/>
              </w:rPr>
              <w:t>；</w:t>
            </w:r>
          </w:p>
          <w:p w14:paraId="63E1CAB6">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Sar—收到基硫分的质量分数，</w:t>
            </w:r>
            <w:r>
              <w:rPr>
                <w:rFonts w:hint="eastAsia" w:cs="Times New Roman"/>
                <w:color w:val="auto"/>
                <w:kern w:val="0"/>
                <w:sz w:val="24"/>
                <w:szCs w:val="32"/>
                <w:highlight w:val="none"/>
                <w:u w:val="none"/>
                <w:lang w:val="en-US" w:eastAsia="zh-CN"/>
              </w:rPr>
              <w:t>0.05</w:t>
            </w:r>
            <w:r>
              <w:rPr>
                <w:rFonts w:hint="default" w:ascii="Times New Roman" w:hAnsi="Times New Roman" w:eastAsia="宋体" w:cs="Times New Roman"/>
                <w:color w:val="auto"/>
                <w:kern w:val="0"/>
                <w:sz w:val="24"/>
                <w:szCs w:val="32"/>
                <w:highlight w:val="none"/>
                <w:u w:val="none"/>
              </w:rPr>
              <w:t>%；</w:t>
            </w:r>
          </w:p>
          <w:p w14:paraId="47016735">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q</w:t>
            </w:r>
            <w:r>
              <w:rPr>
                <w:rFonts w:hint="default" w:ascii="Times New Roman" w:hAnsi="Times New Roman" w:eastAsia="宋体" w:cs="Times New Roman"/>
                <w:color w:val="auto"/>
                <w:kern w:val="0"/>
                <w:sz w:val="24"/>
                <w:szCs w:val="32"/>
                <w:highlight w:val="none"/>
                <w:u w:val="none"/>
                <w:vertAlign w:val="subscript"/>
              </w:rPr>
              <w:t>4</w:t>
            </w:r>
            <w:r>
              <w:rPr>
                <w:rFonts w:hint="default" w:ascii="Times New Roman" w:hAnsi="Times New Roman" w:eastAsia="宋体" w:cs="Times New Roman"/>
                <w:color w:val="auto"/>
                <w:kern w:val="0"/>
                <w:sz w:val="24"/>
                <w:szCs w:val="32"/>
                <w:highlight w:val="none"/>
                <w:u w:val="none"/>
              </w:rPr>
              <w:t>—锅炉机械不完全燃烧热损失，</w:t>
            </w:r>
            <w:r>
              <w:rPr>
                <w:rFonts w:hint="default" w:ascii="Times New Roman" w:hAnsi="Times New Roman" w:eastAsia="宋体" w:cs="Times New Roman"/>
                <w:color w:val="auto"/>
                <w:kern w:val="0"/>
                <w:sz w:val="24"/>
                <w:szCs w:val="32"/>
                <w:highlight w:val="none"/>
                <w:u w:val="none"/>
                <w:lang w:val="en-US" w:eastAsia="zh-CN"/>
              </w:rPr>
              <w:t>对照</w:t>
            </w:r>
            <w:r>
              <w:rPr>
                <w:rFonts w:hint="default" w:ascii="Times New Roman" w:hAnsi="Times New Roman" w:eastAsia="宋体" w:cs="Times New Roman"/>
                <w:color w:val="auto"/>
                <w:kern w:val="0"/>
                <w:sz w:val="24"/>
                <w:szCs w:val="32"/>
                <w:highlight w:val="none"/>
                <w:u w:val="none"/>
              </w:rPr>
              <w:t>本项目</w:t>
            </w:r>
            <w:r>
              <w:rPr>
                <w:rFonts w:hint="default" w:ascii="Times New Roman" w:hAnsi="Times New Roman" w:eastAsia="宋体" w:cs="Times New Roman"/>
                <w:color w:val="auto"/>
                <w:kern w:val="0"/>
                <w:sz w:val="24"/>
                <w:szCs w:val="32"/>
                <w:highlight w:val="none"/>
                <w:u w:val="none"/>
                <w:lang w:eastAsia="zh-CN"/>
              </w:rPr>
              <w:t>生物质</w:t>
            </w:r>
            <w:r>
              <w:rPr>
                <w:rFonts w:hint="default" w:ascii="Times New Roman" w:hAnsi="Times New Roman" w:eastAsia="宋体" w:cs="Times New Roman"/>
                <w:color w:val="auto"/>
                <w:kern w:val="0"/>
                <w:sz w:val="24"/>
                <w:szCs w:val="32"/>
                <w:highlight w:val="none"/>
                <w:u w:val="none"/>
                <w:lang w:val="en-US" w:eastAsia="zh-CN"/>
              </w:rPr>
              <w:t>热风炉</w:t>
            </w:r>
            <w:r>
              <w:rPr>
                <w:rFonts w:hint="default" w:ascii="Times New Roman" w:hAnsi="Times New Roman" w:eastAsia="宋体" w:cs="Times New Roman"/>
                <w:color w:val="auto"/>
                <w:kern w:val="0"/>
                <w:sz w:val="24"/>
                <w:szCs w:val="32"/>
                <w:highlight w:val="none"/>
                <w:u w:val="none"/>
              </w:rPr>
              <w:t>机械不完全燃烧热损失取值为</w:t>
            </w:r>
            <w:r>
              <w:rPr>
                <w:rFonts w:hint="eastAsia" w:cs="Times New Roman"/>
                <w:color w:val="auto"/>
                <w:kern w:val="0"/>
                <w:sz w:val="24"/>
                <w:szCs w:val="32"/>
                <w:highlight w:val="none"/>
                <w:u w:val="none"/>
                <w:lang w:val="en-US" w:eastAsia="zh-CN"/>
              </w:rPr>
              <w:t>15</w:t>
            </w:r>
            <w:r>
              <w:rPr>
                <w:rFonts w:hint="default" w:ascii="Times New Roman" w:hAnsi="Times New Roman" w:eastAsia="宋体" w:cs="Times New Roman"/>
                <w:color w:val="auto"/>
                <w:kern w:val="0"/>
                <w:sz w:val="24"/>
                <w:szCs w:val="32"/>
                <w:highlight w:val="none"/>
                <w:u w:val="none"/>
              </w:rPr>
              <w:t>%；</w:t>
            </w:r>
          </w:p>
          <w:p w14:paraId="5D0741F2">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η</w:t>
            </w:r>
            <w:r>
              <w:rPr>
                <w:rFonts w:hint="default" w:ascii="Times New Roman" w:hAnsi="Times New Roman" w:eastAsia="宋体" w:cs="Times New Roman"/>
                <w:color w:val="auto"/>
                <w:kern w:val="0"/>
                <w:sz w:val="24"/>
                <w:szCs w:val="32"/>
                <w:highlight w:val="none"/>
                <w:u w:val="none"/>
                <w:vertAlign w:val="subscript"/>
              </w:rPr>
              <w:t>s</w:t>
            </w:r>
            <w:r>
              <w:rPr>
                <w:rFonts w:hint="default" w:ascii="Times New Roman" w:hAnsi="Times New Roman" w:eastAsia="宋体" w:cs="Times New Roman"/>
                <w:color w:val="auto"/>
                <w:kern w:val="0"/>
                <w:sz w:val="24"/>
                <w:szCs w:val="32"/>
                <w:highlight w:val="none"/>
                <w:u w:val="none"/>
              </w:rPr>
              <w:t>—脱硫效率，%；本项目</w:t>
            </w:r>
            <w:r>
              <w:rPr>
                <w:rFonts w:hint="default" w:ascii="Times New Roman" w:hAnsi="Times New Roman" w:eastAsia="宋体" w:cs="Times New Roman"/>
                <w:color w:val="auto"/>
                <w:kern w:val="0"/>
                <w:sz w:val="24"/>
                <w:szCs w:val="32"/>
                <w:highlight w:val="none"/>
                <w:u w:val="none"/>
                <w:lang w:val="en-US" w:eastAsia="zh-CN"/>
              </w:rPr>
              <w:t>为0%</w:t>
            </w:r>
            <w:r>
              <w:rPr>
                <w:rFonts w:hint="default" w:ascii="Times New Roman" w:hAnsi="Times New Roman" w:eastAsia="宋体" w:cs="Times New Roman"/>
                <w:color w:val="auto"/>
                <w:kern w:val="0"/>
                <w:sz w:val="24"/>
                <w:szCs w:val="32"/>
                <w:highlight w:val="none"/>
                <w:u w:val="none"/>
              </w:rPr>
              <w:t>；</w:t>
            </w:r>
          </w:p>
          <w:p w14:paraId="148A9031">
            <w:pPr>
              <w:keepNext w:val="0"/>
              <w:keepLines w:val="0"/>
              <w:suppressLineNumbers w:val="0"/>
              <w:autoSpaceDE w:val="0"/>
              <w:autoSpaceDN w:val="0"/>
              <w:adjustRightIn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32"/>
                <w:highlight w:val="none"/>
                <w:u w:val="none"/>
              </w:rPr>
            </w:pPr>
            <w:r>
              <w:rPr>
                <w:rFonts w:hint="default" w:ascii="Times New Roman" w:hAnsi="Times New Roman" w:eastAsia="宋体" w:cs="Times New Roman"/>
                <w:color w:val="auto"/>
                <w:kern w:val="0"/>
                <w:sz w:val="24"/>
                <w:szCs w:val="32"/>
                <w:highlight w:val="none"/>
                <w:u w:val="none"/>
              </w:rPr>
              <w:t>K—燃料中硫燃烧后氧化成SO</w:t>
            </w:r>
            <w:r>
              <w:rPr>
                <w:rFonts w:hint="default" w:ascii="Times New Roman" w:hAnsi="Times New Roman" w:eastAsia="宋体" w:cs="Times New Roman"/>
                <w:color w:val="auto"/>
                <w:kern w:val="0"/>
                <w:sz w:val="24"/>
                <w:szCs w:val="32"/>
                <w:highlight w:val="none"/>
                <w:u w:val="none"/>
                <w:vertAlign w:val="subscript"/>
              </w:rPr>
              <w:t>2</w:t>
            </w:r>
            <w:r>
              <w:rPr>
                <w:rFonts w:hint="default" w:ascii="Times New Roman" w:hAnsi="Times New Roman" w:eastAsia="宋体" w:cs="Times New Roman"/>
                <w:color w:val="auto"/>
                <w:kern w:val="0"/>
                <w:sz w:val="24"/>
                <w:szCs w:val="32"/>
                <w:highlight w:val="none"/>
                <w:u w:val="none"/>
              </w:rPr>
              <w:t>的份额，K取最大值0.5。</w:t>
            </w:r>
          </w:p>
          <w:p w14:paraId="3D5C9C9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color w:val="auto"/>
                <w:highlight w:val="none"/>
                <w:u w:val="none"/>
                <w:lang w:eastAsia="zh-CN"/>
              </w:rPr>
            </w:pPr>
            <w:r>
              <w:rPr>
                <w:rFonts w:hint="default" w:ascii="Times New Roman" w:hAnsi="Times New Roman" w:eastAsia="宋体" w:cs="Times New Roman"/>
                <w:color w:val="auto"/>
                <w:sz w:val="24"/>
                <w:szCs w:val="32"/>
                <w:highlight w:val="none"/>
                <w:u w:val="none"/>
              </w:rPr>
              <w:t>经计算，E</w:t>
            </w:r>
            <w:r>
              <w:rPr>
                <w:rFonts w:hint="default" w:ascii="Times New Roman" w:hAnsi="Times New Roman" w:eastAsia="宋体" w:cs="Times New Roman"/>
                <w:color w:val="auto"/>
                <w:sz w:val="24"/>
                <w:szCs w:val="32"/>
                <w:highlight w:val="none"/>
                <w:u w:val="none"/>
                <w:vertAlign w:val="subscript"/>
              </w:rPr>
              <w:t>SO2</w:t>
            </w:r>
            <w:r>
              <w:rPr>
                <w:rFonts w:hint="default" w:ascii="Times New Roman" w:hAnsi="Times New Roman" w:eastAsia="宋体" w:cs="Times New Roman"/>
                <w:color w:val="auto"/>
                <w:sz w:val="24"/>
                <w:szCs w:val="32"/>
                <w:highlight w:val="none"/>
                <w:u w:val="none"/>
              </w:rPr>
              <w:t>=</w:t>
            </w:r>
            <w:r>
              <w:rPr>
                <w:rFonts w:hint="eastAsia" w:cs="Times New Roman"/>
                <w:color w:val="auto"/>
                <w:sz w:val="24"/>
                <w:szCs w:val="32"/>
                <w:highlight w:val="none"/>
                <w:u w:val="none"/>
                <w:lang w:val="en-US" w:eastAsia="zh-CN"/>
              </w:rPr>
              <w:t>2</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3187</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0.05%</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（1-15%）</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（1-0%）</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0.5</w:t>
            </w:r>
            <w:r>
              <w:rPr>
                <w:rFonts w:hint="eastAsia" w:cs="Times New Roman"/>
                <w:color w:val="auto"/>
                <w:sz w:val="24"/>
                <w:szCs w:val="32"/>
                <w:highlight w:val="none"/>
                <w:u w:val="none"/>
                <w:lang w:val="en-US" w:eastAsia="zh-CN"/>
              </w:rPr>
              <w:t>=1.35</w:t>
            </w:r>
            <w:r>
              <w:rPr>
                <w:rFonts w:hint="default" w:ascii="Times New Roman" w:hAnsi="Times New Roman" w:eastAsia="宋体" w:cs="Times New Roman"/>
                <w:color w:val="auto"/>
                <w:sz w:val="24"/>
                <w:szCs w:val="24"/>
                <w:highlight w:val="none"/>
              </w:rPr>
              <w:t>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highlight w:val="none"/>
                <w:u w:val="none"/>
              </w:rPr>
              <w:t>即</w:t>
            </w:r>
            <w:r>
              <w:rPr>
                <w:rFonts w:hint="default" w:ascii="Times New Roman" w:hAnsi="Times New Roman" w:eastAsia="宋体" w:cs="Times New Roman"/>
                <w:color w:val="auto"/>
                <w:sz w:val="24"/>
                <w:highlight w:val="none"/>
                <w:u w:val="none"/>
                <w:lang w:val="en-US" w:eastAsia="zh-CN"/>
              </w:rPr>
              <w:t>热风炉</w:t>
            </w:r>
            <w:r>
              <w:rPr>
                <w:rFonts w:hint="default" w:ascii="Times New Roman" w:hAnsi="Times New Roman" w:eastAsia="宋体" w:cs="Times New Roman"/>
                <w:color w:val="auto"/>
                <w:kern w:val="0"/>
                <w:sz w:val="24"/>
                <w:highlight w:val="none"/>
                <w:u w:val="none"/>
              </w:rPr>
              <w:t>SO</w:t>
            </w:r>
            <w:r>
              <w:rPr>
                <w:rFonts w:hint="default" w:ascii="Times New Roman" w:hAnsi="Times New Roman" w:eastAsia="宋体" w:cs="Times New Roman"/>
                <w:color w:val="auto"/>
                <w:kern w:val="0"/>
                <w:sz w:val="24"/>
                <w:highlight w:val="none"/>
                <w:u w:val="none"/>
                <w:vertAlign w:val="subscript"/>
              </w:rPr>
              <w:t>2</w:t>
            </w:r>
            <w:r>
              <w:rPr>
                <w:rFonts w:hint="default" w:ascii="Times New Roman" w:hAnsi="Times New Roman" w:eastAsia="宋体" w:cs="Times New Roman"/>
                <w:color w:val="auto"/>
                <w:sz w:val="24"/>
                <w:highlight w:val="none"/>
                <w:u w:val="none"/>
              </w:rPr>
              <w:t>排放量为</w:t>
            </w:r>
            <w:r>
              <w:rPr>
                <w:rFonts w:hint="eastAsia" w:cs="Times New Roman"/>
                <w:color w:val="auto"/>
                <w:sz w:val="24"/>
                <w:highlight w:val="none"/>
                <w:u w:val="none"/>
                <w:lang w:val="en-US" w:eastAsia="zh-CN"/>
              </w:rPr>
              <w:t>1.35</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highlight w:val="none"/>
                <w:u w:val="none"/>
              </w:rPr>
              <w:t>，</w:t>
            </w:r>
            <w:r>
              <w:rPr>
                <w:rFonts w:hint="default" w:ascii="Times New Roman" w:hAnsi="Times New Roman" w:eastAsia="宋体" w:cs="Times New Roman"/>
                <w:color w:val="auto"/>
                <w:sz w:val="24"/>
                <w:highlight w:val="none"/>
                <w:u w:val="none"/>
                <w:lang w:val="en-US" w:eastAsia="zh-CN"/>
              </w:rPr>
              <w:t>排放速率为</w:t>
            </w:r>
            <w:r>
              <w:rPr>
                <w:rFonts w:hint="eastAsia" w:cs="Times New Roman"/>
                <w:color w:val="auto"/>
                <w:sz w:val="24"/>
                <w:highlight w:val="none"/>
                <w:u w:val="none"/>
                <w:lang w:val="en-US" w:eastAsia="zh-CN"/>
              </w:rPr>
              <w:t>0.75</w:t>
            </w:r>
            <w:r>
              <w:rPr>
                <w:rFonts w:hint="default" w:ascii="Times New Roman" w:hAnsi="Times New Roman" w:eastAsia="宋体" w:cs="Times New Roman"/>
                <w:color w:val="auto"/>
                <w:sz w:val="24"/>
                <w:highlight w:val="none"/>
                <w:u w:val="none"/>
                <w:lang w:val="en-US" w:eastAsia="zh-CN"/>
              </w:rPr>
              <w:t>kg/h，排</w:t>
            </w:r>
            <w:r>
              <w:rPr>
                <w:rFonts w:hint="default" w:ascii="Times New Roman" w:hAnsi="Times New Roman" w:eastAsia="宋体" w:cs="Times New Roman"/>
                <w:color w:val="auto"/>
                <w:sz w:val="24"/>
                <w:highlight w:val="none"/>
                <w:u w:val="none"/>
              </w:rPr>
              <w:t>放浓度为</w:t>
            </w:r>
            <w:r>
              <w:rPr>
                <w:rFonts w:hint="eastAsia" w:cs="Times New Roman"/>
                <w:color w:val="auto"/>
                <w:sz w:val="24"/>
                <w:highlight w:val="none"/>
                <w:u w:val="none"/>
                <w:lang w:val="en-US" w:eastAsia="zh-CN"/>
              </w:rPr>
              <w:t>89.74</w:t>
            </w:r>
            <w:r>
              <w:rPr>
                <w:rFonts w:hint="default" w:ascii="Times New Roman" w:hAnsi="Times New Roman" w:eastAsia="宋体" w:cs="Times New Roman"/>
                <w:color w:val="auto"/>
                <w:sz w:val="24"/>
                <w:highlight w:val="none"/>
                <w:u w:val="none"/>
              </w:rPr>
              <w:t>mg/m</w:t>
            </w:r>
            <w:r>
              <w:rPr>
                <w:rFonts w:hint="default" w:ascii="Times New Roman" w:hAnsi="Times New Roman" w:eastAsia="宋体" w:cs="Times New Roman"/>
                <w:color w:val="auto"/>
                <w:sz w:val="24"/>
                <w:highlight w:val="none"/>
                <w:u w:val="none"/>
                <w:vertAlign w:val="superscript"/>
              </w:rPr>
              <w:t>3</w:t>
            </w:r>
          </w:p>
          <w:p w14:paraId="0E64BF8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u w:val="none"/>
                <w:lang w:eastAsia="zh-CN"/>
              </w:rPr>
            </w:pPr>
            <w:r>
              <w:rPr>
                <w:rFonts w:hint="eastAsia" w:cs="Times New Roman"/>
                <w:color w:val="auto"/>
                <w:sz w:val="24"/>
                <w:highlight w:val="none"/>
                <w:u w:val="none"/>
                <w:lang w:val="en-US" w:eastAsia="zh-CN"/>
              </w:rPr>
              <w:t>④</w:t>
            </w:r>
            <w:r>
              <w:rPr>
                <w:rFonts w:hint="default" w:ascii="Times New Roman" w:hAnsi="Times New Roman" w:eastAsia="宋体" w:cs="Times New Roman"/>
                <w:color w:val="auto"/>
                <w:sz w:val="24"/>
                <w:highlight w:val="none"/>
                <w:u w:val="none"/>
              </w:rPr>
              <w:t>NO</w:t>
            </w:r>
            <w:r>
              <w:rPr>
                <w:rFonts w:hint="default" w:ascii="Times New Roman" w:hAnsi="Times New Roman" w:eastAsia="宋体" w:cs="Times New Roman"/>
                <w:color w:val="auto"/>
                <w:sz w:val="24"/>
                <w:highlight w:val="none"/>
                <w:u w:val="none"/>
                <w:vertAlign w:val="subscript"/>
              </w:rPr>
              <w:t>X</w:t>
            </w:r>
          </w:p>
          <w:p w14:paraId="70537D1F">
            <w:pPr>
              <w:keepNext w:val="0"/>
              <w:keepLines w:val="0"/>
              <w:pageBreakBefore w:val="0"/>
              <w:widowControl w:val="0"/>
              <w:suppressLineNumbers w:val="0"/>
              <w:kinsoku/>
              <w:wordWrap/>
              <w:overflowPunct/>
              <w:topLinePunct w:val="0"/>
              <w:autoSpaceDE w:val="0"/>
              <w:bidi w:val="0"/>
              <w:snapToGrid/>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lang w:eastAsia="zh-CN"/>
              </w:rPr>
              <w:t>氮氧化物</w:t>
            </w:r>
            <w:r>
              <w:rPr>
                <w:rFonts w:hint="default"/>
                <w:color w:val="auto"/>
                <w:sz w:val="24"/>
                <w:highlight w:val="none"/>
              </w:rPr>
              <w:t>排放量按如下公式计算：</w:t>
            </w:r>
          </w:p>
          <w:p w14:paraId="593A77CB">
            <w:pPr>
              <w:keepNext w:val="0"/>
              <w:keepLines w:val="0"/>
              <w:suppressLineNumbers w:val="0"/>
              <w:spacing w:before="0" w:beforeAutospacing="0" w:after="0" w:afterAutospacing="0"/>
              <w:ind w:left="0" w:right="0" w:firstLine="720" w:firstLineChars="300"/>
              <w:jc w:val="center"/>
              <w:rPr>
                <w:rFonts w:hint="default"/>
                <w:color w:val="auto"/>
                <w:sz w:val="24"/>
                <w:highlight w:val="none"/>
              </w:rPr>
            </w:pPr>
            <w:r>
              <w:rPr>
                <w:rFonts w:hint="default"/>
                <w:color w:val="auto"/>
                <w:sz w:val="24"/>
                <w:highlight w:val="none"/>
              </w:rPr>
              <w:fldChar w:fldCharType="begin"/>
            </w:r>
            <w:r>
              <w:rPr>
                <w:rFonts w:hint="default"/>
                <w:color w:val="auto"/>
                <w:sz w:val="24"/>
                <w:highlight w:val="none"/>
              </w:rPr>
              <w:instrText xml:space="preserve"> INCLUDEPICTURE "C:\\Users\\admin\\AppData\\Local\\Temp\\ksohtml23920\\wps7.jpg" \* MERGEFORMATINET </w:instrText>
            </w:r>
            <w:r>
              <w:rPr>
                <w:rFonts w:hint="default"/>
                <w:color w:val="auto"/>
                <w:sz w:val="24"/>
                <w:highlight w:val="none"/>
              </w:rPr>
              <w:fldChar w:fldCharType="separate"/>
            </w:r>
            <w:r>
              <w:rPr>
                <w:rFonts w:hint="default"/>
                <w:color w:val="auto"/>
                <w:sz w:val="24"/>
                <w:highlight w:val="none"/>
              </w:rPr>
              <w:drawing>
                <wp:inline distT="0" distB="0" distL="114300" distR="114300">
                  <wp:extent cx="2011680" cy="513715"/>
                  <wp:effectExtent l="0" t="0" r="7620" b="635"/>
                  <wp:docPr id="16" name="图片 9" descr="wp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descr="wps7"/>
                          <pic:cNvPicPr>
                            <a:picLocks noChangeAspect="1"/>
                          </pic:cNvPicPr>
                        </pic:nvPicPr>
                        <pic:blipFill>
                          <a:blip r:embed="rId26"/>
                          <a:stretch>
                            <a:fillRect/>
                          </a:stretch>
                        </pic:blipFill>
                        <pic:spPr>
                          <a:xfrm>
                            <a:off x="0" y="0"/>
                            <a:ext cx="2011680" cy="513715"/>
                          </a:xfrm>
                          <a:prstGeom prst="rect">
                            <a:avLst/>
                          </a:prstGeom>
                          <a:noFill/>
                          <a:ln>
                            <a:noFill/>
                          </a:ln>
                        </pic:spPr>
                      </pic:pic>
                    </a:graphicData>
                  </a:graphic>
                </wp:inline>
              </w:drawing>
            </w:r>
            <w:r>
              <w:rPr>
                <w:rFonts w:hint="default"/>
                <w:color w:val="auto"/>
                <w:sz w:val="24"/>
                <w:highlight w:val="none"/>
              </w:rPr>
              <w:fldChar w:fldCharType="end"/>
            </w:r>
          </w:p>
          <w:p w14:paraId="351CC593">
            <w:pPr>
              <w:keepNext w:val="0"/>
              <w:keepLines w:val="0"/>
              <w:suppressLineNumbers w:val="0"/>
              <w:spacing w:before="0" w:beforeAutospacing="0" w:after="0" w:afterAutospacing="0" w:line="520" w:lineRule="exact"/>
              <w:ind w:left="0" w:right="0" w:firstLine="480" w:firstLineChars="200"/>
              <w:rPr>
                <w:rFonts w:hint="default"/>
                <w:color w:val="auto"/>
                <w:sz w:val="24"/>
                <w:highlight w:val="none"/>
              </w:rPr>
            </w:pPr>
            <w:r>
              <w:rPr>
                <w:rFonts w:hint="default"/>
                <w:color w:val="auto"/>
                <w:sz w:val="24"/>
                <w:highlight w:val="none"/>
              </w:rPr>
              <w:t>式中：E</w:t>
            </w:r>
            <w:r>
              <w:rPr>
                <w:rFonts w:hint="default"/>
                <w:color w:val="auto"/>
                <w:sz w:val="24"/>
                <w:highlight w:val="none"/>
                <w:vertAlign w:val="subscript"/>
              </w:rPr>
              <w:t>j</w:t>
            </w:r>
            <w:r>
              <w:rPr>
                <w:rFonts w:hint="default"/>
                <w:color w:val="auto"/>
                <w:sz w:val="24"/>
                <w:highlight w:val="none"/>
              </w:rPr>
              <w:t>——核算时段内第j种污染物排放量，t；</w:t>
            </w:r>
          </w:p>
          <w:p w14:paraId="264063CF">
            <w:pPr>
              <w:keepNext w:val="0"/>
              <w:keepLines w:val="0"/>
              <w:suppressLineNumbers w:val="0"/>
              <w:spacing w:before="0" w:beforeAutospacing="0" w:after="0" w:afterAutospacing="0" w:line="520" w:lineRule="exact"/>
              <w:ind w:left="0" w:right="0" w:firstLine="480" w:firstLineChars="200"/>
              <w:rPr>
                <w:rFonts w:hint="eastAsia"/>
                <w:color w:val="auto"/>
                <w:sz w:val="24"/>
                <w:highlight w:val="none"/>
                <w:lang w:val="en-US" w:eastAsia="zh-CN"/>
              </w:rPr>
            </w:pPr>
            <w:r>
              <w:rPr>
                <w:rFonts w:hint="default"/>
                <w:color w:val="auto"/>
                <w:sz w:val="24"/>
                <w:highlight w:val="none"/>
              </w:rPr>
              <w:t xml:space="preserve">      R——核算时段内燃料消耗，</w:t>
            </w:r>
            <w:r>
              <w:rPr>
                <w:rFonts w:hint="eastAsia" w:cs="Times New Roman"/>
                <w:color w:val="auto"/>
                <w:sz w:val="24"/>
                <w:szCs w:val="24"/>
                <w:highlight w:val="none"/>
                <w:lang w:val="en-US" w:eastAsia="zh-CN"/>
              </w:rPr>
              <w:t>3187</w:t>
            </w:r>
            <w:r>
              <w:rPr>
                <w:rFonts w:hint="eastAsia"/>
                <w:color w:val="auto"/>
                <w:sz w:val="24"/>
                <w:highlight w:val="none"/>
                <w:lang w:val="en-US" w:eastAsia="zh-CN"/>
              </w:rPr>
              <w:t>t。</w:t>
            </w:r>
          </w:p>
          <w:p w14:paraId="16FFAA96">
            <w:pPr>
              <w:keepNext w:val="0"/>
              <w:keepLines w:val="0"/>
              <w:suppressLineNumbers w:val="0"/>
              <w:spacing w:before="0" w:beforeAutospacing="0" w:after="0" w:afterAutospacing="0" w:line="520" w:lineRule="exact"/>
              <w:ind w:left="0" w:right="0" w:firstLine="480" w:firstLineChars="200"/>
              <w:rPr>
                <w:rFonts w:hint="default"/>
                <w:color w:val="auto"/>
                <w:sz w:val="24"/>
                <w:highlight w:val="none"/>
              </w:rPr>
            </w:pPr>
            <w:r>
              <w:rPr>
                <w:rFonts w:hint="default"/>
                <w:color w:val="auto"/>
                <w:sz w:val="24"/>
                <w:highlight w:val="none"/>
              </w:rPr>
              <w:t xml:space="preserve">      β</w:t>
            </w:r>
            <w:r>
              <w:rPr>
                <w:rFonts w:hint="default"/>
                <w:color w:val="auto"/>
                <w:sz w:val="24"/>
                <w:highlight w:val="none"/>
                <w:vertAlign w:val="subscript"/>
              </w:rPr>
              <w:t>j</w:t>
            </w:r>
            <w:r>
              <w:rPr>
                <w:rFonts w:hint="default"/>
                <w:color w:val="auto"/>
                <w:sz w:val="24"/>
                <w:highlight w:val="none"/>
              </w:rPr>
              <w:t>——产污系数，kg/t，根据《排污许可证申请与核发技术规范 锅炉》（HJ953-2018）附录F中表F.4燃生物质工业锅炉的废气产排污系数，本次取值1.02；</w:t>
            </w:r>
          </w:p>
          <w:p w14:paraId="767C6C71">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lang w:eastAsia="zh-CN"/>
              </w:rPr>
            </w:pPr>
            <w:r>
              <w:rPr>
                <w:rFonts w:hint="default"/>
                <w:color w:val="auto"/>
                <w:sz w:val="24"/>
                <w:highlight w:val="none"/>
              </w:rPr>
              <w:t xml:space="preserve">      η——脱硝效率，%，本项目取0；</w:t>
            </w:r>
          </w:p>
          <w:p w14:paraId="17A4F50F">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sz w:val="24"/>
                <w:szCs w:val="32"/>
                <w:highlight w:val="none"/>
                <w:u w:val="none"/>
              </w:rPr>
              <w:t>经计算，E</w:t>
            </w:r>
            <w:r>
              <w:rPr>
                <w:rFonts w:hint="default" w:ascii="Times New Roman" w:hAnsi="Times New Roman" w:eastAsia="宋体" w:cs="Times New Roman"/>
                <w:color w:val="auto"/>
                <w:sz w:val="24"/>
                <w:szCs w:val="32"/>
                <w:highlight w:val="none"/>
                <w:u w:val="none"/>
                <w:vertAlign w:val="subscript"/>
              </w:rPr>
              <w:t>NOX</w:t>
            </w:r>
            <w:r>
              <w:rPr>
                <w:rFonts w:hint="default" w:ascii="Times New Roman" w:hAnsi="Times New Roman" w:eastAsia="宋体" w:cs="Times New Roman"/>
                <w:color w:val="auto"/>
                <w:sz w:val="24"/>
                <w:szCs w:val="32"/>
                <w:highlight w:val="none"/>
                <w:u w:val="none"/>
              </w:rPr>
              <w:t>=</w:t>
            </w:r>
            <w:r>
              <w:rPr>
                <w:rFonts w:hint="eastAsia" w:ascii="Times New Roman" w:hAnsi="Times New Roman" w:eastAsia="宋体" w:cs="Times New Roman"/>
                <w:color w:val="auto"/>
                <w:sz w:val="24"/>
                <w:szCs w:val="32"/>
                <w:highlight w:val="none"/>
                <w:u w:val="none"/>
                <w:lang w:val="en-US" w:eastAsia="zh-CN"/>
              </w:rPr>
              <w:t>3187</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1.02</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（1-0%）</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bidi="ar-SA"/>
              </w:rPr>
              <w:t>10</w:t>
            </w:r>
            <w:r>
              <w:rPr>
                <w:rFonts w:hint="eastAsia" w:ascii="Times New Roman" w:hAnsi="Times New Roman" w:eastAsia="宋体" w:cs="Times New Roman"/>
                <w:color w:val="auto"/>
                <w:sz w:val="24"/>
                <w:szCs w:val="24"/>
                <w:highlight w:val="none"/>
                <w:vertAlign w:val="superscript"/>
                <w:lang w:val="en-US" w:eastAsia="zh-CN" w:bidi="ar-SA"/>
              </w:rPr>
              <w:t>-3</w:t>
            </w:r>
            <w:r>
              <w:rPr>
                <w:rFonts w:hint="eastAsia" w:ascii="Times New Roman" w:hAnsi="Times New Roman" w:eastAsia="宋体" w:cs="Times New Roman"/>
                <w:color w:val="auto"/>
                <w:sz w:val="24"/>
                <w:szCs w:val="32"/>
                <w:highlight w:val="none"/>
                <w:u w:val="none"/>
                <w:lang w:val="en-US" w:eastAsia="zh-CN"/>
              </w:rPr>
              <w:t>=</w:t>
            </w:r>
            <w:r>
              <w:rPr>
                <w:rFonts w:hint="default" w:ascii="Times New Roman" w:hAnsi="Times New Roman" w:cs="Times New Roman"/>
                <w:bCs/>
                <w:color w:val="auto"/>
                <w:sz w:val="24"/>
                <w:highlight w:val="none"/>
                <w:lang w:val="en-US" w:eastAsia="zh-CN"/>
              </w:rPr>
              <w:t>3.25</w:t>
            </w:r>
            <w:r>
              <w:rPr>
                <w:rFonts w:hint="default" w:ascii="Times New Roman" w:hAnsi="Times New Roman" w:eastAsia="宋体" w:cs="Times New Roman"/>
                <w:bCs/>
                <w:color w:val="auto"/>
                <w:sz w:val="24"/>
                <w:highlight w:val="none"/>
              </w:rPr>
              <w:t>t/a</w:t>
            </w:r>
            <w:r>
              <w:rPr>
                <w:rFonts w:hint="default" w:ascii="Times New Roman" w:hAnsi="Times New Roman" w:cs="Times New Roman"/>
                <w:bCs/>
                <w:color w:val="auto"/>
                <w:sz w:val="24"/>
                <w:highlight w:val="none"/>
                <w:lang w:eastAsia="zh-CN"/>
              </w:rPr>
              <w:t>，</w:t>
            </w:r>
            <w:r>
              <w:rPr>
                <w:rFonts w:hint="default" w:ascii="Times New Roman" w:hAnsi="Times New Roman" w:eastAsia="宋体" w:cs="Times New Roman"/>
                <w:color w:val="auto"/>
                <w:sz w:val="24"/>
                <w:highlight w:val="none"/>
                <w:u w:val="none"/>
              </w:rPr>
              <w:t>即</w:t>
            </w:r>
            <w:r>
              <w:rPr>
                <w:rFonts w:hint="default" w:ascii="Times New Roman" w:hAnsi="Times New Roman" w:eastAsia="宋体" w:cs="Times New Roman"/>
                <w:color w:val="auto"/>
                <w:sz w:val="24"/>
                <w:highlight w:val="none"/>
                <w:u w:val="none"/>
                <w:lang w:val="en-US" w:eastAsia="zh-CN"/>
              </w:rPr>
              <w:t>热风炉</w:t>
            </w:r>
            <w:r>
              <w:rPr>
                <w:rFonts w:hint="default" w:ascii="Times New Roman" w:hAnsi="Times New Roman" w:eastAsia="宋体" w:cs="Times New Roman"/>
                <w:color w:val="auto"/>
                <w:sz w:val="24"/>
                <w:highlight w:val="none"/>
                <w:u w:val="none"/>
              </w:rPr>
              <w:t>NO</w:t>
            </w:r>
            <w:r>
              <w:rPr>
                <w:rFonts w:hint="default" w:ascii="Times New Roman" w:hAnsi="Times New Roman" w:eastAsia="宋体" w:cs="Times New Roman"/>
                <w:color w:val="auto"/>
                <w:sz w:val="24"/>
                <w:highlight w:val="none"/>
                <w:u w:val="none"/>
                <w:vertAlign w:val="subscript"/>
              </w:rPr>
              <w:t>X</w:t>
            </w:r>
            <w:r>
              <w:rPr>
                <w:rFonts w:hint="default" w:ascii="Times New Roman" w:hAnsi="Times New Roman" w:eastAsia="宋体" w:cs="Times New Roman"/>
                <w:color w:val="auto"/>
                <w:sz w:val="24"/>
                <w:highlight w:val="none"/>
                <w:u w:val="none"/>
              </w:rPr>
              <w:t>排放量为</w:t>
            </w:r>
            <w:r>
              <w:rPr>
                <w:rFonts w:hint="default" w:ascii="Times New Roman" w:hAnsi="Times New Roman" w:cs="Times New Roman"/>
                <w:bCs/>
                <w:color w:val="auto"/>
                <w:sz w:val="24"/>
                <w:highlight w:val="none"/>
                <w:lang w:val="en-US" w:eastAsia="zh-CN"/>
              </w:rPr>
              <w:t>3.25</w:t>
            </w:r>
            <w:r>
              <w:rPr>
                <w:rFonts w:hint="default" w:ascii="Times New Roman" w:hAnsi="Times New Roman" w:eastAsia="宋体" w:cs="Times New Roman"/>
                <w:bCs/>
                <w:color w:val="auto"/>
                <w:sz w:val="24"/>
                <w:highlight w:val="none"/>
              </w:rPr>
              <w:t>t/a</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1.</w:t>
            </w:r>
            <w:r>
              <w:rPr>
                <w:rFonts w:hint="eastAsia" w:cs="Times New Roman"/>
                <w:bCs/>
                <w:color w:val="auto"/>
                <w:sz w:val="24"/>
                <w:highlight w:val="none"/>
                <w:lang w:val="en-US" w:eastAsia="zh-CN"/>
              </w:rPr>
              <w:t>81</w:t>
            </w:r>
            <w:r>
              <w:rPr>
                <w:rFonts w:hint="default" w:ascii="Times New Roman" w:hAnsi="Times New Roman" w:eastAsia="宋体" w:cs="Times New Roman"/>
                <w:bCs/>
                <w:color w:val="auto"/>
                <w:sz w:val="24"/>
                <w:highlight w:val="none"/>
              </w:rPr>
              <w:t>kg/h</w:t>
            </w:r>
            <w:r>
              <w:rPr>
                <w:rFonts w:hint="default" w:ascii="Times New Roman" w:hAnsi="Times New Roman" w:cs="Times New Roman"/>
                <w:bCs/>
                <w:color w:val="auto"/>
                <w:sz w:val="24"/>
                <w:highlight w:val="none"/>
                <w:lang w:eastAsia="zh-CN"/>
              </w:rPr>
              <w:t>，</w:t>
            </w:r>
            <w:r>
              <w:rPr>
                <w:rFonts w:hint="default" w:ascii="Times New Roman" w:hAnsi="Times New Roman" w:eastAsia="宋体" w:cs="Times New Roman"/>
                <w:bCs/>
                <w:color w:val="auto"/>
                <w:sz w:val="24"/>
                <w:highlight w:val="none"/>
              </w:rPr>
              <w:t>排放浓度</w:t>
            </w:r>
            <w:r>
              <w:rPr>
                <w:rFonts w:hint="eastAsia" w:cs="Times New Roman"/>
                <w:bCs/>
                <w:color w:val="auto"/>
                <w:sz w:val="24"/>
                <w:highlight w:val="none"/>
                <w:lang w:val="en-US" w:eastAsia="zh-CN"/>
              </w:rPr>
              <w:t>216.1</w:t>
            </w:r>
            <w:r>
              <w:rPr>
                <w:rFonts w:hint="default" w:ascii="Times New Roman" w:hAnsi="Times New Roman" w:eastAsia="宋体" w:cs="Times New Roman"/>
                <w:bCs/>
                <w:color w:val="auto"/>
                <w:sz w:val="24"/>
                <w:highlight w:val="none"/>
              </w:rPr>
              <w:t>mg/m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w:t>
            </w:r>
          </w:p>
          <w:p w14:paraId="62D47736">
            <w:pPr>
              <w:pStyle w:val="26"/>
              <w:keepNext w:val="0"/>
              <w:keepLines w:val="0"/>
              <w:suppressLineNumbers w:val="0"/>
              <w:spacing w:before="0" w:beforeAutospacing="0" w:after="0" w:afterAutospacing="0"/>
              <w:ind w:left="0" w:right="0"/>
              <w:rPr>
                <w:rFonts w:hint="eastAsia" w:cs="Times New Roman"/>
                <w:bCs/>
                <w:color w:val="auto"/>
                <w:sz w:val="24"/>
                <w:highlight w:val="none"/>
                <w:lang w:val="en-US" w:eastAsia="zh-CN"/>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6</w:t>
            </w:r>
            <w:r>
              <w:rPr>
                <w:rFonts w:hint="eastAsia" w:cs="Times New Roman"/>
                <w:bCs/>
                <w:color w:val="auto"/>
                <w:sz w:val="24"/>
                <w:highlight w:val="none"/>
                <w:lang w:eastAsia="zh-CN"/>
              </w:rPr>
              <w:t>）</w:t>
            </w:r>
            <w:r>
              <w:rPr>
                <w:rFonts w:hint="eastAsia" w:cs="Times New Roman"/>
                <w:bCs/>
                <w:color w:val="auto"/>
                <w:sz w:val="24"/>
                <w:highlight w:val="none"/>
                <w:lang w:val="en-US" w:eastAsia="zh-CN"/>
              </w:rPr>
              <w:t>燃料、热风炉灰渣储运扬尘</w:t>
            </w:r>
          </w:p>
          <w:p w14:paraId="72EBB8C0">
            <w:pPr>
              <w:pStyle w:val="26"/>
              <w:keepNext w:val="0"/>
              <w:keepLines w:val="0"/>
              <w:suppressLineNumbers w:val="0"/>
              <w:spacing w:before="0" w:beforeAutospacing="0" w:after="0" w:afterAutospacing="0"/>
              <w:ind w:left="0" w:right="0"/>
              <w:rPr>
                <w:rFonts w:hint="default" w:eastAsia="宋体"/>
                <w:color w:val="auto"/>
                <w:highlight w:val="none"/>
                <w:lang w:val="en-US" w:eastAsia="zh-CN"/>
              </w:rPr>
            </w:pPr>
            <w:r>
              <w:rPr>
                <w:rFonts w:hint="eastAsia" w:cs="Times New Roman"/>
                <w:bCs/>
                <w:color w:val="auto"/>
                <w:sz w:val="24"/>
                <w:highlight w:val="none"/>
                <w:lang w:val="en-US" w:eastAsia="zh-CN"/>
              </w:rPr>
              <w:t>本项目燃料为袋装生物质颗粒物，暂存于封闭的燃料间内</w:t>
            </w:r>
            <w:r>
              <w:rPr>
                <w:rFonts w:hint="eastAsia" w:ascii="Times New Roman" w:hAnsi="Times New Roman" w:eastAsia="宋体" w:cs="Times New Roman"/>
                <w:bCs/>
                <w:color w:val="auto"/>
                <w:sz w:val="24"/>
                <w:highlight w:val="none"/>
                <w:lang w:val="en-US" w:eastAsia="zh-CN"/>
              </w:rPr>
              <w:t>，人工拆袋投料进入热风炉，拆袋点位空间小，仅存在极微量瞬时粉尘，可忽略不计</w:t>
            </w:r>
            <w:r>
              <w:rPr>
                <w:rFonts w:hint="eastAsia" w:cs="Times New Roman"/>
                <w:bCs/>
                <w:color w:val="auto"/>
                <w:sz w:val="24"/>
                <w:highlight w:val="none"/>
                <w:lang w:val="en-US" w:eastAsia="zh-CN"/>
              </w:rPr>
              <w:t>；热风炉灰渣储存在灰渣间内，热风炉灰渣每7天外运1次。燃料、热风炉灰渣储存及外运过程将产生扬尘，对燃料灰渣暂存位置、燃料灰渣装运过程均采取密闭储存、装运等措施，可有效控制扬尘污染。</w:t>
            </w:r>
          </w:p>
          <w:p w14:paraId="2610DCE7">
            <w:pPr>
              <w:pStyle w:val="26"/>
              <w:keepNext w:val="0"/>
              <w:keepLines w:val="0"/>
              <w:suppressLineNumbers w:val="0"/>
              <w:spacing w:before="0" w:beforeAutospacing="0" w:after="0" w:afterAutospacing="0"/>
              <w:ind w:left="0" w:right="0"/>
              <w:rPr>
                <w:rFonts w:hint="default" w:cs="Times New Roman"/>
                <w:bCs/>
                <w:color w:val="auto"/>
                <w:sz w:val="24"/>
                <w:highlight w:val="none"/>
                <w:lang w:val="en-US" w:eastAsia="zh-CN"/>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7</w:t>
            </w:r>
            <w:r>
              <w:rPr>
                <w:rFonts w:hint="eastAsia" w:cs="Times New Roman"/>
                <w:bCs/>
                <w:color w:val="auto"/>
                <w:sz w:val="24"/>
                <w:highlight w:val="none"/>
                <w:lang w:eastAsia="zh-CN"/>
              </w:rPr>
              <w:t>）</w:t>
            </w:r>
            <w:r>
              <w:rPr>
                <w:rFonts w:hint="eastAsia" w:cs="Times New Roman"/>
                <w:bCs/>
                <w:color w:val="auto"/>
                <w:sz w:val="24"/>
                <w:highlight w:val="none"/>
                <w:lang w:val="en-US" w:eastAsia="zh-CN"/>
              </w:rPr>
              <w:t>原料堆场粉尘</w:t>
            </w:r>
          </w:p>
          <w:p w14:paraId="2DF65A27">
            <w:pPr>
              <w:pStyle w:val="26"/>
              <w:keepNext w:val="0"/>
              <w:keepLines w:val="0"/>
              <w:suppressLineNumbers w:val="0"/>
              <w:spacing w:before="0" w:beforeAutospacing="0" w:after="0" w:afterAutospacing="0"/>
              <w:ind w:left="0" w:right="0"/>
              <w:rPr>
                <w:rFonts w:hint="default" w:eastAsia="宋体"/>
                <w:color w:val="auto"/>
                <w:highlight w:val="none"/>
                <w:lang w:val="en-US" w:eastAsia="zh-CN"/>
              </w:rPr>
            </w:pPr>
            <w:r>
              <w:rPr>
                <w:rFonts w:hint="eastAsia" w:cs="Times New Roman"/>
                <w:bCs/>
                <w:color w:val="auto"/>
                <w:sz w:val="24"/>
                <w:highlight w:val="none"/>
                <w:lang w:val="en-US" w:eastAsia="zh-CN"/>
              </w:rPr>
              <w:t>本项目原粮进场在原粮堆场暂存时会有粉尘产生，《逸散性工业粉尘控制技术(中国环境科学出版社)》，“第五章 谷物贮存”中谷物存储的产尘系数为0.1kg/t，本项目进入堆场的原料量为60000t，则产生粉尘量6.0t/a，时间为 1800h/a，粉尘产生速率为3.33kg/h，为了降低粉尘影响，本项目对原粮表面进行苫盖，设置防风抑尘网，通过采用以上措施，可以降低60%的粉尘，排放量为2.4t/a，排放速率为1.33kg/h。</w:t>
            </w:r>
          </w:p>
          <w:p w14:paraId="11FF39B7">
            <w:pPr>
              <w:pStyle w:val="67"/>
              <w:keepNext w:val="0"/>
              <w:keepLines w:val="0"/>
              <w:suppressLineNumbers w:val="0"/>
              <w:spacing w:before="0" w:beforeLines="0" w:beforeAutospacing="0" w:after="0" w:afterLines="0" w:afterAutospacing="0" w:line="360" w:lineRule="auto"/>
              <w:ind w:left="0" w:right="0" w:firstLine="48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正常工况下废气源强核算结果见表4-</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bCs/>
                <w:color w:val="auto"/>
                <w:highlight w:val="none"/>
              </w:rPr>
              <w:t>。</w:t>
            </w:r>
          </w:p>
          <w:p w14:paraId="089F62ED">
            <w:pPr>
              <w:pStyle w:val="66"/>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表4-</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正常工况下废气源强核算</w:t>
            </w:r>
            <w:r>
              <w:rPr>
                <w:rFonts w:hint="default" w:ascii="Times New Roman" w:hAnsi="Times New Roman" w:eastAsia="宋体" w:cs="Times New Roman"/>
                <w:color w:val="auto"/>
                <w:sz w:val="21"/>
                <w:szCs w:val="21"/>
                <w:highlight w:val="none"/>
                <w:lang w:val="en-US" w:eastAsia="zh-CN"/>
              </w:rPr>
              <w:t>表</w:t>
            </w:r>
          </w:p>
          <w:tbl>
            <w:tblPr>
              <w:tblStyle w:val="33"/>
              <w:tblW w:w="79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68"/>
              <w:gridCol w:w="480"/>
              <w:gridCol w:w="613"/>
              <w:gridCol w:w="538"/>
              <w:gridCol w:w="791"/>
              <w:gridCol w:w="1038"/>
              <w:gridCol w:w="767"/>
              <w:gridCol w:w="633"/>
              <w:gridCol w:w="644"/>
              <w:gridCol w:w="866"/>
              <w:gridCol w:w="728"/>
              <w:gridCol w:w="490"/>
            </w:tblGrid>
            <w:tr w14:paraId="1D7A0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9" w:hRule="atLeast"/>
                <w:jc w:val="center"/>
              </w:trPr>
              <w:tc>
                <w:tcPr>
                  <w:tcW w:w="368" w:type="dxa"/>
                  <w:vMerge w:val="restart"/>
                  <w:vAlign w:val="center"/>
                </w:tcPr>
                <w:p w14:paraId="67C132FA">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类型</w:t>
                  </w:r>
                </w:p>
              </w:tc>
              <w:tc>
                <w:tcPr>
                  <w:tcW w:w="480" w:type="dxa"/>
                  <w:vMerge w:val="restart"/>
                  <w:vAlign w:val="center"/>
                </w:tcPr>
                <w:p w14:paraId="197133C1">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排放源</w:t>
                  </w:r>
                </w:p>
              </w:tc>
              <w:tc>
                <w:tcPr>
                  <w:tcW w:w="613" w:type="dxa"/>
                  <w:vMerge w:val="restart"/>
                  <w:vAlign w:val="center"/>
                </w:tcPr>
                <w:p w14:paraId="4F4521A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污染物</w:t>
                  </w:r>
                </w:p>
              </w:tc>
              <w:tc>
                <w:tcPr>
                  <w:tcW w:w="2367" w:type="dxa"/>
                  <w:gridSpan w:val="3"/>
                  <w:vAlign w:val="center"/>
                </w:tcPr>
                <w:p w14:paraId="7ABF4CE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污染物产生</w:t>
                  </w:r>
                </w:p>
              </w:tc>
              <w:tc>
                <w:tcPr>
                  <w:tcW w:w="1400" w:type="dxa"/>
                  <w:gridSpan w:val="2"/>
                  <w:vAlign w:val="center"/>
                </w:tcPr>
                <w:p w14:paraId="23D21164">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治理措施</w:t>
                  </w:r>
                </w:p>
              </w:tc>
              <w:tc>
                <w:tcPr>
                  <w:tcW w:w="2238" w:type="dxa"/>
                  <w:gridSpan w:val="3"/>
                  <w:vAlign w:val="center"/>
                </w:tcPr>
                <w:p w14:paraId="5E612FC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污染物排放</w:t>
                  </w:r>
                </w:p>
              </w:tc>
              <w:tc>
                <w:tcPr>
                  <w:tcW w:w="490" w:type="dxa"/>
                  <w:vMerge w:val="restart"/>
                  <w:vAlign w:val="center"/>
                </w:tcPr>
                <w:p w14:paraId="26C99EFE">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排放</w:t>
                  </w:r>
                </w:p>
                <w:p w14:paraId="43ACAD64">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时间</w:t>
                  </w:r>
                </w:p>
                <w:p w14:paraId="26C28883">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(h/a)</w:t>
                  </w:r>
                </w:p>
              </w:tc>
            </w:tr>
            <w:tr w14:paraId="4FC71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368" w:type="dxa"/>
                  <w:vMerge w:val="continue"/>
                  <w:vAlign w:val="center"/>
                </w:tcPr>
                <w:p w14:paraId="292F04F9">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Merge w:val="continue"/>
                  <w:vAlign w:val="center"/>
                </w:tcPr>
                <w:p w14:paraId="62607CF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613" w:type="dxa"/>
                  <w:vMerge w:val="continue"/>
                  <w:vAlign w:val="center"/>
                </w:tcPr>
                <w:p w14:paraId="4B4CE33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538" w:type="dxa"/>
                  <w:vAlign w:val="center"/>
                </w:tcPr>
                <w:p w14:paraId="5D819ECB">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核算</w:t>
                  </w:r>
                </w:p>
                <w:p w14:paraId="791D79BD">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方法</w:t>
                  </w:r>
                </w:p>
              </w:tc>
              <w:tc>
                <w:tcPr>
                  <w:tcW w:w="791" w:type="dxa"/>
                  <w:vAlign w:val="center"/>
                </w:tcPr>
                <w:p w14:paraId="0A01B6F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产生浓度</w:t>
                  </w:r>
                </w:p>
                <w:p w14:paraId="318556CA">
                  <w:pPr>
                    <w:pStyle w:val="70"/>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（mg/m</w:t>
                  </w:r>
                  <w:r>
                    <w:rPr>
                      <w:rFonts w:hint="default" w:ascii="Times New Roman" w:hAnsi="Times New Roman" w:eastAsia="宋体" w:cs="Times New Roman"/>
                      <w:color w:val="auto"/>
                      <w:sz w:val="18"/>
                      <w:szCs w:val="18"/>
                      <w:highlight w:val="none"/>
                      <w:vertAlign w:val="superscript"/>
                    </w:rPr>
                    <w:t>3</w:t>
                  </w:r>
                  <w:r>
                    <w:rPr>
                      <w:rFonts w:hint="default" w:ascii="Times New Roman" w:hAnsi="Times New Roman" w:eastAsia="宋体" w:cs="Times New Roman"/>
                      <w:color w:val="auto"/>
                      <w:sz w:val="18"/>
                      <w:szCs w:val="18"/>
                      <w:highlight w:val="none"/>
                    </w:rPr>
                    <w:t>）</w:t>
                  </w:r>
                </w:p>
              </w:tc>
              <w:tc>
                <w:tcPr>
                  <w:tcW w:w="1038" w:type="dxa"/>
                  <w:vAlign w:val="center"/>
                </w:tcPr>
                <w:p w14:paraId="43DCE8A7">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产生量</w:t>
                  </w:r>
                </w:p>
                <w:p w14:paraId="3ECC297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（kg/h）</w:t>
                  </w:r>
                </w:p>
              </w:tc>
              <w:tc>
                <w:tcPr>
                  <w:tcW w:w="767" w:type="dxa"/>
                  <w:vAlign w:val="center"/>
                </w:tcPr>
                <w:p w14:paraId="16AA0A2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工艺</w:t>
                  </w:r>
                </w:p>
              </w:tc>
              <w:tc>
                <w:tcPr>
                  <w:tcW w:w="633" w:type="dxa"/>
                  <w:vAlign w:val="center"/>
                </w:tcPr>
                <w:p w14:paraId="444FEA1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效率</w:t>
                  </w:r>
                </w:p>
                <w:p w14:paraId="05C657A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644" w:type="dxa"/>
                  <w:vAlign w:val="center"/>
                </w:tcPr>
                <w:p w14:paraId="18A46D9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核算</w:t>
                  </w:r>
                </w:p>
                <w:p w14:paraId="7408CC57">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方法</w:t>
                  </w:r>
                </w:p>
              </w:tc>
              <w:tc>
                <w:tcPr>
                  <w:tcW w:w="866" w:type="dxa"/>
                  <w:vAlign w:val="center"/>
                </w:tcPr>
                <w:p w14:paraId="318E512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排放浓度</w:t>
                  </w:r>
                </w:p>
                <w:p w14:paraId="3617F54F">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（mg/m</w:t>
                  </w:r>
                  <w:r>
                    <w:rPr>
                      <w:rFonts w:hint="default" w:ascii="Times New Roman" w:hAnsi="Times New Roman" w:eastAsia="宋体" w:cs="Times New Roman"/>
                      <w:color w:val="auto"/>
                      <w:sz w:val="18"/>
                      <w:szCs w:val="18"/>
                      <w:highlight w:val="none"/>
                      <w:vertAlign w:val="superscript"/>
                    </w:rPr>
                    <w:t>3</w:t>
                  </w:r>
                  <w:r>
                    <w:rPr>
                      <w:rFonts w:hint="default" w:ascii="Times New Roman" w:hAnsi="Times New Roman" w:eastAsia="宋体" w:cs="Times New Roman"/>
                      <w:color w:val="auto"/>
                      <w:sz w:val="18"/>
                      <w:szCs w:val="18"/>
                      <w:highlight w:val="none"/>
                    </w:rPr>
                    <w:t>）</w:t>
                  </w:r>
                </w:p>
              </w:tc>
              <w:tc>
                <w:tcPr>
                  <w:tcW w:w="728" w:type="dxa"/>
                  <w:vAlign w:val="center"/>
                </w:tcPr>
                <w:p w14:paraId="12A706CE">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排放量</w:t>
                  </w:r>
                </w:p>
                <w:p w14:paraId="3F53B43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（kg/h）</w:t>
                  </w:r>
                </w:p>
              </w:tc>
              <w:tc>
                <w:tcPr>
                  <w:tcW w:w="490" w:type="dxa"/>
                  <w:vMerge w:val="continue"/>
                  <w:vAlign w:val="center"/>
                </w:tcPr>
                <w:p w14:paraId="0443029F">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r>
            <w:tr w14:paraId="5F4352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368" w:type="dxa"/>
                  <w:vMerge w:val="restart"/>
                  <w:vAlign w:val="center"/>
                </w:tcPr>
                <w:p w14:paraId="6EFA8C6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有组织排放</w:t>
                  </w:r>
                </w:p>
              </w:tc>
              <w:tc>
                <w:tcPr>
                  <w:tcW w:w="480" w:type="dxa"/>
                  <w:vMerge w:val="restart"/>
                  <w:vAlign w:val="center"/>
                </w:tcPr>
                <w:p w14:paraId="6CA3EC72">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热风炉</w:t>
                  </w:r>
                </w:p>
              </w:tc>
              <w:tc>
                <w:tcPr>
                  <w:tcW w:w="613" w:type="dxa"/>
                  <w:vAlign w:val="center"/>
                </w:tcPr>
                <w:p w14:paraId="31C77829">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rPr>
                  </w:pPr>
                  <w:bookmarkStart w:id="13" w:name="_Toc5519"/>
                  <w:r>
                    <w:rPr>
                      <w:rFonts w:hint="default" w:ascii="Times New Roman" w:hAnsi="Times New Roman" w:eastAsia="宋体" w:cs="Times New Roman"/>
                      <w:b w:val="0"/>
                      <w:bCs w:val="0"/>
                      <w:color w:val="auto"/>
                      <w:sz w:val="18"/>
                      <w:szCs w:val="18"/>
                      <w:highlight w:val="none"/>
                    </w:rPr>
                    <w:t>烟尘</w:t>
                  </w:r>
                  <w:bookmarkEnd w:id="13"/>
                </w:p>
              </w:tc>
              <w:tc>
                <w:tcPr>
                  <w:tcW w:w="538" w:type="dxa"/>
                  <w:vAlign w:val="center"/>
                </w:tcPr>
                <w:p w14:paraId="3A3CA12F">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18"/>
                      <w:szCs w:val="18"/>
                      <w:highlight w:val="none"/>
                      <w:lang w:eastAsia="zh-CN"/>
                    </w:rPr>
                  </w:pPr>
                  <w:r>
                    <w:rPr>
                      <w:rFonts w:hint="eastAsia" w:eastAsia="宋体" w:cs="Times New Roman"/>
                      <w:color w:val="auto"/>
                      <w:sz w:val="18"/>
                      <w:szCs w:val="18"/>
                      <w:highlight w:val="none"/>
                      <w:lang w:eastAsia="zh-CN"/>
                    </w:rPr>
                    <w:t>物料衡算法</w:t>
                  </w:r>
                </w:p>
              </w:tc>
              <w:tc>
                <w:tcPr>
                  <w:tcW w:w="791" w:type="dxa"/>
                  <w:vAlign w:val="center"/>
                </w:tcPr>
                <w:p w14:paraId="2ABEFC1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5040</w:t>
                  </w:r>
                </w:p>
              </w:tc>
              <w:tc>
                <w:tcPr>
                  <w:tcW w:w="1038" w:type="dxa"/>
                  <w:vAlign w:val="center"/>
                </w:tcPr>
                <w:p w14:paraId="4BA329DE">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42.2</w:t>
                  </w:r>
                </w:p>
              </w:tc>
              <w:tc>
                <w:tcPr>
                  <w:tcW w:w="767" w:type="dxa"/>
                  <w:vAlign w:val="center"/>
                </w:tcPr>
                <w:p w14:paraId="2E032CC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布袋除尘器</w:t>
                  </w:r>
                  <w:r>
                    <w:rPr>
                      <w:rFonts w:hint="default" w:ascii="Times New Roman" w:hAnsi="Times New Roman" w:eastAsia="宋体" w:cs="Times New Roman"/>
                      <w:color w:val="auto"/>
                      <w:sz w:val="18"/>
                      <w:szCs w:val="18"/>
                      <w:highlight w:val="none"/>
                      <w:lang w:val="en-US" w:eastAsia="zh-CN"/>
                    </w:rPr>
                    <w:t>+</w:t>
                  </w:r>
                  <w:r>
                    <w:rPr>
                      <w:rFonts w:hint="eastAsia" w:eastAsia="宋体" w:cs="Times New Roman"/>
                      <w:color w:val="auto"/>
                      <w:sz w:val="18"/>
                      <w:szCs w:val="18"/>
                      <w:highlight w:val="none"/>
                      <w:lang w:val="en-US" w:eastAsia="zh-CN"/>
                    </w:rPr>
                    <w:t>30m</w:t>
                  </w:r>
                  <w:r>
                    <w:rPr>
                      <w:rFonts w:hint="default" w:ascii="Times New Roman" w:hAnsi="Times New Roman" w:eastAsia="宋体" w:cs="Times New Roman"/>
                      <w:color w:val="auto"/>
                      <w:sz w:val="18"/>
                      <w:szCs w:val="18"/>
                      <w:highlight w:val="none"/>
                      <w:lang w:val="en-US" w:eastAsia="zh-CN"/>
                    </w:rPr>
                    <w:t>烟囱</w:t>
                  </w:r>
                </w:p>
              </w:tc>
              <w:tc>
                <w:tcPr>
                  <w:tcW w:w="633" w:type="dxa"/>
                  <w:vAlign w:val="center"/>
                </w:tcPr>
                <w:p w14:paraId="423D51AA">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9</w:t>
                  </w:r>
                  <w:r>
                    <w:rPr>
                      <w:rFonts w:hint="default" w:ascii="Times New Roman" w:hAnsi="Times New Roman" w:eastAsia="宋体" w:cs="Times New Roman"/>
                      <w:color w:val="auto"/>
                      <w:sz w:val="18"/>
                      <w:szCs w:val="18"/>
                      <w:highlight w:val="none"/>
                      <w:lang w:val="en-US" w:eastAsia="zh-CN"/>
                    </w:rPr>
                    <w:t>9</w:t>
                  </w:r>
                  <w:r>
                    <w:rPr>
                      <w:rFonts w:hint="eastAsia" w:eastAsia="宋体" w:cs="Times New Roman"/>
                      <w:color w:val="auto"/>
                      <w:sz w:val="18"/>
                      <w:szCs w:val="18"/>
                      <w:highlight w:val="none"/>
                      <w:lang w:val="en-US" w:eastAsia="zh-CN"/>
                    </w:rPr>
                    <w:t>.5</w:t>
                  </w:r>
                </w:p>
              </w:tc>
              <w:tc>
                <w:tcPr>
                  <w:tcW w:w="644" w:type="dxa"/>
                  <w:vAlign w:val="center"/>
                </w:tcPr>
                <w:p w14:paraId="24618F87">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18"/>
                      <w:szCs w:val="18"/>
                      <w:highlight w:val="none"/>
                      <w:lang w:eastAsia="zh-CN"/>
                    </w:rPr>
                  </w:pPr>
                  <w:r>
                    <w:rPr>
                      <w:rFonts w:hint="eastAsia" w:eastAsia="宋体" w:cs="Times New Roman"/>
                      <w:color w:val="auto"/>
                      <w:sz w:val="18"/>
                      <w:szCs w:val="18"/>
                      <w:highlight w:val="none"/>
                      <w:lang w:eastAsia="zh-CN"/>
                    </w:rPr>
                    <w:t>物料衡算法</w:t>
                  </w:r>
                </w:p>
              </w:tc>
              <w:tc>
                <w:tcPr>
                  <w:tcW w:w="866" w:type="dxa"/>
                  <w:vAlign w:val="center"/>
                </w:tcPr>
                <w:p w14:paraId="26DD035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18"/>
                      <w:szCs w:val="18"/>
                      <w:highlight w:val="none"/>
                      <w:lang w:val="en-US"/>
                    </w:rPr>
                  </w:pPr>
                  <w:r>
                    <w:rPr>
                      <w:rFonts w:hint="eastAsia" w:cs="Times New Roman"/>
                      <w:color w:val="auto"/>
                      <w:sz w:val="18"/>
                      <w:szCs w:val="18"/>
                      <w:highlight w:val="none"/>
                      <w:lang w:val="en-US" w:eastAsia="zh-CN"/>
                    </w:rPr>
                    <w:t>25.2</w:t>
                  </w:r>
                </w:p>
              </w:tc>
              <w:tc>
                <w:tcPr>
                  <w:tcW w:w="728" w:type="dxa"/>
                  <w:vAlign w:val="center"/>
                </w:tcPr>
                <w:p w14:paraId="270B560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0.211</w:t>
                  </w:r>
                </w:p>
              </w:tc>
              <w:tc>
                <w:tcPr>
                  <w:tcW w:w="490" w:type="dxa"/>
                  <w:vMerge w:val="restart"/>
                  <w:vAlign w:val="center"/>
                </w:tcPr>
                <w:p w14:paraId="498EF24A">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1800</w:t>
                  </w:r>
                </w:p>
              </w:tc>
            </w:tr>
            <w:tr w14:paraId="14A02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68" w:type="dxa"/>
                  <w:vMerge w:val="continue"/>
                  <w:vAlign w:val="center"/>
                </w:tcPr>
                <w:p w14:paraId="7E9AC203">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Merge w:val="continue"/>
                  <w:vAlign w:val="center"/>
                </w:tcPr>
                <w:p w14:paraId="3BA4BF27">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613" w:type="dxa"/>
                  <w:vAlign w:val="center"/>
                </w:tcPr>
                <w:p w14:paraId="37FE3B32">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rPr>
                  </w:pPr>
                  <w:bookmarkStart w:id="14" w:name="_Toc4480"/>
                  <w:r>
                    <w:rPr>
                      <w:rFonts w:hint="default" w:ascii="Times New Roman" w:hAnsi="Times New Roman" w:eastAsia="宋体" w:cs="Times New Roman"/>
                      <w:b w:val="0"/>
                      <w:bCs w:val="0"/>
                      <w:color w:val="auto"/>
                      <w:sz w:val="18"/>
                      <w:szCs w:val="18"/>
                      <w:highlight w:val="none"/>
                    </w:rPr>
                    <w:t>SO</w:t>
                  </w:r>
                  <w:r>
                    <w:rPr>
                      <w:rFonts w:hint="default" w:ascii="Times New Roman" w:hAnsi="Times New Roman" w:eastAsia="宋体" w:cs="Times New Roman"/>
                      <w:b w:val="0"/>
                      <w:bCs w:val="0"/>
                      <w:color w:val="auto"/>
                      <w:sz w:val="18"/>
                      <w:szCs w:val="18"/>
                      <w:highlight w:val="none"/>
                      <w:vertAlign w:val="subscript"/>
                    </w:rPr>
                    <w:t>2</w:t>
                  </w:r>
                  <w:bookmarkEnd w:id="14"/>
                </w:p>
              </w:tc>
              <w:tc>
                <w:tcPr>
                  <w:tcW w:w="538" w:type="dxa"/>
                  <w:vAlign w:val="center"/>
                </w:tcPr>
                <w:p w14:paraId="65FD2B0F">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18"/>
                      <w:szCs w:val="18"/>
                      <w:highlight w:val="none"/>
                      <w:lang w:eastAsia="zh-CN"/>
                    </w:rPr>
                  </w:pPr>
                  <w:r>
                    <w:rPr>
                      <w:rFonts w:hint="eastAsia" w:eastAsia="宋体" w:cs="Times New Roman"/>
                      <w:color w:val="auto"/>
                      <w:sz w:val="18"/>
                      <w:szCs w:val="18"/>
                      <w:highlight w:val="none"/>
                      <w:lang w:eastAsia="zh-CN"/>
                    </w:rPr>
                    <w:t>物料衡算法</w:t>
                  </w:r>
                </w:p>
              </w:tc>
              <w:tc>
                <w:tcPr>
                  <w:tcW w:w="791" w:type="dxa"/>
                  <w:vAlign w:val="center"/>
                </w:tcPr>
                <w:p w14:paraId="2F9B10B1">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89.74</w:t>
                  </w:r>
                </w:p>
              </w:tc>
              <w:tc>
                <w:tcPr>
                  <w:tcW w:w="1038" w:type="dxa"/>
                  <w:vAlign w:val="center"/>
                </w:tcPr>
                <w:p w14:paraId="139FBB0A">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0.75</w:t>
                  </w:r>
                </w:p>
              </w:tc>
              <w:tc>
                <w:tcPr>
                  <w:tcW w:w="767" w:type="dxa"/>
                  <w:vAlign w:val="center"/>
                </w:tcPr>
                <w:p w14:paraId="53CB6366">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633" w:type="dxa"/>
                  <w:vAlign w:val="center"/>
                </w:tcPr>
                <w:p w14:paraId="6A2A64E9">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644" w:type="dxa"/>
                  <w:vAlign w:val="center"/>
                </w:tcPr>
                <w:p w14:paraId="55CC0B67">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18"/>
                      <w:szCs w:val="18"/>
                      <w:highlight w:val="none"/>
                      <w:lang w:eastAsia="zh-CN"/>
                    </w:rPr>
                  </w:pPr>
                  <w:r>
                    <w:rPr>
                      <w:rFonts w:hint="eastAsia" w:eastAsia="宋体" w:cs="Times New Roman"/>
                      <w:color w:val="auto"/>
                      <w:sz w:val="18"/>
                      <w:szCs w:val="18"/>
                      <w:highlight w:val="none"/>
                      <w:lang w:eastAsia="zh-CN"/>
                    </w:rPr>
                    <w:t>物料衡算法</w:t>
                  </w:r>
                </w:p>
              </w:tc>
              <w:tc>
                <w:tcPr>
                  <w:tcW w:w="866" w:type="dxa"/>
                  <w:vAlign w:val="center"/>
                </w:tcPr>
                <w:p w14:paraId="63E8362B">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rPr>
                  </w:pPr>
                  <w:r>
                    <w:rPr>
                      <w:rFonts w:hint="eastAsia" w:eastAsia="宋体" w:cs="Times New Roman"/>
                      <w:color w:val="auto"/>
                      <w:sz w:val="18"/>
                      <w:szCs w:val="18"/>
                      <w:highlight w:val="none"/>
                      <w:lang w:val="en-US" w:eastAsia="zh-CN"/>
                    </w:rPr>
                    <w:t>89.74</w:t>
                  </w:r>
                </w:p>
              </w:tc>
              <w:tc>
                <w:tcPr>
                  <w:tcW w:w="728" w:type="dxa"/>
                  <w:vAlign w:val="center"/>
                </w:tcPr>
                <w:p w14:paraId="606C11D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lang w:val="en-US"/>
                    </w:rPr>
                  </w:pPr>
                  <w:r>
                    <w:rPr>
                      <w:rFonts w:hint="eastAsia" w:eastAsia="宋体" w:cs="Times New Roman"/>
                      <w:color w:val="auto"/>
                      <w:sz w:val="18"/>
                      <w:szCs w:val="18"/>
                      <w:highlight w:val="none"/>
                      <w:lang w:val="en-US" w:eastAsia="zh-CN"/>
                    </w:rPr>
                    <w:t>0.75</w:t>
                  </w:r>
                </w:p>
              </w:tc>
              <w:tc>
                <w:tcPr>
                  <w:tcW w:w="490" w:type="dxa"/>
                  <w:vMerge w:val="continue"/>
                  <w:vAlign w:val="center"/>
                </w:tcPr>
                <w:p w14:paraId="024D4DD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r>
            <w:tr w14:paraId="1073D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68" w:type="dxa"/>
                  <w:vMerge w:val="continue"/>
                  <w:vAlign w:val="center"/>
                </w:tcPr>
                <w:p w14:paraId="5F8C336B">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Merge w:val="continue"/>
                  <w:vAlign w:val="center"/>
                </w:tcPr>
                <w:p w14:paraId="54637EAE">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613" w:type="dxa"/>
                  <w:vAlign w:val="center"/>
                </w:tcPr>
                <w:p w14:paraId="13C50F32">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kern w:val="0"/>
                      <w:sz w:val="18"/>
                      <w:szCs w:val="18"/>
                      <w:highlight w:val="none"/>
                      <w:lang w:val="en-US" w:eastAsia="zh-CN" w:bidi="ar-SA"/>
                    </w:rPr>
                  </w:pPr>
                  <w:bookmarkStart w:id="15" w:name="_Toc10480"/>
                  <w:r>
                    <w:rPr>
                      <w:rFonts w:hint="default" w:ascii="Times New Roman" w:hAnsi="Times New Roman" w:eastAsia="宋体" w:cs="Times New Roman"/>
                      <w:b w:val="0"/>
                      <w:bCs w:val="0"/>
                      <w:color w:val="auto"/>
                      <w:sz w:val="18"/>
                      <w:szCs w:val="18"/>
                      <w:highlight w:val="none"/>
                    </w:rPr>
                    <w:t>NOx</w:t>
                  </w:r>
                  <w:bookmarkEnd w:id="15"/>
                </w:p>
              </w:tc>
              <w:tc>
                <w:tcPr>
                  <w:tcW w:w="538" w:type="dxa"/>
                  <w:vAlign w:val="center"/>
                </w:tcPr>
                <w:p w14:paraId="3832A6BB">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sz w:val="18"/>
                      <w:szCs w:val="18"/>
                      <w:highlight w:val="none"/>
                      <w:lang w:val="en-US" w:eastAsia="zh-CN"/>
                    </w:rPr>
                    <w:t>系数法</w:t>
                  </w:r>
                </w:p>
              </w:tc>
              <w:tc>
                <w:tcPr>
                  <w:tcW w:w="791" w:type="dxa"/>
                  <w:vAlign w:val="center"/>
                </w:tcPr>
                <w:p w14:paraId="04BF901F">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sz w:val="18"/>
                      <w:szCs w:val="18"/>
                      <w:highlight w:val="none"/>
                      <w:lang w:val="en-US" w:eastAsia="zh-CN"/>
                    </w:rPr>
                    <w:t>216.1</w:t>
                  </w:r>
                </w:p>
              </w:tc>
              <w:tc>
                <w:tcPr>
                  <w:tcW w:w="1038" w:type="dxa"/>
                  <w:vAlign w:val="center"/>
                </w:tcPr>
                <w:p w14:paraId="16DE0596">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kern w:val="2"/>
                      <w:sz w:val="18"/>
                      <w:szCs w:val="18"/>
                      <w:highlight w:val="none"/>
                      <w:lang w:val="en-US" w:eastAsia="zh-CN" w:bidi="ar-SA"/>
                    </w:rPr>
                    <w:t>1.81</w:t>
                  </w:r>
                </w:p>
              </w:tc>
              <w:tc>
                <w:tcPr>
                  <w:tcW w:w="767" w:type="dxa"/>
                  <w:vAlign w:val="center"/>
                </w:tcPr>
                <w:p w14:paraId="4B398B13">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633" w:type="dxa"/>
                  <w:vAlign w:val="center"/>
                </w:tcPr>
                <w:p w14:paraId="527C00A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644" w:type="dxa"/>
                  <w:vAlign w:val="center"/>
                </w:tcPr>
                <w:p w14:paraId="5574759E">
                  <w:pPr>
                    <w:pStyle w:val="70"/>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sz w:val="18"/>
                      <w:szCs w:val="18"/>
                      <w:highlight w:val="none"/>
                      <w:lang w:val="en-US" w:eastAsia="zh-CN"/>
                    </w:rPr>
                    <w:t>系数法</w:t>
                  </w:r>
                </w:p>
              </w:tc>
              <w:tc>
                <w:tcPr>
                  <w:tcW w:w="866" w:type="dxa"/>
                  <w:vAlign w:val="center"/>
                </w:tcPr>
                <w:p w14:paraId="08179107">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sz w:val="18"/>
                      <w:szCs w:val="18"/>
                      <w:highlight w:val="none"/>
                      <w:lang w:val="en-US" w:eastAsia="zh-CN"/>
                    </w:rPr>
                    <w:t>216.1</w:t>
                  </w:r>
                </w:p>
              </w:tc>
              <w:tc>
                <w:tcPr>
                  <w:tcW w:w="728" w:type="dxa"/>
                  <w:vAlign w:val="center"/>
                </w:tcPr>
                <w:p w14:paraId="6E7C0FA1">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eastAsia" w:eastAsia="宋体" w:cs="Times New Roman"/>
                      <w:color w:val="auto"/>
                      <w:kern w:val="2"/>
                      <w:sz w:val="18"/>
                      <w:szCs w:val="18"/>
                      <w:highlight w:val="none"/>
                      <w:lang w:val="en-US" w:eastAsia="zh-CN" w:bidi="ar-SA"/>
                    </w:rPr>
                    <w:t>1.81</w:t>
                  </w:r>
                </w:p>
              </w:tc>
              <w:tc>
                <w:tcPr>
                  <w:tcW w:w="490" w:type="dxa"/>
                  <w:vMerge w:val="continue"/>
                  <w:vAlign w:val="center"/>
                </w:tcPr>
                <w:p w14:paraId="4A64C7B9">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r>
            <w:tr w14:paraId="414A8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68" w:type="dxa"/>
                  <w:vMerge w:val="continue"/>
                  <w:vAlign w:val="center"/>
                </w:tcPr>
                <w:p w14:paraId="5D7F0183">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Merge w:val="continue"/>
                  <w:vAlign w:val="center"/>
                </w:tcPr>
                <w:p w14:paraId="69CAEF44">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613" w:type="dxa"/>
                  <w:vAlign w:val="center"/>
                </w:tcPr>
                <w:p w14:paraId="35C35E5E">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lang w:val="en-US" w:eastAsia="zh-CN"/>
                    </w:rPr>
                  </w:pPr>
                  <w:bookmarkStart w:id="16" w:name="_Toc5959"/>
                  <w:r>
                    <w:rPr>
                      <w:rFonts w:hint="default" w:ascii="Times New Roman" w:hAnsi="Times New Roman" w:eastAsia="宋体" w:cs="Times New Roman"/>
                      <w:b w:val="0"/>
                      <w:bCs w:val="0"/>
                      <w:color w:val="auto"/>
                      <w:sz w:val="18"/>
                      <w:szCs w:val="18"/>
                      <w:highlight w:val="none"/>
                      <w:lang w:val="en-US" w:eastAsia="zh-CN"/>
                    </w:rPr>
                    <w:t>烟气黑度</w:t>
                  </w:r>
                  <w:bookmarkEnd w:id="16"/>
                </w:p>
              </w:tc>
              <w:tc>
                <w:tcPr>
                  <w:tcW w:w="538" w:type="dxa"/>
                  <w:vAlign w:val="center"/>
                </w:tcPr>
                <w:p w14:paraId="6C914251">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791" w:type="dxa"/>
                  <w:vAlign w:val="center"/>
                </w:tcPr>
                <w:p w14:paraId="7CC5A24D">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1038" w:type="dxa"/>
                  <w:vAlign w:val="center"/>
                </w:tcPr>
                <w:p w14:paraId="1FC65A54">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767" w:type="dxa"/>
                  <w:vAlign w:val="center"/>
                </w:tcPr>
                <w:p w14:paraId="15435D4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633" w:type="dxa"/>
                  <w:vAlign w:val="center"/>
                </w:tcPr>
                <w:p w14:paraId="492065ED">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644" w:type="dxa"/>
                  <w:vAlign w:val="center"/>
                </w:tcPr>
                <w:p w14:paraId="12B498EB">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866" w:type="dxa"/>
                  <w:vAlign w:val="center"/>
                </w:tcPr>
                <w:p w14:paraId="12740C1F">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&lt;1（级）</w:t>
                  </w:r>
                </w:p>
              </w:tc>
              <w:tc>
                <w:tcPr>
                  <w:tcW w:w="728" w:type="dxa"/>
                  <w:vAlign w:val="center"/>
                </w:tcPr>
                <w:p w14:paraId="1A9E96FF">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w:t>
                  </w:r>
                </w:p>
              </w:tc>
              <w:tc>
                <w:tcPr>
                  <w:tcW w:w="490" w:type="dxa"/>
                  <w:vMerge w:val="continue"/>
                  <w:vAlign w:val="center"/>
                </w:tcPr>
                <w:p w14:paraId="1DAF236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r>
            <w:tr w14:paraId="2EA47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8" w:type="dxa"/>
                  <w:vMerge w:val="restart"/>
                  <w:vAlign w:val="center"/>
                </w:tcPr>
                <w:p w14:paraId="75815F61">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无组织排放</w:t>
                  </w:r>
                </w:p>
              </w:tc>
              <w:tc>
                <w:tcPr>
                  <w:tcW w:w="480" w:type="dxa"/>
                  <w:vAlign w:val="center"/>
                </w:tcPr>
                <w:p w14:paraId="7079A7A0">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原粮卸粮</w:t>
                  </w:r>
                </w:p>
              </w:tc>
              <w:tc>
                <w:tcPr>
                  <w:tcW w:w="613" w:type="dxa"/>
                  <w:vAlign w:val="center"/>
                </w:tcPr>
                <w:p w14:paraId="020FD3B0">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rPr>
                  </w:pPr>
                  <w:bookmarkStart w:id="17" w:name="_Toc27389"/>
                  <w:r>
                    <w:rPr>
                      <w:rFonts w:hint="default" w:ascii="Times New Roman" w:hAnsi="Times New Roman" w:eastAsia="宋体" w:cs="Times New Roman"/>
                      <w:b w:val="0"/>
                      <w:bCs w:val="0"/>
                      <w:color w:val="auto"/>
                      <w:sz w:val="18"/>
                      <w:szCs w:val="18"/>
                      <w:highlight w:val="none"/>
                    </w:rPr>
                    <w:t>颗粒物</w:t>
                  </w:r>
                  <w:bookmarkEnd w:id="17"/>
                </w:p>
              </w:tc>
              <w:tc>
                <w:tcPr>
                  <w:tcW w:w="538" w:type="dxa"/>
                  <w:vAlign w:val="center"/>
                </w:tcPr>
                <w:p w14:paraId="54D4F1CE">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791" w:type="dxa"/>
                  <w:vAlign w:val="center"/>
                </w:tcPr>
                <w:p w14:paraId="3CE99B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1038" w:type="dxa"/>
                  <w:vAlign w:val="center"/>
                </w:tcPr>
                <w:p w14:paraId="22AED7F3">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21.33</w:t>
                  </w:r>
                </w:p>
              </w:tc>
              <w:tc>
                <w:tcPr>
                  <w:tcW w:w="767" w:type="dxa"/>
                  <w:vAlign w:val="center"/>
                </w:tcPr>
                <w:p w14:paraId="54FFCEC6">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rPr>
                    <w:t>减小装卸高度</w:t>
                  </w:r>
                  <w:r>
                    <w:rPr>
                      <w:rFonts w:hint="default" w:ascii="Times New Roman" w:hAnsi="Times New Roman" w:eastAsia="宋体" w:cs="Times New Roman"/>
                      <w:color w:val="auto"/>
                      <w:sz w:val="18"/>
                      <w:szCs w:val="18"/>
                      <w:highlight w:val="none"/>
                      <w:lang w:eastAsia="zh-CN"/>
                    </w:rPr>
                    <w:t>、密闭输送</w:t>
                  </w:r>
                </w:p>
              </w:tc>
              <w:tc>
                <w:tcPr>
                  <w:tcW w:w="633" w:type="dxa"/>
                  <w:vAlign w:val="center"/>
                </w:tcPr>
                <w:p w14:paraId="2B3345AB">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80</w:t>
                  </w:r>
                </w:p>
              </w:tc>
              <w:tc>
                <w:tcPr>
                  <w:tcW w:w="644" w:type="dxa"/>
                  <w:vAlign w:val="center"/>
                </w:tcPr>
                <w:p w14:paraId="1B648B1A">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866" w:type="dxa"/>
                  <w:vAlign w:val="center"/>
                </w:tcPr>
                <w:p w14:paraId="226E964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728" w:type="dxa"/>
                  <w:vAlign w:val="center"/>
                </w:tcPr>
                <w:p w14:paraId="67CBD8C4">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bCs/>
                      <w:color w:val="auto"/>
                      <w:kern w:val="0"/>
                      <w:sz w:val="18"/>
                      <w:szCs w:val="18"/>
                      <w:highlight w:val="none"/>
                      <w:lang w:val="en-US" w:eastAsia="zh-CN"/>
                    </w:rPr>
                    <w:t>4.266</w:t>
                  </w:r>
                </w:p>
              </w:tc>
              <w:tc>
                <w:tcPr>
                  <w:tcW w:w="490" w:type="dxa"/>
                  <w:vAlign w:val="center"/>
                </w:tcPr>
                <w:p w14:paraId="2ABE52E8">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450</w:t>
                  </w:r>
                </w:p>
              </w:tc>
            </w:tr>
            <w:tr w14:paraId="6C2D9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368" w:type="dxa"/>
                  <w:vMerge w:val="continue"/>
                  <w:vAlign w:val="center"/>
                </w:tcPr>
                <w:p w14:paraId="5487D3AA">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Align w:val="center"/>
                </w:tcPr>
                <w:p w14:paraId="3FC834A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原粮筛分</w:t>
                  </w:r>
                </w:p>
              </w:tc>
              <w:tc>
                <w:tcPr>
                  <w:tcW w:w="613" w:type="dxa"/>
                  <w:vAlign w:val="center"/>
                </w:tcPr>
                <w:p w14:paraId="45F6626D">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颗粒物</w:t>
                  </w:r>
                </w:p>
              </w:tc>
              <w:tc>
                <w:tcPr>
                  <w:tcW w:w="538" w:type="dxa"/>
                  <w:vAlign w:val="center"/>
                </w:tcPr>
                <w:p w14:paraId="53782403">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791" w:type="dxa"/>
                  <w:vAlign w:val="center"/>
                </w:tcPr>
                <w:p w14:paraId="0519A0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1038" w:type="dxa"/>
                  <w:vAlign w:val="center"/>
                </w:tcPr>
                <w:p w14:paraId="1F7DE0C6">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bCs/>
                      <w:color w:val="auto"/>
                      <w:kern w:val="0"/>
                      <w:sz w:val="18"/>
                      <w:szCs w:val="18"/>
                      <w:highlight w:val="none"/>
                      <w:lang w:val="en-US" w:eastAsia="zh-CN"/>
                    </w:rPr>
                    <w:t>13.33</w:t>
                  </w:r>
                </w:p>
              </w:tc>
              <w:tc>
                <w:tcPr>
                  <w:tcW w:w="767" w:type="dxa"/>
                  <w:vAlign w:val="center"/>
                </w:tcPr>
                <w:p w14:paraId="55697663">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密闭设备</w:t>
                  </w:r>
                </w:p>
              </w:tc>
              <w:tc>
                <w:tcPr>
                  <w:tcW w:w="633" w:type="dxa"/>
                  <w:vAlign w:val="center"/>
                </w:tcPr>
                <w:p w14:paraId="7757A6C0">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90</w:t>
                  </w:r>
                </w:p>
              </w:tc>
              <w:tc>
                <w:tcPr>
                  <w:tcW w:w="644" w:type="dxa"/>
                  <w:vAlign w:val="center"/>
                </w:tcPr>
                <w:p w14:paraId="625FA36F">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866" w:type="dxa"/>
                  <w:vAlign w:val="center"/>
                </w:tcPr>
                <w:p w14:paraId="2AED0C8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728" w:type="dxa"/>
                  <w:vAlign w:val="center"/>
                </w:tcPr>
                <w:p w14:paraId="412AF5FE">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bCs/>
                      <w:color w:val="auto"/>
                      <w:kern w:val="0"/>
                      <w:sz w:val="18"/>
                      <w:szCs w:val="18"/>
                      <w:highlight w:val="none"/>
                      <w:lang w:val="en-US" w:eastAsia="zh-CN"/>
                    </w:rPr>
                    <w:t>1.333</w:t>
                  </w:r>
                </w:p>
              </w:tc>
              <w:tc>
                <w:tcPr>
                  <w:tcW w:w="490" w:type="dxa"/>
                  <w:vAlign w:val="center"/>
                </w:tcPr>
                <w:p w14:paraId="2CF9903A">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450</w:t>
                  </w:r>
                </w:p>
              </w:tc>
            </w:tr>
            <w:tr w14:paraId="1C2CC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368" w:type="dxa"/>
                  <w:vMerge w:val="continue"/>
                  <w:vAlign w:val="center"/>
                </w:tcPr>
                <w:p w14:paraId="5388127D">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Align w:val="center"/>
                </w:tcPr>
                <w:p w14:paraId="27CCE05C">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烘干塔</w:t>
                  </w:r>
                </w:p>
              </w:tc>
              <w:tc>
                <w:tcPr>
                  <w:tcW w:w="613" w:type="dxa"/>
                  <w:vAlign w:val="center"/>
                </w:tcPr>
                <w:p w14:paraId="45A2795E">
                  <w:pPr>
                    <w:pStyle w:val="61"/>
                    <w:keepNext w:val="0"/>
                    <w:keepLines w:val="0"/>
                    <w:suppressLineNumbers w:val="0"/>
                    <w:spacing w:before="31" w:beforeAutospacing="0" w:after="31" w:afterAutospacing="0" w:line="240" w:lineRule="auto"/>
                    <w:ind w:left="0" w:right="0"/>
                    <w:rPr>
                      <w:rFonts w:hint="default" w:ascii="Times New Roman" w:hAnsi="Times New Roman" w:eastAsia="宋体" w:cs="Times New Roman"/>
                      <w:b w:val="0"/>
                      <w:bCs w:val="0"/>
                      <w:color w:val="auto"/>
                      <w:sz w:val="18"/>
                      <w:szCs w:val="18"/>
                      <w:highlight w:val="none"/>
                    </w:rPr>
                  </w:pPr>
                  <w:bookmarkStart w:id="18" w:name="_Toc7843"/>
                  <w:r>
                    <w:rPr>
                      <w:rFonts w:hint="default" w:ascii="Times New Roman" w:hAnsi="Times New Roman" w:eastAsia="宋体" w:cs="Times New Roman"/>
                      <w:b w:val="0"/>
                      <w:bCs w:val="0"/>
                      <w:color w:val="auto"/>
                      <w:sz w:val="18"/>
                      <w:szCs w:val="18"/>
                      <w:highlight w:val="none"/>
                    </w:rPr>
                    <w:t>颗粒物</w:t>
                  </w:r>
                  <w:bookmarkEnd w:id="18"/>
                </w:p>
              </w:tc>
              <w:tc>
                <w:tcPr>
                  <w:tcW w:w="538" w:type="dxa"/>
                  <w:vAlign w:val="center"/>
                </w:tcPr>
                <w:p w14:paraId="6EF10135">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791" w:type="dxa"/>
                  <w:vAlign w:val="center"/>
                </w:tcPr>
                <w:p w14:paraId="7CDA15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1038" w:type="dxa"/>
                  <w:vAlign w:val="center"/>
                </w:tcPr>
                <w:p w14:paraId="1F8D0975">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3.333</w:t>
                  </w:r>
                </w:p>
              </w:tc>
              <w:tc>
                <w:tcPr>
                  <w:tcW w:w="767" w:type="dxa"/>
                  <w:vAlign w:val="center"/>
                </w:tcPr>
                <w:p w14:paraId="36B1EBB5">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塔体两侧设置折流挡板，塔顶排气孔设滤尘网</w:t>
                  </w:r>
                </w:p>
              </w:tc>
              <w:tc>
                <w:tcPr>
                  <w:tcW w:w="633" w:type="dxa"/>
                  <w:vAlign w:val="center"/>
                </w:tcPr>
                <w:p w14:paraId="202275EB">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70</w:t>
                  </w:r>
                </w:p>
              </w:tc>
              <w:tc>
                <w:tcPr>
                  <w:tcW w:w="644" w:type="dxa"/>
                  <w:vAlign w:val="center"/>
                </w:tcPr>
                <w:p w14:paraId="25FE83B2">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866" w:type="dxa"/>
                  <w:vAlign w:val="center"/>
                </w:tcPr>
                <w:p w14:paraId="38EE7B03">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728" w:type="dxa"/>
                  <w:vAlign w:val="center"/>
                </w:tcPr>
                <w:p w14:paraId="25C567A9">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0.9999</w:t>
                  </w:r>
                </w:p>
              </w:tc>
              <w:tc>
                <w:tcPr>
                  <w:tcW w:w="490" w:type="dxa"/>
                  <w:vAlign w:val="center"/>
                </w:tcPr>
                <w:p w14:paraId="0EE828C6">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1800</w:t>
                  </w:r>
                </w:p>
              </w:tc>
            </w:tr>
            <w:tr w14:paraId="5BA443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368" w:type="dxa"/>
                  <w:vMerge w:val="continue"/>
                  <w:vAlign w:val="center"/>
                </w:tcPr>
                <w:p w14:paraId="7B1B1598">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18"/>
                      <w:szCs w:val="18"/>
                      <w:highlight w:val="none"/>
                    </w:rPr>
                  </w:pPr>
                </w:p>
              </w:tc>
              <w:tc>
                <w:tcPr>
                  <w:tcW w:w="480" w:type="dxa"/>
                  <w:vAlign w:val="center"/>
                </w:tcPr>
                <w:p w14:paraId="05C1AEDB">
                  <w:pPr>
                    <w:pStyle w:val="70"/>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sz w:val="18"/>
                      <w:szCs w:val="18"/>
                      <w:highlight w:val="none"/>
                      <w:lang w:eastAsia="zh-CN"/>
                    </w:rPr>
                  </w:pPr>
                  <w:r>
                    <w:rPr>
                      <w:rFonts w:hint="eastAsia" w:eastAsia="宋体" w:cs="Times New Roman"/>
                      <w:color w:val="auto"/>
                      <w:sz w:val="18"/>
                      <w:szCs w:val="18"/>
                      <w:highlight w:val="none"/>
                      <w:lang w:val="en-US" w:eastAsia="zh-CN"/>
                    </w:rPr>
                    <w:t>原料堆场</w:t>
                  </w:r>
                </w:p>
              </w:tc>
              <w:tc>
                <w:tcPr>
                  <w:tcW w:w="613" w:type="dxa"/>
                  <w:vAlign w:val="center"/>
                </w:tcPr>
                <w:p w14:paraId="794D40F4">
                  <w:pPr>
                    <w:pStyle w:val="61"/>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颗粒物</w:t>
                  </w:r>
                </w:p>
              </w:tc>
              <w:tc>
                <w:tcPr>
                  <w:tcW w:w="538" w:type="dxa"/>
                  <w:vAlign w:val="center"/>
                </w:tcPr>
                <w:p w14:paraId="3B8DA039">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791" w:type="dxa"/>
                  <w:vAlign w:val="center"/>
                </w:tcPr>
                <w:p w14:paraId="732D24D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1038" w:type="dxa"/>
                  <w:vAlign w:val="center"/>
                </w:tcPr>
                <w:p w14:paraId="49CF06E3">
                  <w:pPr>
                    <w:pStyle w:val="70"/>
                    <w:keepNext w:val="0"/>
                    <w:keepLines w:val="0"/>
                    <w:suppressLineNumbers w:val="0"/>
                    <w:spacing w:before="0" w:beforeAutospacing="0" w:after="0" w:afterAutospacing="0" w:line="240" w:lineRule="auto"/>
                    <w:ind w:left="0" w:leftChars="0" w:right="0" w:rightChars="0"/>
                    <w:rPr>
                      <w:rFonts w:hint="eastAsia"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3.333</w:t>
                  </w:r>
                </w:p>
              </w:tc>
              <w:tc>
                <w:tcPr>
                  <w:tcW w:w="767" w:type="dxa"/>
                  <w:vAlign w:val="center"/>
                </w:tcPr>
                <w:p w14:paraId="10294303">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表面进行苫盖，设置防风抑尘网</w:t>
                  </w:r>
                </w:p>
              </w:tc>
              <w:tc>
                <w:tcPr>
                  <w:tcW w:w="633" w:type="dxa"/>
                  <w:vAlign w:val="center"/>
                </w:tcPr>
                <w:p w14:paraId="0608A3D3">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60</w:t>
                  </w:r>
                </w:p>
              </w:tc>
              <w:tc>
                <w:tcPr>
                  <w:tcW w:w="644" w:type="dxa"/>
                  <w:vAlign w:val="center"/>
                </w:tcPr>
                <w:p w14:paraId="6216AD79">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系数法</w:t>
                  </w:r>
                </w:p>
              </w:tc>
              <w:tc>
                <w:tcPr>
                  <w:tcW w:w="866" w:type="dxa"/>
                  <w:vAlign w:val="center"/>
                </w:tcPr>
                <w:p w14:paraId="23CEF8F0">
                  <w:pPr>
                    <w:pStyle w:val="70"/>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w:t>
                  </w:r>
                </w:p>
              </w:tc>
              <w:tc>
                <w:tcPr>
                  <w:tcW w:w="728" w:type="dxa"/>
                  <w:vAlign w:val="center"/>
                </w:tcPr>
                <w:p w14:paraId="44BC9788">
                  <w:pPr>
                    <w:pStyle w:val="70"/>
                    <w:keepNext w:val="0"/>
                    <w:keepLines w:val="0"/>
                    <w:suppressLineNumbers w:val="0"/>
                    <w:spacing w:before="0" w:beforeAutospacing="0" w:after="0" w:afterAutospacing="0" w:line="240" w:lineRule="auto"/>
                    <w:ind w:left="0" w:leftChars="0" w:right="0" w:rightChars="0"/>
                    <w:rPr>
                      <w:rFonts w:hint="default"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1.33</w:t>
                  </w:r>
                </w:p>
              </w:tc>
              <w:tc>
                <w:tcPr>
                  <w:tcW w:w="490" w:type="dxa"/>
                  <w:vAlign w:val="center"/>
                </w:tcPr>
                <w:p w14:paraId="41412E87">
                  <w:pPr>
                    <w:pStyle w:val="70"/>
                    <w:keepNext w:val="0"/>
                    <w:keepLines w:val="0"/>
                    <w:suppressLineNumbers w:val="0"/>
                    <w:spacing w:before="0" w:beforeAutospacing="0" w:after="0" w:afterAutospacing="0" w:line="240" w:lineRule="auto"/>
                    <w:ind w:left="0" w:leftChars="0" w:right="0" w:rightChars="0"/>
                    <w:rPr>
                      <w:rFonts w:hint="eastAsia"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1800</w:t>
                  </w:r>
                </w:p>
              </w:tc>
            </w:tr>
          </w:tbl>
          <w:p w14:paraId="35D3432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kern w:val="0"/>
                <w:sz w:val="24"/>
                <w:highlight w:val="none"/>
              </w:rPr>
              <w:t>非正常工况</w:t>
            </w:r>
          </w:p>
          <w:p w14:paraId="5872E0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污染物非正常排放情况为：热风炉除尘系统发生故障，</w:t>
            </w:r>
            <w:r>
              <w:rPr>
                <w:rFonts w:hint="default" w:ascii="Times New Roman" w:hAnsi="Times New Roman" w:eastAsia="宋体" w:cs="Times New Roman"/>
                <w:color w:val="auto"/>
                <w:sz w:val="24"/>
                <w:highlight w:val="none"/>
              </w:rPr>
              <w:t>污染物排放控制措施达不到应有效果，锅炉除尘器事故状态污染物去除效率按</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0%计</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kern w:val="0"/>
                <w:sz w:val="24"/>
                <w:highlight w:val="none"/>
              </w:rPr>
              <w:t>本项目</w:t>
            </w:r>
            <w:r>
              <w:rPr>
                <w:rFonts w:hint="default" w:ascii="Times New Roman" w:hAnsi="Times New Roman" w:eastAsia="宋体" w:cs="Times New Roman"/>
                <w:color w:val="auto"/>
                <w:kern w:val="0"/>
                <w:sz w:val="24"/>
                <w:highlight w:val="none"/>
                <w:lang w:val="en-US" w:eastAsia="zh-CN"/>
              </w:rPr>
              <w:t>热风炉</w:t>
            </w:r>
            <w:r>
              <w:rPr>
                <w:rFonts w:hint="default" w:ascii="Times New Roman" w:hAnsi="Times New Roman" w:eastAsia="宋体" w:cs="Times New Roman"/>
                <w:color w:val="auto"/>
                <w:kern w:val="0"/>
                <w:sz w:val="24"/>
                <w:highlight w:val="none"/>
              </w:rPr>
              <w:t>年运行</w:t>
            </w:r>
            <w:r>
              <w:rPr>
                <w:rFonts w:hint="eastAsia" w:cs="Times New Roman"/>
                <w:color w:val="auto"/>
                <w:kern w:val="0"/>
                <w:sz w:val="24"/>
                <w:highlight w:val="none"/>
                <w:lang w:val="en-US" w:eastAsia="zh-CN"/>
              </w:rPr>
              <w:t>75</w:t>
            </w:r>
            <w:r>
              <w:rPr>
                <w:rFonts w:hint="default" w:ascii="Times New Roman" w:hAnsi="Times New Roman" w:eastAsia="宋体" w:cs="Times New Roman"/>
                <w:color w:val="auto"/>
                <w:kern w:val="0"/>
                <w:sz w:val="24"/>
                <w:highlight w:val="none"/>
                <w:lang w:val="en-US" w:eastAsia="zh-CN"/>
              </w:rPr>
              <w:t>天</w:t>
            </w:r>
            <w:r>
              <w:rPr>
                <w:rFonts w:hint="default" w:ascii="Times New Roman" w:hAnsi="Times New Roman" w:eastAsia="宋体" w:cs="Times New Roman"/>
                <w:color w:val="auto"/>
                <w:kern w:val="0"/>
                <w:sz w:val="24"/>
                <w:highlight w:val="none"/>
              </w:rPr>
              <w:t>，每天工作24小时，每次污染物非正常排放情况发生时间不超过1小时，每年发生次数不超过</w:t>
            </w:r>
            <w:r>
              <w:rPr>
                <w:rFonts w:hint="default" w:ascii="Times New Roman" w:hAnsi="Times New Roman" w:eastAsia="宋体" w:cs="Times New Roman"/>
                <w:color w:val="auto"/>
                <w:kern w:val="0"/>
                <w:sz w:val="24"/>
                <w:highlight w:val="none"/>
                <w:lang w:val="en-US" w:eastAsia="zh-CN"/>
              </w:rPr>
              <w:t>1</w:t>
            </w:r>
            <w:r>
              <w:rPr>
                <w:rFonts w:hint="default" w:ascii="Times New Roman" w:hAnsi="Times New Roman" w:eastAsia="宋体" w:cs="Times New Roman"/>
                <w:color w:val="auto"/>
                <w:kern w:val="0"/>
                <w:sz w:val="24"/>
                <w:highlight w:val="none"/>
              </w:rPr>
              <w:t>次。</w:t>
            </w:r>
          </w:p>
          <w:p w14:paraId="61248E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大气污染物源强非正常</w:t>
            </w:r>
            <w:r>
              <w:rPr>
                <w:rFonts w:hint="default" w:ascii="Times New Roman" w:hAnsi="Times New Roman" w:eastAsia="宋体" w:cs="Times New Roman"/>
                <w:color w:val="auto"/>
                <w:kern w:val="0"/>
                <w:sz w:val="24"/>
                <w:highlight w:val="none"/>
                <w:lang w:val="en-US" w:eastAsia="zh-CN"/>
              </w:rPr>
              <w:t>工况</w:t>
            </w:r>
            <w:r>
              <w:rPr>
                <w:rFonts w:hint="default" w:ascii="Times New Roman" w:hAnsi="Times New Roman" w:eastAsia="宋体" w:cs="Times New Roman"/>
                <w:color w:val="auto"/>
                <w:kern w:val="0"/>
                <w:sz w:val="24"/>
                <w:highlight w:val="none"/>
              </w:rPr>
              <w:t>排放核算</w:t>
            </w:r>
            <w:r>
              <w:rPr>
                <w:rFonts w:hint="default" w:ascii="Times New Roman" w:hAnsi="Times New Roman" w:eastAsia="宋体" w:cs="Times New Roman"/>
                <w:color w:val="auto"/>
                <w:kern w:val="0"/>
                <w:sz w:val="24"/>
                <w:highlight w:val="none"/>
                <w:lang w:val="en-US" w:eastAsia="zh-CN"/>
              </w:rPr>
              <w:t>见</w:t>
            </w:r>
            <w:r>
              <w:rPr>
                <w:rFonts w:hint="default" w:ascii="Times New Roman" w:hAnsi="Times New Roman" w:eastAsia="宋体" w:cs="Times New Roman"/>
                <w:color w:val="auto"/>
                <w:kern w:val="0"/>
                <w:sz w:val="24"/>
                <w:highlight w:val="none"/>
              </w:rPr>
              <w:t>下表。</w:t>
            </w:r>
          </w:p>
          <w:p w14:paraId="37031972">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表4-</w:t>
            </w:r>
            <w:r>
              <w:rPr>
                <w:rFonts w:hint="default" w:ascii="Times New Roman" w:hAnsi="Times New Roman" w:eastAsia="宋体" w:cs="Times New Roman"/>
                <w:b/>
                <w:color w:val="auto"/>
                <w:szCs w:val="21"/>
                <w:highlight w:val="none"/>
                <w:lang w:val="en-US" w:eastAsia="zh-CN"/>
              </w:rPr>
              <w:t>2</w:t>
            </w:r>
            <w:r>
              <w:rPr>
                <w:rFonts w:hint="default" w:ascii="Times New Roman" w:hAnsi="Times New Roman" w:eastAsia="宋体" w:cs="Times New Roman"/>
                <w:b/>
                <w:color w:val="auto"/>
                <w:szCs w:val="21"/>
                <w:highlight w:val="none"/>
              </w:rPr>
              <w:t>污染源非正常</w:t>
            </w:r>
            <w:r>
              <w:rPr>
                <w:rFonts w:hint="default" w:ascii="Times New Roman" w:hAnsi="Times New Roman" w:eastAsia="宋体" w:cs="Times New Roman"/>
                <w:b/>
                <w:color w:val="auto"/>
                <w:szCs w:val="21"/>
                <w:highlight w:val="none"/>
                <w:lang w:val="en-US" w:eastAsia="zh-CN"/>
              </w:rPr>
              <w:t>工况</w:t>
            </w:r>
            <w:r>
              <w:rPr>
                <w:rFonts w:hint="default" w:ascii="Times New Roman" w:hAnsi="Times New Roman" w:eastAsia="宋体" w:cs="Times New Roman"/>
                <w:b/>
                <w:color w:val="auto"/>
                <w:szCs w:val="21"/>
                <w:highlight w:val="none"/>
              </w:rPr>
              <w:t>排放核算表</w:t>
            </w:r>
          </w:p>
          <w:tbl>
            <w:tblPr>
              <w:tblStyle w:val="33"/>
              <w:tblW w:w="79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390"/>
              <w:gridCol w:w="839"/>
              <w:gridCol w:w="1473"/>
              <w:gridCol w:w="1052"/>
              <w:gridCol w:w="858"/>
              <w:gridCol w:w="858"/>
              <w:gridCol w:w="838"/>
            </w:tblGrid>
            <w:tr w14:paraId="24A50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48" w:type="dxa"/>
                  <w:vAlign w:val="center"/>
                </w:tcPr>
                <w:p w14:paraId="02D161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污染源</w:t>
                  </w:r>
                </w:p>
              </w:tc>
              <w:tc>
                <w:tcPr>
                  <w:tcW w:w="1390" w:type="dxa"/>
                  <w:vAlign w:val="center"/>
                </w:tcPr>
                <w:p w14:paraId="4CE53C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非正常排放原因</w:t>
                  </w:r>
                </w:p>
              </w:tc>
              <w:tc>
                <w:tcPr>
                  <w:tcW w:w="839" w:type="dxa"/>
                  <w:vAlign w:val="center"/>
                </w:tcPr>
                <w:p w14:paraId="77159B6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w:t>
                  </w:r>
                </w:p>
              </w:tc>
              <w:tc>
                <w:tcPr>
                  <w:tcW w:w="1473" w:type="dxa"/>
                  <w:vAlign w:val="center"/>
                </w:tcPr>
                <w:p w14:paraId="0E1693A6">
                  <w:pPr>
                    <w:pStyle w:val="67"/>
                    <w:keepNext w:val="0"/>
                    <w:keepLines w:val="0"/>
                    <w:suppressLineNumbers w:val="0"/>
                    <w:spacing w:before="0" w:beforeLines="0" w:beforeAutospacing="0" w:after="0" w:afterLines="0" w:afterAutospacing="0" w:line="240" w:lineRule="auto"/>
                    <w:ind w:left="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非正常排放浓度</w:t>
                  </w:r>
                </w:p>
              </w:tc>
              <w:tc>
                <w:tcPr>
                  <w:tcW w:w="1052" w:type="dxa"/>
                  <w:vAlign w:val="center"/>
                </w:tcPr>
                <w:p w14:paraId="40ECF6AE">
                  <w:pPr>
                    <w:pStyle w:val="67"/>
                    <w:keepNext w:val="0"/>
                    <w:keepLines w:val="0"/>
                    <w:suppressLineNumbers w:val="0"/>
                    <w:spacing w:before="0" w:beforeLines="0" w:beforeAutospacing="0" w:after="0" w:afterLines="0" w:afterAutospacing="0" w:line="240" w:lineRule="auto"/>
                    <w:ind w:left="0" w:right="0" w:firstLine="0" w:firstLine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非正常排放速率</w:t>
                  </w:r>
                </w:p>
              </w:tc>
              <w:tc>
                <w:tcPr>
                  <w:tcW w:w="858" w:type="dxa"/>
                  <w:vAlign w:val="center"/>
                </w:tcPr>
                <w:p w14:paraId="7D7DE5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单次持续时间</w:t>
                  </w:r>
                </w:p>
              </w:tc>
              <w:tc>
                <w:tcPr>
                  <w:tcW w:w="858" w:type="dxa"/>
                  <w:vAlign w:val="center"/>
                </w:tcPr>
                <w:p w14:paraId="3578FA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年发生频次</w:t>
                  </w:r>
                </w:p>
              </w:tc>
              <w:tc>
                <w:tcPr>
                  <w:tcW w:w="838" w:type="dxa"/>
                  <w:vAlign w:val="center"/>
                </w:tcPr>
                <w:p w14:paraId="096AFA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应对措施</w:t>
                  </w:r>
                </w:p>
              </w:tc>
            </w:tr>
            <w:tr w14:paraId="4B954C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vAlign w:val="center"/>
                </w:tcPr>
                <w:p w14:paraId="763B0D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热风炉</w:t>
                  </w:r>
                </w:p>
              </w:tc>
              <w:tc>
                <w:tcPr>
                  <w:tcW w:w="1390" w:type="dxa"/>
                  <w:vAlign w:val="center"/>
                </w:tcPr>
                <w:p w14:paraId="4D545DE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除尘系统发生故障，除尘效率降至</w:t>
                  </w:r>
                  <w:r>
                    <w:rPr>
                      <w:rFonts w:hint="eastAsia" w:cs="Times New Roman"/>
                      <w:color w:val="auto"/>
                      <w:kern w:val="0"/>
                      <w:szCs w:val="21"/>
                      <w:highlight w:val="none"/>
                      <w:lang w:val="en-US" w:eastAsia="zh-CN"/>
                    </w:rPr>
                    <w:t>50</w:t>
                  </w:r>
                  <w:r>
                    <w:rPr>
                      <w:rFonts w:hint="default" w:ascii="Times New Roman" w:hAnsi="Times New Roman" w:eastAsia="宋体" w:cs="Times New Roman"/>
                      <w:color w:val="auto"/>
                      <w:kern w:val="0"/>
                      <w:szCs w:val="21"/>
                      <w:highlight w:val="none"/>
                    </w:rPr>
                    <w:t>%</w:t>
                  </w:r>
                </w:p>
              </w:tc>
              <w:tc>
                <w:tcPr>
                  <w:tcW w:w="839" w:type="dxa"/>
                  <w:vAlign w:val="center"/>
                </w:tcPr>
                <w:p w14:paraId="35ECA9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烟尘</w:t>
                  </w:r>
                </w:p>
              </w:tc>
              <w:tc>
                <w:tcPr>
                  <w:tcW w:w="1473" w:type="dxa"/>
                  <w:vAlign w:val="center"/>
                </w:tcPr>
                <w:p w14:paraId="1644A7F6">
                  <w:pPr>
                    <w:pStyle w:val="7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eastAsia" w:eastAsia="宋体" w:cs="Times New Roman"/>
                      <w:bCs/>
                      <w:color w:val="auto"/>
                      <w:kern w:val="2"/>
                      <w:sz w:val="21"/>
                      <w:szCs w:val="21"/>
                      <w:highlight w:val="none"/>
                      <w:lang w:val="en-US" w:eastAsia="zh-CN" w:bidi="ar-SA"/>
                    </w:rPr>
                    <w:t>2520</w:t>
                  </w:r>
                  <w:r>
                    <w:rPr>
                      <w:rFonts w:hint="default" w:ascii="Times New Roman" w:hAnsi="Times New Roman" w:eastAsia="宋体" w:cs="Times New Roman"/>
                      <w:bCs/>
                      <w:iCs/>
                      <w:color w:val="auto"/>
                      <w:szCs w:val="21"/>
                      <w:highlight w:val="none"/>
                    </w:rPr>
                    <w:t>mg/m</w:t>
                  </w:r>
                  <w:r>
                    <w:rPr>
                      <w:rFonts w:hint="default" w:ascii="Times New Roman" w:hAnsi="Times New Roman" w:eastAsia="宋体" w:cs="Times New Roman"/>
                      <w:bCs/>
                      <w:iCs/>
                      <w:color w:val="auto"/>
                      <w:szCs w:val="21"/>
                      <w:highlight w:val="none"/>
                      <w:vertAlign w:val="superscript"/>
                    </w:rPr>
                    <w:t>3</w:t>
                  </w:r>
                </w:p>
              </w:tc>
              <w:tc>
                <w:tcPr>
                  <w:tcW w:w="1052" w:type="dxa"/>
                  <w:vAlign w:val="center"/>
                </w:tcPr>
                <w:p w14:paraId="040E71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rPr>
                  </w:pPr>
                  <w:r>
                    <w:rPr>
                      <w:rFonts w:hint="eastAsia" w:cs="Times New Roman"/>
                      <w:color w:val="auto"/>
                      <w:szCs w:val="21"/>
                      <w:highlight w:val="none"/>
                      <w:lang w:val="en-US" w:eastAsia="zh-CN"/>
                    </w:rPr>
                    <w:t>21.1</w:t>
                  </w:r>
                  <w:r>
                    <w:rPr>
                      <w:rFonts w:hint="default" w:ascii="Times New Roman" w:hAnsi="Times New Roman" w:eastAsia="宋体" w:cs="Times New Roman"/>
                      <w:color w:val="auto"/>
                      <w:szCs w:val="21"/>
                      <w:highlight w:val="none"/>
                    </w:rPr>
                    <w:t>kg/h</w:t>
                  </w:r>
                </w:p>
              </w:tc>
              <w:tc>
                <w:tcPr>
                  <w:tcW w:w="858" w:type="dxa"/>
                  <w:vAlign w:val="center"/>
                </w:tcPr>
                <w:p w14:paraId="5BD5FC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≤1h</w:t>
                  </w:r>
                </w:p>
              </w:tc>
              <w:tc>
                <w:tcPr>
                  <w:tcW w:w="858" w:type="dxa"/>
                  <w:vAlign w:val="center"/>
                </w:tcPr>
                <w:p w14:paraId="6B5046C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次</w:t>
                  </w:r>
                </w:p>
              </w:tc>
              <w:tc>
                <w:tcPr>
                  <w:tcW w:w="838" w:type="dxa"/>
                  <w:vAlign w:val="center"/>
                </w:tcPr>
                <w:p w14:paraId="4076E95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加强日常检修</w:t>
                  </w:r>
                </w:p>
              </w:tc>
            </w:tr>
          </w:tbl>
          <w:p w14:paraId="03E4EBF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kern w:val="0"/>
                <w:sz w:val="24"/>
                <w:highlight w:val="none"/>
              </w:rPr>
              <w:t>废气排放口基本情况</w:t>
            </w:r>
          </w:p>
          <w:p w14:paraId="07E0129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本项目废气排放口情况见下表。</w:t>
            </w:r>
          </w:p>
          <w:p w14:paraId="08D11536">
            <w:pPr>
              <w:pStyle w:val="2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szCs w:val="21"/>
                <w:highlight w:val="none"/>
              </w:rPr>
              <w:t>表4-</w:t>
            </w:r>
            <w:r>
              <w:rPr>
                <w:rFonts w:hint="default" w:ascii="Times New Roman" w:hAnsi="Times New Roman" w:eastAsia="宋体" w:cs="Times New Roman"/>
                <w:b/>
                <w:color w:val="auto"/>
                <w:szCs w:val="21"/>
                <w:highlight w:val="none"/>
                <w:lang w:val="en-US" w:eastAsia="zh-CN"/>
              </w:rPr>
              <w:t>3</w:t>
            </w:r>
            <w:r>
              <w:rPr>
                <w:rFonts w:hint="default" w:ascii="Times New Roman" w:hAnsi="Times New Roman" w:eastAsia="宋体" w:cs="Times New Roman"/>
                <w:b/>
                <w:color w:val="auto"/>
                <w:szCs w:val="21"/>
                <w:highlight w:val="none"/>
              </w:rPr>
              <w:t>废气排放</w:t>
            </w:r>
            <w:r>
              <w:rPr>
                <w:rFonts w:hint="default" w:ascii="Times New Roman" w:hAnsi="Times New Roman" w:eastAsia="宋体" w:cs="Times New Roman"/>
                <w:b/>
                <w:color w:val="auto"/>
                <w:szCs w:val="21"/>
                <w:highlight w:val="none"/>
                <w:lang w:val="en-US" w:eastAsia="zh-CN"/>
              </w:rPr>
              <w:t>口</w:t>
            </w:r>
            <w:r>
              <w:rPr>
                <w:rFonts w:hint="default" w:ascii="Times New Roman" w:hAnsi="Times New Roman" w:eastAsia="宋体" w:cs="Times New Roman"/>
                <w:b/>
                <w:color w:val="auto"/>
                <w:szCs w:val="21"/>
                <w:highlight w:val="none"/>
              </w:rPr>
              <w:t>情况表</w:t>
            </w:r>
          </w:p>
          <w:tbl>
            <w:tblPr>
              <w:tblStyle w:val="33"/>
              <w:tblW w:w="799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343"/>
              <w:gridCol w:w="415"/>
              <w:gridCol w:w="790"/>
              <w:gridCol w:w="1214"/>
              <w:gridCol w:w="600"/>
              <w:gridCol w:w="627"/>
              <w:gridCol w:w="955"/>
              <w:gridCol w:w="873"/>
              <w:gridCol w:w="615"/>
              <w:gridCol w:w="583"/>
              <w:gridCol w:w="621"/>
              <w:gridCol w:w="358"/>
            </w:tblGrid>
            <w:tr w14:paraId="4694B9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59" w:hRule="atLeast"/>
              </w:trPr>
              <w:tc>
                <w:tcPr>
                  <w:tcW w:w="343" w:type="dxa"/>
                  <w:vMerge w:val="restart"/>
                  <w:vAlign w:val="center"/>
                </w:tcPr>
                <w:p w14:paraId="7929F37E">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415" w:type="dxa"/>
                  <w:vMerge w:val="restart"/>
                  <w:vAlign w:val="center"/>
                </w:tcPr>
                <w:p w14:paraId="7BD07044">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排放源</w:t>
                  </w:r>
                </w:p>
              </w:tc>
              <w:tc>
                <w:tcPr>
                  <w:tcW w:w="790" w:type="dxa"/>
                  <w:vMerge w:val="restart"/>
                  <w:vAlign w:val="center"/>
                </w:tcPr>
                <w:p w14:paraId="1554DFD5">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排放口编号</w:t>
                  </w:r>
                </w:p>
              </w:tc>
              <w:tc>
                <w:tcPr>
                  <w:tcW w:w="1214" w:type="dxa"/>
                  <w:vMerge w:val="restart"/>
                  <w:vAlign w:val="center"/>
                </w:tcPr>
                <w:p w14:paraId="236A09FE">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污染物种类</w:t>
                  </w:r>
                </w:p>
              </w:tc>
              <w:tc>
                <w:tcPr>
                  <w:tcW w:w="600" w:type="dxa"/>
                  <w:vMerge w:val="restart"/>
                  <w:vAlign w:val="center"/>
                </w:tcPr>
                <w:p w14:paraId="2CFEFE4E">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排放口名称</w:t>
                  </w:r>
                </w:p>
              </w:tc>
              <w:tc>
                <w:tcPr>
                  <w:tcW w:w="627" w:type="dxa"/>
                  <w:vMerge w:val="restart"/>
                  <w:vAlign w:val="center"/>
                </w:tcPr>
                <w:p w14:paraId="5F14700C">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排放口类型</w:t>
                  </w:r>
                </w:p>
              </w:tc>
              <w:tc>
                <w:tcPr>
                  <w:tcW w:w="1828" w:type="dxa"/>
                  <w:gridSpan w:val="2"/>
                  <w:vAlign w:val="center"/>
                </w:tcPr>
                <w:p w14:paraId="75D98B4C">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坐标</w:t>
                  </w:r>
                  <w:r>
                    <w:rPr>
                      <w:rFonts w:hint="eastAsia" w:cs="Times New Roman"/>
                      <w:color w:val="auto"/>
                      <w:szCs w:val="21"/>
                      <w:highlight w:val="none"/>
                      <w:lang w:val="en-US" w:eastAsia="zh-CN"/>
                    </w:rPr>
                    <w:t>/°</w:t>
                  </w:r>
                </w:p>
              </w:tc>
              <w:tc>
                <w:tcPr>
                  <w:tcW w:w="1819" w:type="dxa"/>
                  <w:gridSpan w:val="3"/>
                  <w:vAlign w:val="center"/>
                </w:tcPr>
                <w:p w14:paraId="7B33708B">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排气筒情况</w:t>
                  </w:r>
                </w:p>
              </w:tc>
              <w:tc>
                <w:tcPr>
                  <w:tcW w:w="358" w:type="dxa"/>
                  <w:vMerge w:val="restart"/>
                  <w:vAlign w:val="center"/>
                </w:tcPr>
                <w:p w14:paraId="2ADF2743">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其他信息</w:t>
                  </w:r>
                </w:p>
              </w:tc>
            </w:tr>
            <w:tr w14:paraId="50FDB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19" w:hRule="atLeast"/>
              </w:trPr>
              <w:tc>
                <w:tcPr>
                  <w:tcW w:w="343" w:type="dxa"/>
                  <w:vMerge w:val="continue"/>
                  <w:vAlign w:val="center"/>
                </w:tcPr>
                <w:p w14:paraId="28FA3B81">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415" w:type="dxa"/>
                  <w:vMerge w:val="continue"/>
                  <w:vAlign w:val="center"/>
                </w:tcPr>
                <w:p w14:paraId="4DBE22D2">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790" w:type="dxa"/>
                  <w:vMerge w:val="continue"/>
                  <w:vAlign w:val="center"/>
                </w:tcPr>
                <w:p w14:paraId="65F74A0E">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214" w:type="dxa"/>
                  <w:vMerge w:val="continue"/>
                  <w:vAlign w:val="center"/>
                </w:tcPr>
                <w:p w14:paraId="4AB03AB0">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600" w:type="dxa"/>
                  <w:vMerge w:val="continue"/>
                  <w:vAlign w:val="center"/>
                </w:tcPr>
                <w:p w14:paraId="0A5DAEE0">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627" w:type="dxa"/>
                  <w:vMerge w:val="continue"/>
                  <w:vAlign w:val="center"/>
                </w:tcPr>
                <w:p w14:paraId="20920BB0">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955" w:type="dxa"/>
                  <w:vAlign w:val="center"/>
                </w:tcPr>
                <w:p w14:paraId="00121D27">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经度</w:t>
                  </w:r>
                </w:p>
              </w:tc>
              <w:tc>
                <w:tcPr>
                  <w:tcW w:w="873" w:type="dxa"/>
                  <w:vAlign w:val="center"/>
                </w:tcPr>
                <w:p w14:paraId="4B53E455">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纬度</w:t>
                  </w:r>
                </w:p>
              </w:tc>
              <w:tc>
                <w:tcPr>
                  <w:tcW w:w="615" w:type="dxa"/>
                  <w:vAlign w:val="center"/>
                </w:tcPr>
                <w:p w14:paraId="1955610F">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高度</w:t>
                  </w:r>
                </w:p>
              </w:tc>
              <w:tc>
                <w:tcPr>
                  <w:tcW w:w="583" w:type="dxa"/>
                  <w:vAlign w:val="center"/>
                </w:tcPr>
                <w:p w14:paraId="6CCFC9D6">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内径</w:t>
                  </w:r>
                </w:p>
              </w:tc>
              <w:tc>
                <w:tcPr>
                  <w:tcW w:w="621" w:type="dxa"/>
                  <w:vAlign w:val="center"/>
                </w:tcPr>
                <w:p w14:paraId="490C885E">
                  <w:pPr>
                    <w:pStyle w:val="58"/>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排气温度</w:t>
                  </w:r>
                </w:p>
              </w:tc>
              <w:tc>
                <w:tcPr>
                  <w:tcW w:w="358" w:type="dxa"/>
                  <w:vMerge w:val="continue"/>
                  <w:vAlign w:val="center"/>
                </w:tcPr>
                <w:p w14:paraId="2113E735">
                  <w:pPr>
                    <w:pStyle w:val="70"/>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r>
            <w:tr w14:paraId="74C97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1" w:hRule="atLeast"/>
              </w:trPr>
              <w:tc>
                <w:tcPr>
                  <w:tcW w:w="343" w:type="dxa"/>
                  <w:vMerge w:val="restart"/>
                  <w:vAlign w:val="center"/>
                </w:tcPr>
                <w:p w14:paraId="2076EADB">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415" w:type="dxa"/>
                  <w:vMerge w:val="restart"/>
                  <w:vAlign w:val="center"/>
                </w:tcPr>
                <w:p w14:paraId="4CF65AA0">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热风炉</w:t>
                  </w:r>
                </w:p>
              </w:tc>
              <w:tc>
                <w:tcPr>
                  <w:tcW w:w="790" w:type="dxa"/>
                  <w:vMerge w:val="restart"/>
                  <w:vAlign w:val="center"/>
                </w:tcPr>
                <w:p w14:paraId="77FE6E94">
                  <w:pPr>
                    <w:pStyle w:val="58"/>
                    <w:keepNext w:val="0"/>
                    <w:keepLines w:val="0"/>
                    <w:suppressLineNumbers w:val="0"/>
                    <w:adjustRightInd w:val="0"/>
                    <w:snapToGrid w:val="0"/>
                    <w:spacing w:before="0" w:beforeAutospacing="0" w:after="0" w:afterAutospacing="0" w:line="240" w:lineRule="auto"/>
                    <w:ind w:left="0" w:right="0"/>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DA00</w:t>
                  </w:r>
                  <w:r>
                    <w:rPr>
                      <w:rFonts w:hint="eastAsia" w:cs="Times New Roman"/>
                      <w:color w:val="auto"/>
                      <w:szCs w:val="21"/>
                      <w:highlight w:val="none"/>
                      <w:lang w:val="en-US" w:eastAsia="zh-CN"/>
                    </w:rPr>
                    <w:t>1</w:t>
                  </w:r>
                </w:p>
              </w:tc>
              <w:tc>
                <w:tcPr>
                  <w:tcW w:w="1214" w:type="dxa"/>
                  <w:vAlign w:val="center"/>
                </w:tcPr>
                <w:p w14:paraId="56BC6AD6">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烟尘</w:t>
                  </w:r>
                </w:p>
              </w:tc>
              <w:tc>
                <w:tcPr>
                  <w:tcW w:w="600" w:type="dxa"/>
                  <w:vMerge w:val="restart"/>
                  <w:vAlign w:val="center"/>
                </w:tcPr>
                <w:p w14:paraId="788F29AB">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烟囱</w:t>
                  </w:r>
                </w:p>
              </w:tc>
              <w:tc>
                <w:tcPr>
                  <w:tcW w:w="627" w:type="dxa"/>
                  <w:vMerge w:val="restart"/>
                  <w:vAlign w:val="center"/>
                </w:tcPr>
                <w:p w14:paraId="54DA1227">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一般排放口</w:t>
                  </w:r>
                </w:p>
              </w:tc>
              <w:tc>
                <w:tcPr>
                  <w:tcW w:w="955" w:type="dxa"/>
                  <w:vMerge w:val="restart"/>
                  <w:vAlign w:val="center"/>
                </w:tcPr>
                <w:p w14:paraId="72ADAC5A">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132.51476786</w:t>
                  </w:r>
                </w:p>
              </w:tc>
              <w:tc>
                <w:tcPr>
                  <w:tcW w:w="873" w:type="dxa"/>
                  <w:vMerge w:val="restart"/>
                  <w:vAlign w:val="center"/>
                </w:tcPr>
                <w:p w14:paraId="0C51DB14">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45.72667781</w:t>
                  </w:r>
                </w:p>
              </w:tc>
              <w:tc>
                <w:tcPr>
                  <w:tcW w:w="615" w:type="dxa"/>
                  <w:vMerge w:val="restart"/>
                  <w:vAlign w:val="center"/>
                </w:tcPr>
                <w:p w14:paraId="1AF21650">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30</w:t>
                  </w:r>
                  <w:r>
                    <w:rPr>
                      <w:rFonts w:hint="default" w:ascii="Times New Roman" w:hAnsi="Times New Roman" w:eastAsia="宋体" w:cs="Times New Roman"/>
                      <w:color w:val="auto"/>
                      <w:szCs w:val="21"/>
                      <w:highlight w:val="none"/>
                      <w:lang w:eastAsia="zh-CN"/>
                    </w:rPr>
                    <w:t>m</w:t>
                  </w:r>
                </w:p>
              </w:tc>
              <w:tc>
                <w:tcPr>
                  <w:tcW w:w="583" w:type="dxa"/>
                  <w:vMerge w:val="restart"/>
                  <w:vAlign w:val="center"/>
                </w:tcPr>
                <w:p w14:paraId="1DE6AC30">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0.</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m</w:t>
                  </w:r>
                </w:p>
              </w:tc>
              <w:tc>
                <w:tcPr>
                  <w:tcW w:w="621" w:type="dxa"/>
                  <w:vMerge w:val="restart"/>
                  <w:vAlign w:val="center"/>
                </w:tcPr>
                <w:p w14:paraId="325D53DA">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120</w:t>
                  </w:r>
                  <w:r>
                    <w:rPr>
                      <w:rFonts w:hint="default" w:ascii="Times New Roman" w:hAnsi="Times New Roman" w:eastAsia="宋体" w:cs="Times New Roman"/>
                      <w:color w:val="auto"/>
                      <w:szCs w:val="21"/>
                      <w:highlight w:val="none"/>
                    </w:rPr>
                    <w:t>℃</w:t>
                  </w:r>
                </w:p>
              </w:tc>
              <w:tc>
                <w:tcPr>
                  <w:tcW w:w="358" w:type="dxa"/>
                  <w:vMerge w:val="restart"/>
                  <w:vAlign w:val="center"/>
                </w:tcPr>
                <w:p w14:paraId="55BCF22A">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r>
            <w:tr w14:paraId="5DC04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23" w:hRule="atLeast"/>
              </w:trPr>
              <w:tc>
                <w:tcPr>
                  <w:tcW w:w="343" w:type="dxa"/>
                  <w:vMerge w:val="continue"/>
                  <w:vAlign w:val="center"/>
                </w:tcPr>
                <w:p w14:paraId="19798F59">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415" w:type="dxa"/>
                  <w:vMerge w:val="continue"/>
                  <w:vAlign w:val="center"/>
                </w:tcPr>
                <w:p w14:paraId="658C0CFB">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790" w:type="dxa"/>
                  <w:vMerge w:val="continue"/>
                  <w:vAlign w:val="center"/>
                </w:tcPr>
                <w:p w14:paraId="4CEE0C71">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214" w:type="dxa"/>
                  <w:vAlign w:val="center"/>
                </w:tcPr>
                <w:p w14:paraId="4DD31B00">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SO</w:t>
                  </w:r>
                  <w:r>
                    <w:rPr>
                      <w:rFonts w:hint="default" w:ascii="Times New Roman" w:hAnsi="Times New Roman" w:eastAsia="宋体" w:cs="Times New Roman"/>
                      <w:color w:val="auto"/>
                      <w:szCs w:val="21"/>
                      <w:highlight w:val="none"/>
                      <w:vertAlign w:val="subscript"/>
                    </w:rPr>
                    <w:t>2</w:t>
                  </w:r>
                </w:p>
              </w:tc>
              <w:tc>
                <w:tcPr>
                  <w:tcW w:w="600" w:type="dxa"/>
                  <w:vMerge w:val="continue"/>
                  <w:vAlign w:val="center"/>
                </w:tcPr>
                <w:p w14:paraId="2834FAFA">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627" w:type="dxa"/>
                  <w:vMerge w:val="continue"/>
                  <w:vAlign w:val="center"/>
                </w:tcPr>
                <w:p w14:paraId="667BD2F5">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955" w:type="dxa"/>
                  <w:vMerge w:val="continue"/>
                  <w:vAlign w:val="center"/>
                </w:tcPr>
                <w:p w14:paraId="1FFA7DFF">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873" w:type="dxa"/>
                  <w:vMerge w:val="continue"/>
                  <w:vAlign w:val="center"/>
                </w:tcPr>
                <w:p w14:paraId="185AFC26">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615" w:type="dxa"/>
                  <w:vMerge w:val="continue"/>
                  <w:vAlign w:val="center"/>
                </w:tcPr>
                <w:p w14:paraId="1F9078A5">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583" w:type="dxa"/>
                  <w:vMerge w:val="continue"/>
                  <w:vAlign w:val="center"/>
                </w:tcPr>
                <w:p w14:paraId="30714D87">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621" w:type="dxa"/>
                  <w:vMerge w:val="continue"/>
                  <w:vAlign w:val="center"/>
                </w:tcPr>
                <w:p w14:paraId="3500E1E2">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358" w:type="dxa"/>
                  <w:vMerge w:val="continue"/>
                  <w:vAlign w:val="center"/>
                </w:tcPr>
                <w:p w14:paraId="5D5A97AA">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r>
            <w:tr w14:paraId="5792D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6" w:hRule="atLeast"/>
              </w:trPr>
              <w:tc>
                <w:tcPr>
                  <w:tcW w:w="343" w:type="dxa"/>
                  <w:vMerge w:val="continue"/>
                  <w:vAlign w:val="center"/>
                </w:tcPr>
                <w:p w14:paraId="58F464A3">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415" w:type="dxa"/>
                  <w:vMerge w:val="continue"/>
                  <w:vAlign w:val="center"/>
                </w:tcPr>
                <w:p w14:paraId="68B5AD84">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790" w:type="dxa"/>
                  <w:vMerge w:val="continue"/>
                  <w:vAlign w:val="center"/>
                </w:tcPr>
                <w:p w14:paraId="5D9BF237">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214" w:type="dxa"/>
                  <w:vAlign w:val="center"/>
                </w:tcPr>
                <w:p w14:paraId="39EEB7EC">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NOx</w:t>
                  </w:r>
                </w:p>
              </w:tc>
              <w:tc>
                <w:tcPr>
                  <w:tcW w:w="600" w:type="dxa"/>
                  <w:vMerge w:val="continue"/>
                  <w:vAlign w:val="center"/>
                </w:tcPr>
                <w:p w14:paraId="75C70F1F">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627" w:type="dxa"/>
                  <w:vMerge w:val="continue"/>
                  <w:vAlign w:val="center"/>
                </w:tcPr>
                <w:p w14:paraId="2DADBD1D">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955" w:type="dxa"/>
                  <w:vMerge w:val="continue"/>
                  <w:vAlign w:val="center"/>
                </w:tcPr>
                <w:p w14:paraId="4067E651">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873" w:type="dxa"/>
                  <w:vMerge w:val="continue"/>
                  <w:vAlign w:val="center"/>
                </w:tcPr>
                <w:p w14:paraId="70755C83">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615" w:type="dxa"/>
                  <w:vMerge w:val="continue"/>
                  <w:vAlign w:val="center"/>
                </w:tcPr>
                <w:p w14:paraId="602469A5">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583" w:type="dxa"/>
                  <w:vMerge w:val="continue"/>
                  <w:vAlign w:val="center"/>
                </w:tcPr>
                <w:p w14:paraId="0B33EDEE">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621" w:type="dxa"/>
                  <w:vMerge w:val="continue"/>
                  <w:vAlign w:val="center"/>
                </w:tcPr>
                <w:p w14:paraId="416A81EE">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358" w:type="dxa"/>
                  <w:vMerge w:val="continue"/>
                  <w:vAlign w:val="center"/>
                </w:tcPr>
                <w:p w14:paraId="1C81CC45">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r>
            <w:tr w14:paraId="5E1AE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39" w:hRule="atLeast"/>
              </w:trPr>
              <w:tc>
                <w:tcPr>
                  <w:tcW w:w="343" w:type="dxa"/>
                  <w:vMerge w:val="continue"/>
                  <w:vAlign w:val="center"/>
                </w:tcPr>
                <w:p w14:paraId="1506700D">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415" w:type="dxa"/>
                  <w:vMerge w:val="continue"/>
                  <w:vAlign w:val="center"/>
                </w:tcPr>
                <w:p w14:paraId="49F31D15">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790" w:type="dxa"/>
                  <w:vMerge w:val="continue"/>
                  <w:vAlign w:val="center"/>
                </w:tcPr>
                <w:p w14:paraId="2FDFF831">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p>
              </w:tc>
              <w:tc>
                <w:tcPr>
                  <w:tcW w:w="1214" w:type="dxa"/>
                  <w:vAlign w:val="center"/>
                </w:tcPr>
                <w:p w14:paraId="1C3BB811">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烟气黑度</w:t>
                  </w:r>
                </w:p>
              </w:tc>
              <w:tc>
                <w:tcPr>
                  <w:tcW w:w="600" w:type="dxa"/>
                  <w:vMerge w:val="continue"/>
                  <w:vAlign w:val="center"/>
                </w:tcPr>
                <w:p w14:paraId="73BED332">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627" w:type="dxa"/>
                  <w:vMerge w:val="continue"/>
                  <w:vAlign w:val="center"/>
                </w:tcPr>
                <w:p w14:paraId="24B69A3A">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955" w:type="dxa"/>
                  <w:vMerge w:val="continue"/>
                  <w:vAlign w:val="center"/>
                </w:tcPr>
                <w:p w14:paraId="1C4BA94E">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p>
              </w:tc>
              <w:tc>
                <w:tcPr>
                  <w:tcW w:w="873" w:type="dxa"/>
                  <w:vMerge w:val="continue"/>
                  <w:vAlign w:val="center"/>
                </w:tcPr>
                <w:p w14:paraId="2BF80FF6">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615" w:type="dxa"/>
                  <w:vMerge w:val="continue"/>
                  <w:vAlign w:val="center"/>
                </w:tcPr>
                <w:p w14:paraId="0C83CD92">
                  <w:pPr>
                    <w:pStyle w:val="58"/>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Cs/>
                      <w:color w:val="auto"/>
                      <w:szCs w:val="21"/>
                      <w:highlight w:val="none"/>
                    </w:rPr>
                  </w:pPr>
                </w:p>
              </w:tc>
              <w:tc>
                <w:tcPr>
                  <w:tcW w:w="583" w:type="dxa"/>
                  <w:vMerge w:val="continue"/>
                  <w:vAlign w:val="center"/>
                </w:tcPr>
                <w:p w14:paraId="682A1632">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621" w:type="dxa"/>
                  <w:vMerge w:val="continue"/>
                  <w:vAlign w:val="center"/>
                </w:tcPr>
                <w:p w14:paraId="38578491">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c>
                <w:tcPr>
                  <w:tcW w:w="358" w:type="dxa"/>
                  <w:vMerge w:val="continue"/>
                  <w:vAlign w:val="center"/>
                </w:tcPr>
                <w:p w14:paraId="4A09C79F">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Cs w:val="21"/>
                      <w:highlight w:val="none"/>
                    </w:rPr>
                  </w:pPr>
                </w:p>
              </w:tc>
            </w:tr>
          </w:tbl>
          <w:p w14:paraId="1A83E57E">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8</w:t>
            </w:r>
            <w:r>
              <w:rPr>
                <w:rFonts w:hint="default" w:ascii="Times New Roman" w:hAnsi="Times New Roman" w:eastAsia="宋体" w:cs="Times New Roman"/>
                <w:color w:val="auto"/>
                <w:szCs w:val="24"/>
                <w:highlight w:val="none"/>
              </w:rPr>
              <w:t>）监测计划</w:t>
            </w:r>
          </w:p>
          <w:p w14:paraId="0B05F66E">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依据《排污单位自行监测技术指南总则》(HJ819-2017)及《排污许可证申请与核发技术规范工业炉窑》（HJ1121</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2020）确定本项目监测计划，具体见下表。</w:t>
            </w:r>
          </w:p>
          <w:p w14:paraId="40831D86">
            <w:pPr>
              <w:keepNext/>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表4-</w:t>
            </w:r>
            <w:r>
              <w:rPr>
                <w:rFonts w:hint="default" w:ascii="Times New Roman" w:hAnsi="Times New Roman" w:eastAsia="宋体" w:cs="Times New Roman"/>
                <w:b/>
                <w:color w:val="auto"/>
                <w:szCs w:val="21"/>
                <w:highlight w:val="none"/>
                <w:lang w:val="en-US" w:eastAsia="zh-CN"/>
              </w:rPr>
              <w:t>4</w:t>
            </w:r>
            <w:r>
              <w:rPr>
                <w:rFonts w:hint="default" w:ascii="Times New Roman" w:hAnsi="Times New Roman" w:eastAsia="宋体" w:cs="Times New Roman"/>
                <w:b/>
                <w:color w:val="auto"/>
                <w:szCs w:val="21"/>
                <w:highlight w:val="none"/>
              </w:rPr>
              <w:t>本项目污染源监测计划</w:t>
            </w:r>
          </w:p>
          <w:tbl>
            <w:tblPr>
              <w:tblStyle w:val="33"/>
              <w:tblW w:w="8043"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Layout w:type="fixed"/>
              <w:tblCellMar>
                <w:top w:w="0" w:type="dxa"/>
                <w:left w:w="68" w:type="dxa"/>
                <w:bottom w:w="0" w:type="dxa"/>
                <w:right w:w="68" w:type="dxa"/>
              </w:tblCellMar>
            </w:tblPr>
            <w:tblGrid>
              <w:gridCol w:w="659"/>
              <w:gridCol w:w="1191"/>
              <w:gridCol w:w="1200"/>
              <w:gridCol w:w="1078"/>
              <w:gridCol w:w="3915"/>
            </w:tblGrid>
            <w:tr w14:paraId="59CC3C14">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trHeight w:val="319" w:hRule="atLeast"/>
                <w:jc w:val="center"/>
              </w:trPr>
              <w:tc>
                <w:tcPr>
                  <w:tcW w:w="659" w:type="dxa"/>
                  <w:tcBorders>
                    <w:tl2br w:val="nil"/>
                    <w:tr2bl w:val="nil"/>
                  </w:tcBorders>
                  <w:vAlign w:val="center"/>
                </w:tcPr>
                <w:p w14:paraId="532A2D3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类型</w:t>
                  </w:r>
                </w:p>
              </w:tc>
              <w:tc>
                <w:tcPr>
                  <w:tcW w:w="1191" w:type="dxa"/>
                  <w:tcBorders>
                    <w:tl2br w:val="nil"/>
                    <w:tr2bl w:val="nil"/>
                  </w:tcBorders>
                  <w:vAlign w:val="center"/>
                </w:tcPr>
                <w:p w14:paraId="7D66EB87">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监测项目</w:t>
                  </w:r>
                </w:p>
              </w:tc>
              <w:tc>
                <w:tcPr>
                  <w:tcW w:w="1200" w:type="dxa"/>
                  <w:tcBorders>
                    <w:tl2br w:val="nil"/>
                    <w:tr2bl w:val="nil"/>
                  </w:tcBorders>
                  <w:vAlign w:val="center"/>
                </w:tcPr>
                <w:p w14:paraId="3B8659B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w:t>
                  </w:r>
                </w:p>
              </w:tc>
              <w:tc>
                <w:tcPr>
                  <w:tcW w:w="1078" w:type="dxa"/>
                  <w:tcBorders>
                    <w:tl2br w:val="nil"/>
                    <w:tr2bl w:val="nil"/>
                  </w:tcBorders>
                  <w:vAlign w:val="center"/>
                </w:tcPr>
                <w:p w14:paraId="517B02E7">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监测频率</w:t>
                  </w:r>
                </w:p>
              </w:tc>
              <w:tc>
                <w:tcPr>
                  <w:tcW w:w="3915" w:type="dxa"/>
                  <w:tcBorders>
                    <w:tl2br w:val="nil"/>
                    <w:tr2bl w:val="nil"/>
                  </w:tcBorders>
                  <w:vAlign w:val="center"/>
                </w:tcPr>
                <w:p w14:paraId="5D454DA1">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r>
            <w:tr w14:paraId="50FA5BC3">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trHeight w:val="601" w:hRule="atLeast"/>
                <w:jc w:val="center"/>
              </w:trPr>
              <w:tc>
                <w:tcPr>
                  <w:tcW w:w="659" w:type="dxa"/>
                  <w:vMerge w:val="restart"/>
                  <w:tcBorders>
                    <w:tl2br w:val="nil"/>
                    <w:tr2bl w:val="nil"/>
                  </w:tcBorders>
                  <w:vAlign w:val="center"/>
                </w:tcPr>
                <w:p w14:paraId="16548A1F">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191" w:type="dxa"/>
                  <w:tcBorders>
                    <w:tl2br w:val="nil"/>
                    <w:tr2bl w:val="nil"/>
                  </w:tcBorders>
                  <w:vAlign w:val="center"/>
                </w:tcPr>
                <w:p w14:paraId="27F01B0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rPr>
                    <w:t>、烟气黑度</w:t>
                  </w:r>
                </w:p>
              </w:tc>
              <w:tc>
                <w:tcPr>
                  <w:tcW w:w="1200" w:type="dxa"/>
                  <w:vMerge w:val="restart"/>
                  <w:tcBorders>
                    <w:tl2br w:val="nil"/>
                    <w:tr2bl w:val="nil"/>
                  </w:tcBorders>
                  <w:vAlign w:val="center"/>
                </w:tcPr>
                <w:p w14:paraId="10DC8BF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热风炉烟囱（</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p>
              </w:tc>
              <w:tc>
                <w:tcPr>
                  <w:tcW w:w="1078" w:type="dxa"/>
                  <w:tcBorders>
                    <w:tl2br w:val="nil"/>
                    <w:tr2bl w:val="nil"/>
                  </w:tcBorders>
                  <w:vAlign w:val="center"/>
                </w:tcPr>
                <w:p w14:paraId="65BAF28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3915" w:type="dxa"/>
                  <w:tcBorders>
                    <w:tl2br w:val="nil"/>
                    <w:tr2bl w:val="nil"/>
                  </w:tcBorders>
                  <w:vAlign w:val="center"/>
                </w:tcPr>
                <w:p w14:paraId="501BACE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《工业炉窑大气污染物排放标准》（GB9078-1996）表2二级标准</w:t>
                  </w:r>
                </w:p>
              </w:tc>
            </w:tr>
            <w:tr w14:paraId="59ACC55B">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trHeight w:val="90" w:hRule="atLeast"/>
                <w:jc w:val="center"/>
              </w:trPr>
              <w:tc>
                <w:tcPr>
                  <w:tcW w:w="659" w:type="dxa"/>
                  <w:vMerge w:val="continue"/>
                  <w:tcBorders>
                    <w:tl2br w:val="nil"/>
                    <w:tr2bl w:val="nil"/>
                  </w:tcBorders>
                  <w:vAlign w:val="center"/>
                </w:tcPr>
                <w:p w14:paraId="0B8466ED">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191" w:type="dxa"/>
                  <w:tcBorders>
                    <w:tl2br w:val="nil"/>
                    <w:tr2bl w:val="nil"/>
                  </w:tcBorders>
                  <w:vAlign w:val="center"/>
                </w:tcPr>
                <w:p w14:paraId="1B9B705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200" w:type="dxa"/>
                  <w:vMerge w:val="continue"/>
                  <w:tcBorders>
                    <w:tl2br w:val="nil"/>
                    <w:tr2bl w:val="nil"/>
                  </w:tcBorders>
                  <w:vAlign w:val="center"/>
                </w:tcPr>
                <w:p w14:paraId="03236555">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078" w:type="dxa"/>
                  <w:tcBorders>
                    <w:tl2br w:val="nil"/>
                    <w:tr2bl w:val="nil"/>
                  </w:tcBorders>
                  <w:vAlign w:val="center"/>
                </w:tcPr>
                <w:p w14:paraId="181F93D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3915" w:type="dxa"/>
                  <w:tcBorders>
                    <w:tl2br w:val="nil"/>
                    <w:tr2bl w:val="nil"/>
                  </w:tcBorders>
                  <w:vAlign w:val="center"/>
                </w:tcPr>
                <w:p w14:paraId="50D2027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《工业炉窑大气污染物排放标准》（GB9078-1996）表4二级标准</w:t>
                  </w:r>
                </w:p>
              </w:tc>
            </w:tr>
            <w:tr w14:paraId="4F067CB4">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trHeight w:val="90" w:hRule="atLeast"/>
                <w:jc w:val="center"/>
              </w:trPr>
              <w:tc>
                <w:tcPr>
                  <w:tcW w:w="659" w:type="dxa"/>
                  <w:vMerge w:val="continue"/>
                  <w:tcBorders>
                    <w:tl2br w:val="nil"/>
                    <w:tr2bl w:val="nil"/>
                  </w:tcBorders>
                  <w:vAlign w:val="center"/>
                </w:tcPr>
                <w:p w14:paraId="5DA8653F">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191" w:type="dxa"/>
                  <w:tcBorders>
                    <w:tl2br w:val="nil"/>
                    <w:tr2bl w:val="nil"/>
                  </w:tcBorders>
                  <w:vAlign w:val="center"/>
                </w:tcPr>
                <w:p w14:paraId="047389C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p>
              </w:tc>
              <w:tc>
                <w:tcPr>
                  <w:tcW w:w="1200" w:type="dxa"/>
                  <w:vMerge w:val="continue"/>
                  <w:tcBorders>
                    <w:tl2br w:val="nil"/>
                    <w:tr2bl w:val="nil"/>
                  </w:tcBorders>
                  <w:vAlign w:val="center"/>
                </w:tcPr>
                <w:p w14:paraId="3FC65FCD">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078" w:type="dxa"/>
                  <w:tcBorders>
                    <w:tl2br w:val="nil"/>
                    <w:tr2bl w:val="nil"/>
                  </w:tcBorders>
                  <w:vAlign w:val="center"/>
                </w:tcPr>
                <w:p w14:paraId="0E98F1F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w:t>
                  </w:r>
                  <w:r>
                    <w:rPr>
                      <w:rFonts w:hint="default" w:ascii="Times New Roman" w:hAnsi="Times New Roman" w:eastAsia="宋体" w:cs="Times New Roman"/>
                      <w:color w:val="auto"/>
                      <w:sz w:val="21"/>
                      <w:szCs w:val="21"/>
                      <w:highlight w:val="none"/>
                      <w:lang w:val="en-US" w:eastAsia="zh-CN"/>
                    </w:rPr>
                    <w:t>月</w:t>
                  </w:r>
                </w:p>
              </w:tc>
              <w:tc>
                <w:tcPr>
                  <w:tcW w:w="3915" w:type="dxa"/>
                  <w:tcBorders>
                    <w:tl2br w:val="nil"/>
                    <w:tr2bl w:val="nil"/>
                  </w:tcBorders>
                  <w:vAlign w:val="center"/>
                </w:tcPr>
                <w:p w14:paraId="07FFE48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D3282C5">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cantSplit/>
                <w:trHeight w:val="381" w:hRule="atLeast"/>
                <w:jc w:val="center"/>
              </w:trPr>
              <w:tc>
                <w:tcPr>
                  <w:tcW w:w="659" w:type="dxa"/>
                  <w:vMerge w:val="continue"/>
                  <w:tcBorders>
                    <w:tl2br w:val="nil"/>
                    <w:tr2bl w:val="nil"/>
                  </w:tcBorders>
                  <w:vAlign w:val="center"/>
                </w:tcPr>
                <w:p w14:paraId="7FCA3813">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191" w:type="dxa"/>
                  <w:tcBorders>
                    <w:tl2br w:val="nil"/>
                    <w:tr2bl w:val="nil"/>
                  </w:tcBorders>
                  <w:vAlign w:val="center"/>
                </w:tcPr>
                <w:p w14:paraId="7907D44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200" w:type="dxa"/>
                  <w:tcBorders>
                    <w:tl2br w:val="nil"/>
                    <w:tr2bl w:val="nil"/>
                  </w:tcBorders>
                  <w:vAlign w:val="center"/>
                </w:tcPr>
                <w:p w14:paraId="633A20A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厂界上、下风向</w:t>
                  </w:r>
                </w:p>
              </w:tc>
              <w:tc>
                <w:tcPr>
                  <w:tcW w:w="1078" w:type="dxa"/>
                  <w:tcBorders>
                    <w:tl2br w:val="nil"/>
                    <w:tr2bl w:val="nil"/>
                  </w:tcBorders>
                  <w:vAlign w:val="center"/>
                </w:tcPr>
                <w:p w14:paraId="285482A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1次/</w:t>
                  </w:r>
                  <w:r>
                    <w:rPr>
                      <w:rFonts w:hint="eastAsia" w:cs="Times New Roman"/>
                      <w:color w:val="auto"/>
                      <w:sz w:val="21"/>
                      <w:szCs w:val="21"/>
                      <w:highlight w:val="none"/>
                      <w:lang w:val="en-US" w:eastAsia="zh-CN"/>
                    </w:rPr>
                    <w:t>年</w:t>
                  </w:r>
                </w:p>
              </w:tc>
              <w:tc>
                <w:tcPr>
                  <w:tcW w:w="3915" w:type="dxa"/>
                  <w:tcBorders>
                    <w:tl2br w:val="nil"/>
                    <w:tr2bl w:val="nil"/>
                  </w:tcBorders>
                  <w:vAlign w:val="center"/>
                </w:tcPr>
                <w:p w14:paraId="15736B5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《大气污染物综合排放标准》（GB16297-1996）表2无组织排放监控浓度限值标准</w:t>
                  </w:r>
                </w:p>
              </w:tc>
            </w:tr>
            <w:tr w14:paraId="2133E154">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68" w:type="dxa"/>
                  <w:bottom w:w="0" w:type="dxa"/>
                  <w:right w:w="68" w:type="dxa"/>
                </w:tblCellMar>
              </w:tblPrEx>
              <w:trPr>
                <w:cantSplit/>
                <w:trHeight w:val="381" w:hRule="atLeast"/>
                <w:jc w:val="center"/>
              </w:trPr>
              <w:tc>
                <w:tcPr>
                  <w:tcW w:w="659" w:type="dxa"/>
                  <w:vMerge w:val="continue"/>
                  <w:tcBorders>
                    <w:tl2br w:val="nil"/>
                    <w:tr2bl w:val="nil"/>
                  </w:tcBorders>
                  <w:vAlign w:val="center"/>
                </w:tcPr>
                <w:p w14:paraId="432A0DCE">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1191" w:type="dxa"/>
                  <w:tcBorders>
                    <w:tl2br w:val="nil"/>
                    <w:tr2bl w:val="nil"/>
                  </w:tcBorders>
                  <w:vAlign w:val="center"/>
                </w:tcPr>
                <w:p w14:paraId="6F9C18B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c>
                <w:tcPr>
                  <w:tcW w:w="1200" w:type="dxa"/>
                  <w:tcBorders>
                    <w:tl2br w:val="nil"/>
                    <w:tr2bl w:val="nil"/>
                  </w:tcBorders>
                  <w:vAlign w:val="center"/>
                </w:tcPr>
                <w:p w14:paraId="21235B1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热风炉窑旁</w:t>
                  </w:r>
                </w:p>
              </w:tc>
              <w:tc>
                <w:tcPr>
                  <w:tcW w:w="1078" w:type="dxa"/>
                  <w:tcBorders>
                    <w:tl2br w:val="nil"/>
                    <w:tr2bl w:val="nil"/>
                  </w:tcBorders>
                  <w:vAlign w:val="center"/>
                </w:tcPr>
                <w:p w14:paraId="35A528B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3915" w:type="dxa"/>
                  <w:tcBorders>
                    <w:tl2br w:val="nil"/>
                    <w:tr2bl w:val="nil"/>
                  </w:tcBorders>
                  <w:vAlign w:val="center"/>
                </w:tcPr>
                <w:p w14:paraId="3DBAEF7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《工业炉窑大气污染物排放标准》（GB9078-1996）表</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标准</w:t>
                  </w:r>
                </w:p>
              </w:tc>
            </w:tr>
          </w:tbl>
          <w:p w14:paraId="10680200">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（二）污染治理措施</w:t>
            </w:r>
            <w:r>
              <w:rPr>
                <w:rFonts w:hint="default" w:ascii="Times New Roman" w:hAnsi="Times New Roman" w:eastAsia="宋体" w:cs="Times New Roman"/>
                <w:color w:val="auto"/>
                <w:szCs w:val="24"/>
                <w:highlight w:val="none"/>
                <w:lang w:val="en-US" w:eastAsia="zh-CN"/>
              </w:rPr>
              <w:t>可行性</w:t>
            </w:r>
            <w:r>
              <w:rPr>
                <w:rFonts w:hint="default" w:ascii="Times New Roman" w:hAnsi="Times New Roman" w:eastAsia="宋体" w:cs="Times New Roman"/>
                <w:color w:val="auto"/>
                <w:szCs w:val="24"/>
                <w:highlight w:val="none"/>
                <w:lang w:bidi="ar"/>
              </w:rPr>
              <w:t>及环境影响分析</w:t>
            </w:r>
          </w:p>
          <w:p w14:paraId="750754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本项目建成后产生的废气主要包括无组织排放废气主要为装卸、输送废气，筛选工段废气，烘干工段废气。有组织排放的热风炉废气。</w:t>
            </w:r>
          </w:p>
          <w:p w14:paraId="154C0C7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本项目灰渣存放在热风炉房</w:t>
            </w:r>
            <w:r>
              <w:rPr>
                <w:rFonts w:hint="eastAsia" w:cs="Times New Roman"/>
                <w:color w:val="auto"/>
                <w:sz w:val="24"/>
                <w:highlight w:val="none"/>
                <w:lang w:eastAsia="zh-CN"/>
              </w:rPr>
              <w:t>灰渣间</w:t>
            </w:r>
            <w:r>
              <w:rPr>
                <w:rFonts w:hint="default" w:ascii="Times New Roman" w:hAnsi="Times New Roman" w:eastAsia="宋体" w:cs="Times New Roman"/>
                <w:color w:val="auto"/>
                <w:sz w:val="24"/>
                <w:highlight w:val="none"/>
              </w:rPr>
              <w:t>内，密闭存放，及时清运处理，不会产生污染</w:t>
            </w:r>
            <w:r>
              <w:rPr>
                <w:rFonts w:hint="eastAsia" w:cs="Times New Roman"/>
                <w:color w:val="auto"/>
                <w:sz w:val="24"/>
                <w:highlight w:val="none"/>
                <w:lang w:eastAsia="zh-CN"/>
              </w:rPr>
              <w:t>。</w:t>
            </w:r>
          </w:p>
          <w:p w14:paraId="4A1F01D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①无组织废气</w:t>
            </w:r>
          </w:p>
          <w:p w14:paraId="2F0AA707">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本项目所用提升、输送设备为密闭设备，原粮及烘干后的玉米、水稻均采用密闭输送设备输送，运行过程需加强输送设备的管理，做好设备密封工作，定期检修；</w:t>
            </w:r>
            <w:r>
              <w:rPr>
                <w:rFonts w:hint="default" w:ascii="Times New Roman" w:hAnsi="Times New Roman" w:eastAsia="宋体" w:cs="Times New Roman"/>
                <w:color w:val="auto"/>
                <w:sz w:val="24"/>
                <w:highlight w:val="none"/>
              </w:rPr>
              <w:t>废气污染源主要为卸粮工序产生的废气，烘干塔废气和热风炉烟气。</w:t>
            </w:r>
          </w:p>
          <w:p w14:paraId="020CA4B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原粮卸粮过程中会产生粉尘，由于卸粮粉尘绝大多数将受到重力的作用回落到地面，采取减小装卸高度、密闭输送等降尘措施；</w:t>
            </w:r>
            <w:r>
              <w:rPr>
                <w:rFonts w:hint="default" w:ascii="Times New Roman" w:hAnsi="Times New Roman" w:eastAsia="宋体" w:cs="Times New Roman"/>
                <w:color w:val="auto"/>
                <w:szCs w:val="24"/>
                <w:highlight w:val="none"/>
                <w:lang w:val="en-US" w:eastAsia="zh-CN"/>
              </w:rPr>
              <w:t>采用密闭式设备，</w:t>
            </w:r>
            <w:r>
              <w:rPr>
                <w:rFonts w:hint="default" w:ascii="Times New Roman" w:hAnsi="Times New Roman" w:eastAsia="宋体" w:cs="Times New Roman"/>
                <w:color w:val="auto"/>
                <w:szCs w:val="24"/>
                <w:highlight w:val="none"/>
              </w:rPr>
              <w:t>烘干塔塔体两侧排气孔设置折流挡板，塔顶排气孔滤尘网过滤能有效控制大粒径粉尘的排放</w:t>
            </w:r>
            <w:r>
              <w:rPr>
                <w:rFonts w:hint="eastAsia" w:cs="Times New Roman"/>
                <w:color w:val="auto"/>
                <w:szCs w:val="24"/>
                <w:highlight w:val="none"/>
                <w:lang w:eastAsia="zh-CN"/>
              </w:rPr>
              <w:t>；</w:t>
            </w:r>
            <w:r>
              <w:rPr>
                <w:rFonts w:hint="eastAsia" w:cs="Times New Roman"/>
                <w:color w:val="auto"/>
                <w:szCs w:val="24"/>
                <w:highlight w:val="none"/>
                <w:lang w:val="en-US" w:eastAsia="zh-CN"/>
              </w:rPr>
              <w:t>原料堆场表面苫盖，设置防风抑尘网。</w:t>
            </w:r>
            <w:r>
              <w:rPr>
                <w:rFonts w:hint="default" w:ascii="Times New Roman" w:hAnsi="Times New Roman" w:eastAsia="宋体" w:cs="Times New Roman"/>
                <w:color w:val="auto"/>
                <w:szCs w:val="24"/>
                <w:highlight w:val="none"/>
              </w:rPr>
              <w:t>采取以上措施后可使无组织粉尘排放满足《大气污染物综合排放标准》（GB16297-1996）表2中颗粒物无组织排放监控浓度限值要求</w:t>
            </w:r>
            <w:r>
              <w:rPr>
                <w:rFonts w:hint="default" w:ascii="Times New Roman" w:hAnsi="Times New Roman" w:eastAsia="宋体" w:cs="Times New Roman"/>
                <w:color w:val="auto"/>
                <w:kern w:val="0"/>
                <w:sz w:val="24"/>
                <w:highlight w:val="none"/>
                <w:lang w:bidi="ar"/>
              </w:rPr>
              <w:t>；炉窑周边无组织颗粒物满足《</w:t>
            </w:r>
            <w:r>
              <w:rPr>
                <w:rFonts w:hint="eastAsia" w:cs="Times New Roman"/>
                <w:color w:val="auto"/>
                <w:kern w:val="0"/>
                <w:sz w:val="24"/>
                <w:highlight w:val="none"/>
                <w:lang w:eastAsia="zh-CN" w:bidi="ar"/>
              </w:rPr>
              <w:t>工业炉窑大气污染物排放标准</w:t>
            </w:r>
            <w:r>
              <w:rPr>
                <w:rFonts w:hint="default" w:ascii="Times New Roman" w:hAnsi="Times New Roman" w:eastAsia="宋体" w:cs="Times New Roman"/>
                <w:color w:val="auto"/>
                <w:kern w:val="0"/>
                <w:sz w:val="24"/>
                <w:highlight w:val="none"/>
                <w:lang w:bidi="ar"/>
              </w:rPr>
              <w:t>》（GB9078-1996）表3标准限值。</w:t>
            </w:r>
          </w:p>
          <w:p w14:paraId="145FA842">
            <w:pPr>
              <w:pStyle w:val="56"/>
              <w:keepNext w:val="0"/>
              <w:keepLines w:val="0"/>
              <w:suppressLineNumbers w:val="0"/>
              <w:spacing w:before="0" w:beforeAutospacing="0" w:after="0" w:afterAutospacing="0" w:line="360" w:lineRule="auto"/>
              <w:ind w:left="0" w:right="0" w:firstLine="480"/>
              <w:rPr>
                <w:rFonts w:hint="default"/>
                <w:color w:val="auto"/>
                <w:highlight w:val="none"/>
              </w:rPr>
            </w:pPr>
            <w:r>
              <w:rPr>
                <w:rFonts w:hint="default" w:ascii="Times New Roman" w:hAnsi="Times New Roman" w:eastAsia="宋体" w:cs="Times New Roman"/>
                <w:color w:val="auto"/>
                <w:sz w:val="24"/>
                <w:szCs w:val="24"/>
                <w:highlight w:val="none"/>
              </w:rPr>
              <w:t>根据《排污许可证申请与核发技术规范工业炉窑》(HJ1121-2020)要求：严格控制工业炉窑生产工艺过程及相关物料储存、输送等无组织排放，在保障生产安全的前提下，采取密闭、封闭等有效措施，有效提高废气收集率，产尘点及车间不得有可见烟粉尘外逸。本工程灰渣</w:t>
            </w:r>
            <w:r>
              <w:rPr>
                <w:rFonts w:hint="default" w:ascii="Times New Roman" w:hAnsi="Times New Roman" w:eastAsia="宋体" w:cs="Times New Roman"/>
                <w:color w:val="auto"/>
                <w:sz w:val="24"/>
                <w:szCs w:val="24"/>
                <w:highlight w:val="none"/>
                <w:lang w:val="en-US" w:eastAsia="zh-CN"/>
              </w:rPr>
              <w:t>密闭存放，</w:t>
            </w:r>
            <w:r>
              <w:rPr>
                <w:rFonts w:hint="default" w:ascii="Times New Roman" w:hAnsi="Times New Roman" w:eastAsia="宋体" w:cs="Times New Roman"/>
                <w:color w:val="auto"/>
                <w:sz w:val="24"/>
                <w:highlight w:val="none"/>
                <w:lang w:val="en-US" w:eastAsia="zh-CN"/>
              </w:rPr>
              <w:t>提升、输送、设备均为密闭设备，</w:t>
            </w:r>
            <w:r>
              <w:rPr>
                <w:rFonts w:hint="default" w:ascii="Times New Roman" w:hAnsi="Times New Roman" w:eastAsia="宋体" w:cs="Times New Roman"/>
                <w:color w:val="auto"/>
                <w:szCs w:val="24"/>
                <w:highlight w:val="none"/>
              </w:rPr>
              <w:t>采取减小装卸高度、密闭输送等降尘措施</w:t>
            </w:r>
            <w:r>
              <w:rPr>
                <w:rFonts w:hint="default" w:ascii="Times New Roman" w:hAnsi="Times New Roman" w:eastAsia="宋体" w:cs="Times New Roman"/>
                <w:color w:val="auto"/>
                <w:szCs w:val="24"/>
                <w:highlight w:val="none"/>
                <w:lang w:eastAsia="zh-CN"/>
              </w:rPr>
              <w:t>，</w:t>
            </w:r>
            <w:r>
              <w:rPr>
                <w:rFonts w:hint="default" w:ascii="Times New Roman" w:hAnsi="Times New Roman" w:eastAsia="宋体" w:cs="Times New Roman"/>
                <w:color w:val="auto"/>
                <w:szCs w:val="24"/>
                <w:highlight w:val="none"/>
              </w:rPr>
              <w:t>烘干塔塔体两侧排气孔设置折流挡板，塔顶排气孔</w:t>
            </w:r>
            <w:r>
              <w:rPr>
                <w:rFonts w:hint="default" w:ascii="Times New Roman" w:hAnsi="Times New Roman" w:eastAsia="宋体" w:cs="Times New Roman"/>
                <w:color w:val="auto"/>
                <w:szCs w:val="24"/>
                <w:highlight w:val="none"/>
                <w:lang w:val="en-US" w:eastAsia="zh-CN"/>
              </w:rPr>
              <w:t>设</w:t>
            </w:r>
            <w:r>
              <w:rPr>
                <w:rFonts w:hint="default" w:ascii="Times New Roman" w:hAnsi="Times New Roman" w:eastAsia="宋体" w:cs="Times New Roman"/>
                <w:color w:val="auto"/>
                <w:szCs w:val="24"/>
                <w:highlight w:val="none"/>
              </w:rPr>
              <w:t>滤尘网</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Cs w:val="24"/>
                <w:highlight w:val="none"/>
              </w:rPr>
              <w:t>以上措施</w:t>
            </w:r>
            <w:r>
              <w:rPr>
                <w:rFonts w:hint="default" w:ascii="Times New Roman" w:hAnsi="Times New Roman" w:eastAsia="宋体" w:cs="Times New Roman"/>
                <w:color w:val="auto"/>
                <w:sz w:val="24"/>
                <w:szCs w:val="24"/>
                <w:highlight w:val="none"/>
              </w:rPr>
              <w:t>符合《排污许可证申请与核发技术规范工业炉窑》(HJ1121-2020)无组织粉尘处置的可行技术</w:t>
            </w:r>
            <w:r>
              <w:rPr>
                <w:rFonts w:hint="default" w:ascii="Times New Roman" w:hAnsi="Times New Roman" w:eastAsia="宋体" w:cs="Times New Roman"/>
                <w:bCs/>
                <w:color w:val="auto"/>
                <w:spacing w:val="-10"/>
                <w:sz w:val="24"/>
                <w:szCs w:val="24"/>
                <w:highlight w:val="none"/>
              </w:rPr>
              <w:t>。</w:t>
            </w:r>
          </w:p>
          <w:p w14:paraId="469D2E09">
            <w:pPr>
              <w:pStyle w:val="31"/>
              <w:keepNext w:val="0"/>
              <w:keepLines w:val="0"/>
              <w:suppressLineNumbers w:val="0"/>
              <w:spacing w:before="0" w:beforeAutospacing="0" w:afterAutospacing="0"/>
              <w:ind w:left="0" w:right="0" w:firstLine="480" w:firstLineChars="200"/>
              <w:rPr>
                <w:rFonts w:hint="default" w:eastAsia="宋体"/>
                <w:color w:val="auto"/>
                <w:highlight w:val="none"/>
                <w:lang w:val="en-US" w:eastAsia="zh-CN"/>
              </w:rPr>
            </w:pPr>
            <w:r>
              <w:rPr>
                <w:rFonts w:hint="eastAsia" w:cs="Times New Roman"/>
                <w:color w:val="auto"/>
                <w:sz w:val="24"/>
                <w:highlight w:val="none"/>
                <w:lang w:val="en-US" w:eastAsia="zh-CN"/>
              </w:rPr>
              <w:t>②有组织废气</w:t>
            </w:r>
          </w:p>
          <w:p w14:paraId="7320D2B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本项目热风炉烟气经过布袋除尘器（除尘效率</w:t>
            </w:r>
            <w:r>
              <w:rPr>
                <w:rFonts w:hint="eastAsia" w:cs="Times New Roman"/>
                <w:color w:val="auto"/>
                <w:kern w:val="0"/>
                <w:sz w:val="24"/>
                <w:highlight w:val="none"/>
                <w:lang w:eastAsia="zh-CN" w:bidi="ar"/>
              </w:rPr>
              <w:t>99.5%</w:t>
            </w:r>
            <w:r>
              <w:rPr>
                <w:rFonts w:hint="default" w:ascii="Times New Roman" w:hAnsi="Times New Roman" w:eastAsia="宋体" w:cs="Times New Roman"/>
                <w:color w:val="auto"/>
                <w:kern w:val="0"/>
                <w:sz w:val="24"/>
                <w:highlight w:val="none"/>
                <w:lang w:bidi="ar"/>
              </w:rPr>
              <w:t>）处理后</w:t>
            </w:r>
            <w:r>
              <w:rPr>
                <w:rFonts w:hint="default" w:ascii="Times New Roman" w:hAnsi="Times New Roman" w:eastAsia="宋体" w:cs="Times New Roman"/>
                <w:color w:val="auto"/>
                <w:sz w:val="24"/>
                <w:highlight w:val="none"/>
              </w:rPr>
              <w:t>由</w:t>
            </w:r>
            <w:r>
              <w:rPr>
                <w:rFonts w:hint="default" w:ascii="Times New Roman" w:hAnsi="Times New Roman" w:eastAsia="宋体" w:cs="Times New Roman"/>
                <w:color w:val="auto"/>
                <w:kern w:val="0"/>
                <w:sz w:val="24"/>
                <w:highlight w:val="none"/>
                <w:lang w:bidi="ar"/>
              </w:rPr>
              <w:t>1根</w:t>
            </w:r>
            <w:r>
              <w:rPr>
                <w:rFonts w:hint="eastAsia" w:cs="Times New Roman"/>
                <w:color w:val="auto"/>
                <w:kern w:val="0"/>
                <w:sz w:val="24"/>
                <w:highlight w:val="none"/>
                <w:lang w:val="en-US" w:eastAsia="zh-CN" w:bidi="ar"/>
              </w:rPr>
              <w:t>30</w:t>
            </w:r>
            <w:r>
              <w:rPr>
                <w:rFonts w:hint="default" w:ascii="Times New Roman" w:hAnsi="Times New Roman" w:eastAsia="宋体" w:cs="Times New Roman"/>
                <w:color w:val="auto"/>
                <w:kern w:val="0"/>
                <w:sz w:val="24"/>
                <w:highlight w:val="none"/>
                <w:lang w:eastAsia="zh-CN" w:bidi="ar"/>
              </w:rPr>
              <w:t>m</w:t>
            </w:r>
            <w:r>
              <w:rPr>
                <w:rFonts w:hint="default" w:ascii="Times New Roman" w:hAnsi="Times New Roman" w:eastAsia="宋体" w:cs="Times New Roman"/>
                <w:color w:val="auto"/>
                <w:kern w:val="0"/>
                <w:sz w:val="24"/>
                <w:highlight w:val="none"/>
                <w:lang w:bidi="ar"/>
              </w:rPr>
              <w:t>高烟囱（</w:t>
            </w:r>
            <w:r>
              <w:rPr>
                <w:rFonts w:hint="eastAsia" w:cs="Times New Roman"/>
                <w:color w:val="auto"/>
                <w:kern w:val="0"/>
                <w:sz w:val="24"/>
                <w:highlight w:val="none"/>
                <w:lang w:eastAsia="zh-CN" w:bidi="ar"/>
              </w:rPr>
              <w:t>DA00</w:t>
            </w:r>
            <w:r>
              <w:rPr>
                <w:rFonts w:hint="eastAsia" w:cs="Times New Roman"/>
                <w:color w:val="auto"/>
                <w:kern w:val="0"/>
                <w:sz w:val="24"/>
                <w:highlight w:val="none"/>
                <w:lang w:val="en-US" w:eastAsia="zh-CN" w:bidi="ar"/>
              </w:rPr>
              <w:t>1</w:t>
            </w:r>
            <w:r>
              <w:rPr>
                <w:rFonts w:hint="default" w:ascii="Times New Roman" w:hAnsi="Times New Roman" w:eastAsia="宋体" w:cs="Times New Roman"/>
                <w:color w:val="auto"/>
                <w:kern w:val="0"/>
                <w:sz w:val="24"/>
                <w:highlight w:val="none"/>
                <w:lang w:bidi="ar"/>
              </w:rPr>
              <w:t>）排放，经处理后热风炉烟气中烟尘和烟气黑度排放浓度可以满足《工业炉窑大气污染物排放标准》（GB9078-1996）表2中二级标准要求，SO</w:t>
            </w:r>
            <w:r>
              <w:rPr>
                <w:rFonts w:hint="default" w:ascii="Times New Roman" w:hAnsi="Times New Roman" w:eastAsia="宋体" w:cs="Times New Roman"/>
                <w:color w:val="auto"/>
                <w:kern w:val="0"/>
                <w:sz w:val="16"/>
                <w:szCs w:val="16"/>
                <w:highlight w:val="none"/>
                <w:vertAlign w:val="baseline"/>
                <w:lang w:val="en-US" w:eastAsia="zh-CN" w:bidi="ar"/>
              </w:rPr>
              <w:t>2</w:t>
            </w:r>
            <w:r>
              <w:rPr>
                <w:rFonts w:hint="default" w:ascii="Times New Roman" w:hAnsi="Times New Roman" w:eastAsia="宋体" w:cs="Times New Roman"/>
                <w:color w:val="auto"/>
                <w:kern w:val="0"/>
                <w:sz w:val="24"/>
                <w:highlight w:val="none"/>
                <w:lang w:bidi="ar"/>
              </w:rPr>
              <w:t>排放浓度可以满足《工业炉窑大气污染物排放标准》（GB9078-1996）表4中二级标准要求。</w:t>
            </w:r>
          </w:p>
          <w:p w14:paraId="781B6B80">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对照</w:t>
            </w:r>
            <w:r>
              <w:rPr>
                <w:rFonts w:hint="default" w:ascii="Times New Roman" w:hAnsi="Times New Roman" w:eastAsia="宋体" w:cs="Times New Roman"/>
                <w:color w:val="auto"/>
                <w:szCs w:val="24"/>
                <w:highlight w:val="none"/>
              </w:rPr>
              <w:t>《排污许可证申请与核发技术规范工业炉窑》（HJ1121</w:t>
            </w:r>
            <w:r>
              <w:rPr>
                <w:rFonts w:hint="eastAsia" w:cs="Times New Roman"/>
                <w:color w:val="auto"/>
                <w:szCs w:val="24"/>
                <w:highlight w:val="none"/>
                <w:lang w:val="en-US" w:eastAsia="zh-CN"/>
              </w:rPr>
              <w:t>-</w:t>
            </w:r>
            <w:r>
              <w:rPr>
                <w:rFonts w:hint="default" w:ascii="Times New Roman" w:hAnsi="Times New Roman" w:eastAsia="宋体" w:cs="Times New Roman"/>
                <w:color w:val="auto"/>
                <w:szCs w:val="24"/>
                <w:highlight w:val="none"/>
              </w:rPr>
              <w:t>2020）可知，本项目处理热风炉烟气采用的布袋除尘器为袋式除尘器，为其附录A“表A.1废气可行性技术参考表”中的可行技术，即本项目采用布袋除尘器处理可行</w:t>
            </w:r>
            <w:r>
              <w:rPr>
                <w:rFonts w:hint="default" w:ascii="Times New Roman" w:hAnsi="Times New Roman" w:eastAsia="宋体" w:cs="Times New Roman"/>
                <w:color w:val="auto"/>
                <w:highlight w:val="none"/>
              </w:rPr>
              <w:t>。</w:t>
            </w:r>
          </w:p>
          <w:p w14:paraId="3868350B">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综上所述，本项目采取的污染防治措施是可行的，产生的大气污染物经上述污染防治措施处理后</w:t>
            </w:r>
            <w:r>
              <w:rPr>
                <w:rFonts w:hint="default" w:ascii="Times New Roman" w:hAnsi="Times New Roman" w:eastAsia="宋体" w:cs="Times New Roman"/>
                <w:color w:val="auto"/>
                <w:szCs w:val="24"/>
                <w:highlight w:val="none"/>
                <w:lang w:val="en-US" w:eastAsia="zh-CN"/>
              </w:rPr>
              <w:t>均可达标排放，</w:t>
            </w:r>
            <w:r>
              <w:rPr>
                <w:rFonts w:hint="default" w:ascii="Times New Roman" w:hAnsi="Times New Roman" w:eastAsia="宋体" w:cs="Times New Roman"/>
                <w:color w:val="auto"/>
                <w:szCs w:val="24"/>
                <w:highlight w:val="none"/>
              </w:rPr>
              <w:t>对周围</w:t>
            </w:r>
            <w:r>
              <w:rPr>
                <w:rFonts w:hint="default" w:ascii="Times New Roman" w:hAnsi="Times New Roman" w:eastAsia="宋体" w:cs="Times New Roman"/>
                <w:color w:val="auto"/>
                <w:szCs w:val="24"/>
                <w:highlight w:val="none"/>
                <w:lang w:val="en-US" w:eastAsia="zh-CN"/>
              </w:rPr>
              <w:t>大气环境保护目标</w:t>
            </w:r>
            <w:r>
              <w:rPr>
                <w:rFonts w:hint="default" w:ascii="Times New Roman" w:hAnsi="Times New Roman" w:eastAsia="宋体" w:cs="Times New Roman"/>
                <w:color w:val="auto"/>
                <w:szCs w:val="24"/>
                <w:highlight w:val="none"/>
              </w:rPr>
              <w:t>产生的影响较小，可以接受。</w:t>
            </w:r>
          </w:p>
          <w:p w14:paraId="367138E7">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lang w:val="en-US" w:eastAsia="zh-CN"/>
              </w:rPr>
              <w:t>（三）</w:t>
            </w:r>
            <w:r>
              <w:rPr>
                <w:rFonts w:hint="default" w:ascii="Times New Roman" w:hAnsi="Times New Roman" w:eastAsia="宋体" w:cs="Times New Roman"/>
                <w:color w:val="auto"/>
                <w:sz w:val="24"/>
                <w:highlight w:val="none"/>
              </w:rPr>
              <w:t>烟囱设置合理性分析</w:t>
            </w:r>
          </w:p>
          <w:p w14:paraId="38E1E4D6">
            <w:pPr>
              <w:pStyle w:val="48"/>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spacing w:before="0" w:beforeAutospacing="0" w:after="0" w:afterAutospacing="0" w:line="360" w:lineRule="auto"/>
              <w:ind w:left="0" w:right="0" w:rightChars="0" w:firstLine="480" w:firstLineChars="200"/>
              <w:jc w:val="both"/>
              <w:textAlignment w:val="baseline"/>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工业炉窑大气污染物排放标准》（GB9078-1996）中4.6烟囱高度要求，“各种工业炉窑烟囱（或排气筒）最低允许高度为15m，当烟囱（或排气筒）周围半径200m距离内有建筑物时，烟囱（或排气筒）还应高出最高建筑物3m以上”</w:t>
            </w:r>
            <w:r>
              <w:rPr>
                <w:rFonts w:hint="eastAsia" w:ascii="Times New Roman" w:hAnsi="Times New Roman"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本项目热风炉烟囱高度</w:t>
            </w:r>
            <w:r>
              <w:rPr>
                <w:rFonts w:hint="eastAsia" w:ascii="Times New Roman" w:hAnsi="Times New Roman" w:cs="Times New Roman"/>
                <w:color w:val="auto"/>
                <w:kern w:val="0"/>
                <w:sz w:val="24"/>
                <w:szCs w:val="24"/>
                <w:highlight w:val="none"/>
                <w:lang w:val="en-US" w:eastAsia="zh-CN" w:bidi="ar-SA"/>
              </w:rPr>
              <w:t>30</w:t>
            </w:r>
            <w:r>
              <w:rPr>
                <w:rFonts w:hint="eastAsia" w:ascii="Times New Roman" w:hAnsi="Times New Roman" w:eastAsia="宋体" w:cs="Times New Roman"/>
                <w:color w:val="auto"/>
                <w:kern w:val="0"/>
                <w:sz w:val="24"/>
                <w:szCs w:val="24"/>
                <w:highlight w:val="none"/>
                <w:lang w:val="en-US" w:eastAsia="zh-CN" w:bidi="ar-SA"/>
              </w:rPr>
              <w:t>m</w:t>
            </w:r>
            <w:r>
              <w:rPr>
                <w:rFonts w:hint="default" w:ascii="Times New Roman" w:hAnsi="Times New Roman" w:eastAsia="宋体" w:cs="Times New Roman"/>
                <w:color w:val="auto"/>
                <w:kern w:val="0"/>
                <w:sz w:val="24"/>
                <w:szCs w:val="24"/>
                <w:highlight w:val="none"/>
                <w:lang w:val="en-US" w:eastAsia="zh-CN" w:bidi="ar-SA"/>
              </w:rPr>
              <w:t>，周边200m范围内最高建筑物建筑高度</w:t>
            </w:r>
            <w:r>
              <w:rPr>
                <w:rFonts w:hint="eastAsia" w:ascii="Times New Roman" w:hAnsi="Times New Roman" w:eastAsia="宋体" w:cs="Times New Roman"/>
                <w:color w:val="auto"/>
                <w:kern w:val="0"/>
                <w:sz w:val="24"/>
                <w:szCs w:val="24"/>
                <w:highlight w:val="none"/>
                <w:lang w:val="en-US" w:eastAsia="zh-CN" w:bidi="ar-SA"/>
              </w:rPr>
              <w:t>不超过2</w:t>
            </w:r>
            <w:r>
              <w:rPr>
                <w:rFonts w:hint="eastAsia" w:ascii="Times New Roman" w:hAnsi="Times New Roman" w:cs="Times New Roman"/>
                <w:color w:val="auto"/>
                <w:kern w:val="0"/>
                <w:sz w:val="24"/>
                <w:szCs w:val="24"/>
                <w:highlight w:val="none"/>
                <w:lang w:val="en-US" w:eastAsia="zh-CN" w:bidi="ar-SA"/>
              </w:rPr>
              <w:t>5</w:t>
            </w:r>
            <w:r>
              <w:rPr>
                <w:rFonts w:hint="eastAsia" w:ascii="Times New Roman" w:hAnsi="Times New Roman" w:eastAsia="宋体" w:cs="Times New Roman"/>
                <w:color w:val="auto"/>
                <w:kern w:val="0"/>
                <w:sz w:val="24"/>
                <w:szCs w:val="24"/>
                <w:highlight w:val="none"/>
                <w:lang w:val="en-US" w:eastAsia="zh-CN" w:bidi="ar-SA"/>
              </w:rPr>
              <w:t>m</w:t>
            </w:r>
            <w:r>
              <w:rPr>
                <w:rFonts w:hint="eastAsia" w:ascii="Times New Roman" w:hAnsi="Times New Roman" w:cs="Times New Roman"/>
                <w:color w:val="auto"/>
                <w:kern w:val="0"/>
                <w:sz w:val="24"/>
                <w:szCs w:val="24"/>
                <w:highlight w:val="none"/>
                <w:lang w:val="en-US" w:eastAsia="zh-CN" w:bidi="ar-SA"/>
              </w:rPr>
              <w:t>（</w:t>
            </w:r>
            <w:r>
              <w:rPr>
                <w:rFonts w:hint="eastAsia" w:cs="Times New Roman"/>
                <w:bCs/>
                <w:color w:val="auto"/>
                <w:sz w:val="24"/>
                <w:highlight w:val="none"/>
                <w:lang w:val="en-US" w:eastAsia="zh-CN"/>
              </w:rPr>
              <w:t>国家直属粮库</w:t>
            </w:r>
            <w:r>
              <w:rPr>
                <w:rFonts w:hint="eastAsia" w:ascii="Times New Roman" w:hAnsi="Times New Roman" w:cs="Times New Roman"/>
                <w:color w:val="auto"/>
                <w:kern w:val="0"/>
                <w:sz w:val="24"/>
                <w:szCs w:val="24"/>
                <w:highlight w:val="none"/>
                <w:lang w:val="en-US" w:eastAsia="zh-CN" w:bidi="ar-SA"/>
              </w:rPr>
              <w:t>筒仓高约24.9米）</w:t>
            </w:r>
            <w:r>
              <w:rPr>
                <w:rFonts w:hint="default" w:ascii="Times New Roman" w:hAnsi="Times New Roman" w:eastAsia="宋体" w:cs="Times New Roman"/>
                <w:color w:val="auto"/>
                <w:kern w:val="0"/>
                <w:sz w:val="24"/>
                <w:szCs w:val="24"/>
                <w:highlight w:val="none"/>
                <w:lang w:val="en-US" w:eastAsia="zh-CN" w:bidi="ar-SA"/>
              </w:rPr>
              <w:t>，因此本项目热风炉烟囱符合《工业炉窑大气污染物排放标准》（GB9078-1996）对于工业炉窑烟囱高度的要求。</w:t>
            </w:r>
          </w:p>
          <w:p w14:paraId="31B267B5">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2、废水</w:t>
            </w:r>
          </w:p>
          <w:p w14:paraId="1AAA719C">
            <w:pPr>
              <w:pStyle w:val="128"/>
              <w:keepNext w:val="0"/>
              <w:keepLines w:val="0"/>
              <w:suppressLineNumbers w:val="0"/>
              <w:bidi w:val="0"/>
              <w:spacing w:before="0" w:beforeAutospacing="0" w:after="0" w:afterAutospacing="0" w:line="360" w:lineRule="auto"/>
              <w:ind w:left="0" w:right="0"/>
              <w:rPr>
                <w:rFonts w:hint="eastAsia" w:ascii="Times New Roman" w:hAnsi="Times New Roman" w:eastAsia="宋体" w:cs="Times New Roman"/>
                <w:color w:val="auto"/>
                <w:kern w:val="0"/>
                <w:sz w:val="24"/>
                <w:szCs w:val="24"/>
                <w:highlight w:val="none"/>
                <w:lang w:val="zh-CN" w:eastAsia="zh-CN" w:bidi="ar-SA"/>
              </w:rPr>
            </w:pPr>
            <w:r>
              <w:rPr>
                <w:rFonts w:hint="default" w:ascii="Times New Roman" w:hAnsi="Times New Roman" w:eastAsia="宋体" w:cs="Times New Roman"/>
                <w:color w:val="auto"/>
                <w:kern w:val="0"/>
                <w:sz w:val="24"/>
                <w:szCs w:val="24"/>
                <w:highlight w:val="none"/>
                <w:lang w:val="en-US" w:eastAsia="zh-CN" w:bidi="ar-SA"/>
              </w:rPr>
              <w:t>本项目投入营运后</w:t>
            </w:r>
            <w:r>
              <w:rPr>
                <w:rFonts w:hint="eastAsia" w:ascii="Times New Roman" w:hAnsi="Times New Roman" w:eastAsia="宋体" w:cs="Times New Roman"/>
                <w:color w:val="auto"/>
                <w:kern w:val="0"/>
                <w:sz w:val="24"/>
                <w:szCs w:val="24"/>
                <w:highlight w:val="none"/>
                <w:lang w:val="en-US" w:eastAsia="zh-CN" w:bidi="ar-SA"/>
              </w:rPr>
              <w:t>无生产废水，</w:t>
            </w:r>
            <w:r>
              <w:rPr>
                <w:rFonts w:hint="default" w:ascii="Times New Roman" w:hAnsi="Times New Roman" w:eastAsia="宋体" w:cs="Times New Roman"/>
                <w:color w:val="auto"/>
                <w:kern w:val="0"/>
                <w:sz w:val="24"/>
                <w:szCs w:val="24"/>
                <w:highlight w:val="none"/>
                <w:lang w:val="en-US" w:eastAsia="zh-CN" w:bidi="ar-SA"/>
              </w:rPr>
              <w:t>废水主要为生活污水。生活污水按用水量的80%计算，排放量为</w:t>
            </w:r>
            <w:r>
              <w:rPr>
                <w:rFonts w:hint="eastAsia" w:ascii="Times New Roman" w:hAnsi="Times New Roman" w:eastAsia="宋体" w:cs="Times New Roman"/>
                <w:color w:val="auto"/>
                <w:kern w:val="0"/>
                <w:sz w:val="24"/>
                <w:szCs w:val="24"/>
                <w:highlight w:val="none"/>
                <w:lang w:val="en-US" w:eastAsia="zh-CN" w:bidi="ar-SA"/>
              </w:rPr>
              <w:t>0.3</w:t>
            </w:r>
            <w:r>
              <w:rPr>
                <w:rFonts w:hint="eastAsia"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t</w:t>
            </w:r>
            <w:r>
              <w:rPr>
                <w:rFonts w:hint="default" w:ascii="Times New Roman" w:hAnsi="Times New Roman" w:eastAsia="宋体" w:cs="Times New Roman"/>
                <w:color w:val="auto"/>
                <w:kern w:val="0"/>
                <w:sz w:val="24"/>
                <w:szCs w:val="24"/>
                <w:highlight w:val="none"/>
                <w:lang w:val="zh-CN" w:eastAsia="zh-CN" w:bidi="ar-SA"/>
              </w:rPr>
              <w:t>/d，</w:t>
            </w:r>
            <w:r>
              <w:rPr>
                <w:rFonts w:hint="eastAsia" w:cs="Times New Roman"/>
                <w:color w:val="auto"/>
                <w:kern w:val="0"/>
                <w:sz w:val="24"/>
                <w:szCs w:val="24"/>
                <w:highlight w:val="none"/>
                <w:lang w:val="en-US" w:eastAsia="zh-CN" w:bidi="ar-SA"/>
              </w:rPr>
              <w:t>24</w:t>
            </w:r>
            <w:r>
              <w:rPr>
                <w:rFonts w:hint="eastAsia" w:ascii="Times New Roman" w:hAnsi="Times New Roman" w:eastAsia="宋体" w:cs="Times New Roman"/>
                <w:color w:val="auto"/>
                <w:kern w:val="0"/>
                <w:sz w:val="24"/>
                <w:szCs w:val="24"/>
                <w:highlight w:val="none"/>
                <w:lang w:val="en-US" w:eastAsia="zh-CN" w:bidi="ar-SA"/>
              </w:rPr>
              <w:t>t</w:t>
            </w:r>
            <w:r>
              <w:rPr>
                <w:rFonts w:hint="default" w:ascii="Times New Roman" w:hAnsi="Times New Roman" w:eastAsia="宋体" w:cs="Times New Roman"/>
                <w:color w:val="auto"/>
                <w:kern w:val="0"/>
                <w:sz w:val="24"/>
                <w:szCs w:val="24"/>
                <w:highlight w:val="none"/>
                <w:lang w:val="zh-CN" w:eastAsia="zh-CN" w:bidi="ar-SA"/>
              </w:rPr>
              <w:t>/a</w:t>
            </w:r>
            <w:r>
              <w:rPr>
                <w:rFonts w:hint="default" w:ascii="Times New Roman" w:hAnsi="Times New Roman" w:eastAsia="宋体" w:cs="Times New Roman"/>
                <w:color w:val="auto"/>
                <w:kern w:val="0"/>
                <w:sz w:val="24"/>
                <w:szCs w:val="24"/>
                <w:highlight w:val="none"/>
                <w:lang w:val="en-US" w:eastAsia="zh-CN" w:bidi="ar-SA"/>
              </w:rPr>
              <w:t>。生活污水主要污染物为COD、SS和氨氮。生活污水排入防渗旱厕，定期清掏，外运堆肥，不外排</w:t>
            </w:r>
            <w:r>
              <w:rPr>
                <w:rFonts w:hint="eastAsia" w:ascii="Times New Roman" w:hAnsi="Times New Roman" w:eastAsia="宋体" w:cs="Times New Roman"/>
                <w:color w:val="auto"/>
                <w:kern w:val="0"/>
                <w:sz w:val="24"/>
                <w:szCs w:val="24"/>
                <w:highlight w:val="none"/>
                <w:lang w:val="en-US" w:eastAsia="zh-CN" w:bidi="ar-SA"/>
              </w:rPr>
              <w:t>；</w:t>
            </w:r>
          </w:p>
          <w:p w14:paraId="06E2042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根据《水工业工程设计手册-建筑和小区给排水》中“12.2.2污水水量和水质”中给出的住宅、各类公共建筑污水水质平均浓度，并结合项目特点，本项目生活污水水质参数详见下表。</w:t>
            </w:r>
          </w:p>
          <w:p w14:paraId="42CF6C36">
            <w:pPr>
              <w:pStyle w:val="56"/>
              <w:keepNext w:val="0"/>
              <w:keepLines w:val="0"/>
              <w:suppressLineNumbers w:val="0"/>
              <w:spacing w:before="0" w:beforeAutospacing="0" w:after="0" w:afterAutospacing="0" w:line="240" w:lineRule="auto"/>
              <w:ind w:left="0" w:right="0" w:firstLine="0" w:firstLineChars="0"/>
              <w:contextualSpacing/>
              <w:jc w:val="center"/>
              <w:rPr>
                <w:rFonts w:hint="eastAsia" w:eastAsia="宋体"/>
                <w:b/>
                <w:color w:val="auto"/>
                <w:sz w:val="21"/>
                <w:szCs w:val="21"/>
                <w:highlight w:val="none"/>
                <w:lang w:val="en-US" w:eastAsia="zh-CN"/>
              </w:rPr>
            </w:pPr>
            <w:r>
              <w:rPr>
                <w:rFonts w:hint="default" w:eastAsia="宋体"/>
                <w:b/>
                <w:color w:val="auto"/>
                <w:sz w:val="21"/>
                <w:szCs w:val="21"/>
                <w:highlight w:val="none"/>
              </w:rPr>
              <w:t>表4-</w:t>
            </w:r>
            <w:r>
              <w:rPr>
                <w:rFonts w:hint="eastAsia" w:eastAsia="宋体"/>
                <w:b/>
                <w:color w:val="auto"/>
                <w:sz w:val="21"/>
                <w:szCs w:val="21"/>
                <w:highlight w:val="none"/>
                <w:lang w:val="en-US" w:eastAsia="zh-CN"/>
              </w:rPr>
              <w:t>5</w:t>
            </w:r>
            <w:r>
              <w:rPr>
                <w:rFonts w:hint="default" w:eastAsia="宋体"/>
                <w:b/>
                <w:color w:val="auto"/>
                <w:sz w:val="21"/>
                <w:szCs w:val="21"/>
                <w:highlight w:val="none"/>
              </w:rPr>
              <w:t>生活污水水质</w:t>
            </w:r>
            <w:r>
              <w:rPr>
                <w:rFonts w:hint="eastAsia" w:eastAsia="宋体"/>
                <w:b/>
                <w:color w:val="auto"/>
                <w:sz w:val="21"/>
                <w:szCs w:val="21"/>
                <w:highlight w:val="none"/>
                <w:lang w:val="en-US" w:eastAsia="zh-CN"/>
              </w:rPr>
              <w:t>参数</w:t>
            </w:r>
          </w:p>
          <w:tbl>
            <w:tblPr>
              <w:tblStyle w:val="34"/>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351"/>
              <w:gridCol w:w="1350"/>
              <w:gridCol w:w="1231"/>
              <w:gridCol w:w="1231"/>
              <w:gridCol w:w="1266"/>
            </w:tblGrid>
            <w:tr w14:paraId="1DA99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7" w:type="pct"/>
                  <w:tcBorders>
                    <w:tl2br w:val="nil"/>
                    <w:tr2bl w:val="nil"/>
                  </w:tcBorders>
                  <w:noWrap w:val="0"/>
                  <w:vAlign w:val="center"/>
                </w:tcPr>
                <w:p w14:paraId="6891A483">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849" w:type="pct"/>
                  <w:tcBorders>
                    <w:tl2br w:val="nil"/>
                    <w:tr2bl w:val="nil"/>
                  </w:tcBorders>
                  <w:noWrap w:val="0"/>
                  <w:vAlign w:val="center"/>
                </w:tcPr>
                <w:p w14:paraId="70AF8C9E">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CODcr</w:t>
                  </w:r>
                </w:p>
              </w:tc>
              <w:tc>
                <w:tcPr>
                  <w:tcW w:w="848" w:type="pct"/>
                  <w:tcBorders>
                    <w:tl2br w:val="nil"/>
                    <w:tr2bl w:val="nil"/>
                  </w:tcBorders>
                  <w:noWrap w:val="0"/>
                  <w:vAlign w:val="center"/>
                </w:tcPr>
                <w:p w14:paraId="547BD4DC">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BOD5</w:t>
                  </w:r>
                </w:p>
              </w:tc>
              <w:tc>
                <w:tcPr>
                  <w:tcW w:w="774" w:type="pct"/>
                  <w:tcBorders>
                    <w:tl2br w:val="nil"/>
                    <w:tr2bl w:val="nil"/>
                  </w:tcBorders>
                  <w:noWrap w:val="0"/>
                  <w:vAlign w:val="center"/>
                </w:tcPr>
                <w:p w14:paraId="5F31D8E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774" w:type="pct"/>
                  <w:tcBorders>
                    <w:tl2br w:val="nil"/>
                    <w:tr2bl w:val="nil"/>
                  </w:tcBorders>
                  <w:noWrap w:val="0"/>
                  <w:vAlign w:val="center"/>
                </w:tcPr>
                <w:p w14:paraId="413E293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tc>
              <w:tc>
                <w:tcPr>
                  <w:tcW w:w="796" w:type="pct"/>
                  <w:tcBorders>
                    <w:tl2br w:val="nil"/>
                    <w:tr2bl w:val="nil"/>
                  </w:tcBorders>
                  <w:noWrap w:val="0"/>
                  <w:vAlign w:val="center"/>
                </w:tcPr>
                <w:p w14:paraId="4C5611B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r>
            <w:tr w14:paraId="3456F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7" w:type="pct"/>
                  <w:tcBorders>
                    <w:tl2br w:val="nil"/>
                    <w:tr2bl w:val="nil"/>
                  </w:tcBorders>
                  <w:noWrap w:val="0"/>
                  <w:vAlign w:val="center"/>
                </w:tcPr>
                <w:p w14:paraId="153E7EED">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公共建筑（mg/L）</w:t>
                  </w:r>
                </w:p>
              </w:tc>
              <w:tc>
                <w:tcPr>
                  <w:tcW w:w="849" w:type="pct"/>
                  <w:tcBorders>
                    <w:tl2br w:val="nil"/>
                    <w:tr2bl w:val="nil"/>
                  </w:tcBorders>
                  <w:noWrap w:val="0"/>
                  <w:vAlign w:val="center"/>
                </w:tcPr>
                <w:p w14:paraId="31E546EE">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350~450</w:t>
                  </w:r>
                </w:p>
              </w:tc>
              <w:tc>
                <w:tcPr>
                  <w:tcW w:w="848" w:type="pct"/>
                  <w:tcBorders>
                    <w:tl2br w:val="nil"/>
                    <w:tr2bl w:val="nil"/>
                  </w:tcBorders>
                  <w:noWrap w:val="0"/>
                  <w:vAlign w:val="center"/>
                </w:tcPr>
                <w:p w14:paraId="724B164D">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180~250</w:t>
                  </w:r>
                </w:p>
              </w:tc>
              <w:tc>
                <w:tcPr>
                  <w:tcW w:w="774" w:type="pct"/>
                  <w:tcBorders>
                    <w:tl2br w:val="nil"/>
                    <w:tr2bl w:val="nil"/>
                  </w:tcBorders>
                  <w:noWrap w:val="0"/>
                  <w:vAlign w:val="center"/>
                </w:tcPr>
                <w:p w14:paraId="112FD341">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200~300</w:t>
                  </w:r>
                </w:p>
              </w:tc>
              <w:tc>
                <w:tcPr>
                  <w:tcW w:w="774" w:type="pct"/>
                  <w:tcBorders>
                    <w:tl2br w:val="nil"/>
                    <w:tr2bl w:val="nil"/>
                  </w:tcBorders>
                  <w:noWrap w:val="0"/>
                  <w:vAlign w:val="center"/>
                </w:tcPr>
                <w:p w14:paraId="50F824F9">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35~40</w:t>
                  </w:r>
                </w:p>
              </w:tc>
              <w:tc>
                <w:tcPr>
                  <w:tcW w:w="796" w:type="pct"/>
                  <w:tcBorders>
                    <w:tl2br w:val="nil"/>
                    <w:tr2bl w:val="nil"/>
                  </w:tcBorders>
                  <w:noWrap w:val="0"/>
                  <w:vAlign w:val="center"/>
                </w:tcPr>
                <w:p w14:paraId="2395F6E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6.5~7.5</w:t>
                  </w:r>
                </w:p>
              </w:tc>
            </w:tr>
            <w:tr w14:paraId="17590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7" w:type="pct"/>
                  <w:tcBorders>
                    <w:tl2br w:val="nil"/>
                    <w:tr2bl w:val="nil"/>
                  </w:tcBorders>
                  <w:noWrap w:val="0"/>
                  <w:vAlign w:val="center"/>
                </w:tcPr>
                <w:p w14:paraId="62195F4B">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本项目生活污水（mg/L）</w:t>
                  </w:r>
                </w:p>
              </w:tc>
              <w:tc>
                <w:tcPr>
                  <w:tcW w:w="849" w:type="pct"/>
                  <w:tcBorders>
                    <w:tl2br w:val="nil"/>
                    <w:tr2bl w:val="nil"/>
                  </w:tcBorders>
                  <w:noWrap w:val="0"/>
                  <w:vAlign w:val="center"/>
                </w:tcPr>
                <w:p w14:paraId="0D55CE1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450</w:t>
                  </w:r>
                </w:p>
              </w:tc>
              <w:tc>
                <w:tcPr>
                  <w:tcW w:w="848" w:type="pct"/>
                  <w:tcBorders>
                    <w:tl2br w:val="nil"/>
                    <w:tr2bl w:val="nil"/>
                  </w:tcBorders>
                  <w:noWrap w:val="0"/>
                  <w:vAlign w:val="center"/>
                </w:tcPr>
                <w:p w14:paraId="00E3CFCC">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774" w:type="pct"/>
                  <w:tcBorders>
                    <w:tl2br w:val="nil"/>
                    <w:tr2bl w:val="nil"/>
                  </w:tcBorders>
                  <w:noWrap w:val="0"/>
                  <w:vAlign w:val="center"/>
                </w:tcPr>
                <w:p w14:paraId="6677395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c>
                <w:tcPr>
                  <w:tcW w:w="774" w:type="pct"/>
                  <w:tcBorders>
                    <w:tl2br w:val="nil"/>
                    <w:tr2bl w:val="nil"/>
                  </w:tcBorders>
                  <w:noWrap w:val="0"/>
                  <w:vAlign w:val="center"/>
                </w:tcPr>
                <w:p w14:paraId="0C876BD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796" w:type="pct"/>
                  <w:tcBorders>
                    <w:tl2br w:val="nil"/>
                    <w:tr2bl w:val="nil"/>
                  </w:tcBorders>
                  <w:noWrap w:val="0"/>
                  <w:vAlign w:val="center"/>
                </w:tcPr>
                <w:p w14:paraId="4E3E25BF">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6.5~7.5</w:t>
                  </w:r>
                </w:p>
              </w:tc>
            </w:tr>
          </w:tbl>
          <w:p w14:paraId="42A1A790">
            <w:pPr>
              <w:pStyle w:val="84"/>
              <w:keepNext w:val="0"/>
              <w:keepLines w:val="0"/>
              <w:suppressLineNumbers w:val="0"/>
              <w:spacing w:before="0" w:beforeAutospacing="0" w:after="0" w:afterAutospacing="0" w:line="240" w:lineRule="auto"/>
              <w:ind w:left="0" w:right="0"/>
              <w:contextualSpacing/>
              <w:rPr>
                <w:rFonts w:hint="eastAsia" w:ascii="Times New Roman" w:hAnsi="Times New Roman" w:eastAsia="宋体"/>
                <w:b/>
                <w:color w:val="auto"/>
                <w:sz w:val="21"/>
                <w:szCs w:val="21"/>
                <w:highlight w:val="none"/>
                <w:lang w:eastAsia="zh-CN"/>
              </w:rPr>
            </w:pPr>
            <w:r>
              <w:rPr>
                <w:rFonts w:hint="default" w:ascii="Times New Roman" w:hAnsi="宋体" w:eastAsia="宋体" w:cs="Times New Roman"/>
                <w:b/>
                <w:color w:val="auto"/>
                <w:sz w:val="21"/>
                <w:szCs w:val="21"/>
                <w:highlight w:val="none"/>
              </w:rPr>
              <w:t>表4-</w:t>
            </w:r>
            <w:r>
              <w:rPr>
                <w:rFonts w:hint="eastAsia" w:ascii="Times New Roman" w:eastAsia="宋体" w:cs="Times New Roman"/>
                <w:b/>
                <w:color w:val="auto"/>
                <w:sz w:val="21"/>
                <w:szCs w:val="21"/>
                <w:highlight w:val="none"/>
                <w:lang w:val="en-US" w:eastAsia="zh-CN"/>
              </w:rPr>
              <w:t>6</w:t>
            </w:r>
            <w:r>
              <w:rPr>
                <w:rFonts w:hint="default" w:ascii="Times New Roman" w:hAnsi="宋体" w:eastAsia="宋体" w:cs="Times New Roman"/>
                <w:b/>
                <w:color w:val="auto"/>
                <w:sz w:val="21"/>
                <w:szCs w:val="21"/>
                <w:highlight w:val="none"/>
              </w:rPr>
              <w:t>废水污染源源强核算结果及相关参数一览表</w:t>
            </w:r>
          </w:p>
          <w:tbl>
            <w:tblPr>
              <w:tblStyle w:val="34"/>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2"/>
              <w:gridCol w:w="537"/>
              <w:gridCol w:w="797"/>
              <w:gridCol w:w="659"/>
              <w:gridCol w:w="609"/>
              <w:gridCol w:w="1107"/>
              <w:gridCol w:w="450"/>
              <w:gridCol w:w="580"/>
              <w:gridCol w:w="573"/>
              <w:gridCol w:w="692"/>
              <w:gridCol w:w="669"/>
              <w:gridCol w:w="683"/>
            </w:tblGrid>
            <w:tr w14:paraId="34317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72" w:type="pct"/>
                  <w:vMerge w:val="restart"/>
                  <w:noWrap w:val="0"/>
                  <w:vAlign w:val="center"/>
                </w:tcPr>
                <w:p w14:paraId="2EF856F6">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产污环节</w:t>
                  </w:r>
                </w:p>
              </w:tc>
              <w:tc>
                <w:tcPr>
                  <w:tcW w:w="337" w:type="pct"/>
                  <w:vMerge w:val="restart"/>
                  <w:noWrap w:val="0"/>
                  <w:vAlign w:val="center"/>
                </w:tcPr>
                <w:p w14:paraId="6224A54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类别</w:t>
                  </w:r>
                </w:p>
              </w:tc>
              <w:tc>
                <w:tcPr>
                  <w:tcW w:w="501" w:type="pct"/>
                  <w:vMerge w:val="restart"/>
                  <w:noWrap w:val="0"/>
                  <w:vAlign w:val="center"/>
                </w:tcPr>
                <w:p w14:paraId="6EC17B0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污染物</w:t>
                  </w:r>
                </w:p>
              </w:tc>
              <w:tc>
                <w:tcPr>
                  <w:tcW w:w="2142" w:type="pct"/>
                  <w:gridSpan w:val="5"/>
                  <w:noWrap w:val="0"/>
                  <w:vAlign w:val="center"/>
                </w:tcPr>
                <w:p w14:paraId="175B243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污染物产生情况</w:t>
                  </w:r>
                </w:p>
              </w:tc>
              <w:tc>
                <w:tcPr>
                  <w:tcW w:w="1646" w:type="pct"/>
                  <w:gridSpan w:val="4"/>
                  <w:noWrap w:val="0"/>
                  <w:vAlign w:val="center"/>
                </w:tcPr>
                <w:p w14:paraId="7BB1AF8C">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污染物排放情况</w:t>
                  </w:r>
                </w:p>
              </w:tc>
            </w:tr>
            <w:tr w14:paraId="3E097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72" w:type="pct"/>
                  <w:vMerge w:val="continue"/>
                  <w:noWrap w:val="0"/>
                  <w:vAlign w:val="center"/>
                </w:tcPr>
                <w:p w14:paraId="4808852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337" w:type="pct"/>
                  <w:vMerge w:val="continue"/>
                  <w:noWrap w:val="0"/>
                  <w:vAlign w:val="center"/>
                </w:tcPr>
                <w:p w14:paraId="70F3CDA5">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501" w:type="pct"/>
                  <w:vMerge w:val="continue"/>
                  <w:noWrap w:val="0"/>
                  <w:vAlign w:val="center"/>
                </w:tcPr>
                <w:p w14:paraId="43E14892">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414" w:type="pct"/>
                  <w:noWrap w:val="0"/>
                  <w:vAlign w:val="center"/>
                </w:tcPr>
                <w:p w14:paraId="5637F93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废水</w:t>
                  </w:r>
                  <w:r>
                    <w:rPr>
                      <w:rFonts w:hint="eastAsia" w:ascii="Times New Roman" w:hAnsi="Times New Roman" w:eastAsia="宋体" w:cs="Times New Roman"/>
                      <w:color w:val="auto"/>
                      <w:sz w:val="21"/>
                      <w:szCs w:val="21"/>
                      <w:highlight w:val="none"/>
                      <w:lang w:val="en-US" w:eastAsia="zh-CN"/>
                    </w:rPr>
                    <w:t>产生</w:t>
                  </w:r>
                  <w:r>
                    <w:rPr>
                      <w:rFonts w:hint="default" w:ascii="Times New Roman" w:hAnsi="Times New Roman" w:eastAsia="宋体" w:cs="Times New Roman"/>
                      <w:color w:val="auto"/>
                      <w:sz w:val="21"/>
                      <w:szCs w:val="21"/>
                      <w:highlight w:val="none"/>
                      <w:lang w:val="en-US" w:eastAsia="zh-CN"/>
                    </w:rPr>
                    <w:t>量t/a</w:t>
                  </w:r>
                </w:p>
              </w:tc>
              <w:tc>
                <w:tcPr>
                  <w:tcW w:w="383" w:type="pct"/>
                  <w:noWrap w:val="0"/>
                  <w:vAlign w:val="center"/>
                </w:tcPr>
                <w:p w14:paraId="65E27846">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产生浓度mg/L</w:t>
                  </w:r>
                </w:p>
              </w:tc>
              <w:tc>
                <w:tcPr>
                  <w:tcW w:w="696" w:type="pct"/>
                  <w:noWrap w:val="0"/>
                  <w:vAlign w:val="center"/>
                </w:tcPr>
                <w:p w14:paraId="0433EE29">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产生量t/a</w:t>
                  </w:r>
                </w:p>
              </w:tc>
              <w:tc>
                <w:tcPr>
                  <w:tcW w:w="283" w:type="pct"/>
                  <w:noWrap w:val="0"/>
                  <w:vAlign w:val="center"/>
                </w:tcPr>
                <w:p w14:paraId="1FD1906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处理工艺</w:t>
                  </w:r>
                </w:p>
              </w:tc>
              <w:tc>
                <w:tcPr>
                  <w:tcW w:w="364" w:type="pct"/>
                  <w:noWrap w:val="0"/>
                  <w:vAlign w:val="center"/>
                </w:tcPr>
                <w:p w14:paraId="7B4CC417">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治理效率%</w:t>
                  </w:r>
                </w:p>
              </w:tc>
              <w:tc>
                <w:tcPr>
                  <w:tcW w:w="360" w:type="pct"/>
                  <w:noWrap w:val="0"/>
                  <w:vAlign w:val="center"/>
                </w:tcPr>
                <w:p w14:paraId="605CAC09">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核算方法</w:t>
                  </w:r>
                </w:p>
              </w:tc>
              <w:tc>
                <w:tcPr>
                  <w:tcW w:w="435" w:type="pct"/>
                  <w:noWrap w:val="0"/>
                  <w:vAlign w:val="center"/>
                </w:tcPr>
                <w:p w14:paraId="174C150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废水排放量t/a</w:t>
                  </w:r>
                </w:p>
              </w:tc>
              <w:tc>
                <w:tcPr>
                  <w:tcW w:w="420" w:type="pct"/>
                  <w:noWrap w:val="0"/>
                  <w:vAlign w:val="center"/>
                </w:tcPr>
                <w:p w14:paraId="05EA815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排放浓度mg/L</w:t>
                  </w:r>
                </w:p>
              </w:tc>
              <w:tc>
                <w:tcPr>
                  <w:tcW w:w="429" w:type="pct"/>
                  <w:noWrap w:val="0"/>
                  <w:vAlign w:val="center"/>
                </w:tcPr>
                <w:p w14:paraId="04940812">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排放量</w:t>
                  </w:r>
                </w:p>
                <w:p w14:paraId="5DCF898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t/a</w:t>
                  </w:r>
                </w:p>
              </w:tc>
            </w:tr>
            <w:tr w14:paraId="575E3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exact"/>
                <w:jc w:val="center"/>
              </w:trPr>
              <w:tc>
                <w:tcPr>
                  <w:tcW w:w="372" w:type="pct"/>
                  <w:vMerge w:val="restart"/>
                  <w:noWrap w:val="0"/>
                  <w:vAlign w:val="center"/>
                </w:tcPr>
                <w:p w14:paraId="0862F09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员工</w:t>
                  </w:r>
                </w:p>
              </w:tc>
              <w:tc>
                <w:tcPr>
                  <w:tcW w:w="337" w:type="pct"/>
                  <w:vMerge w:val="restart"/>
                  <w:noWrap w:val="0"/>
                  <w:vAlign w:val="center"/>
                </w:tcPr>
                <w:p w14:paraId="01E8E98F">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w:t>
                  </w:r>
                </w:p>
                <w:p w14:paraId="524AA678">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污水</w:t>
                  </w:r>
                </w:p>
              </w:tc>
              <w:tc>
                <w:tcPr>
                  <w:tcW w:w="501" w:type="pct"/>
                  <w:noWrap w:val="0"/>
                  <w:vAlign w:val="center"/>
                </w:tcPr>
                <w:p w14:paraId="5E2DB97D">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COD</w:t>
                  </w:r>
                </w:p>
              </w:tc>
              <w:tc>
                <w:tcPr>
                  <w:tcW w:w="414" w:type="pct"/>
                  <w:vMerge w:val="restart"/>
                  <w:noWrap w:val="0"/>
                  <w:vAlign w:val="center"/>
                </w:tcPr>
                <w:p w14:paraId="743CC744">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24</w:t>
                  </w:r>
                </w:p>
              </w:tc>
              <w:tc>
                <w:tcPr>
                  <w:tcW w:w="383" w:type="pct"/>
                  <w:noWrap w:val="0"/>
                  <w:vAlign w:val="center"/>
                </w:tcPr>
                <w:p w14:paraId="33111CDA">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450</w:t>
                  </w:r>
                </w:p>
              </w:tc>
              <w:tc>
                <w:tcPr>
                  <w:tcW w:w="696" w:type="pct"/>
                  <w:noWrap w:val="0"/>
                  <w:vAlign w:val="center"/>
                </w:tcPr>
                <w:p w14:paraId="313ED5EF">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ascii="Times New Roman" w:hAnsi="Times New Roman" w:cs="Times New Roman"/>
                      <w:color w:val="auto"/>
                      <w:sz w:val="21"/>
                      <w:szCs w:val="21"/>
                      <w:highlight w:val="none"/>
                      <w:lang w:val="en-US" w:eastAsia="zh-CN"/>
                    </w:rPr>
                    <w:t>108</w:t>
                  </w:r>
                </w:p>
              </w:tc>
              <w:tc>
                <w:tcPr>
                  <w:tcW w:w="283" w:type="pct"/>
                  <w:noWrap w:val="0"/>
                  <w:vAlign w:val="center"/>
                </w:tcPr>
                <w:p w14:paraId="67C61A97">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4" w:type="pct"/>
                  <w:noWrap w:val="0"/>
                  <w:vAlign w:val="center"/>
                </w:tcPr>
                <w:p w14:paraId="22C85E8F">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0" w:type="pct"/>
                  <w:vMerge w:val="restart"/>
                  <w:noWrap w:val="0"/>
                  <w:vAlign w:val="center"/>
                </w:tcPr>
                <w:p w14:paraId="3AC7CB2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435" w:type="pct"/>
                  <w:vMerge w:val="restart"/>
                  <w:noWrap w:val="0"/>
                  <w:vAlign w:val="center"/>
                </w:tcPr>
                <w:p w14:paraId="558F9B7D">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420" w:type="pct"/>
                  <w:noWrap w:val="0"/>
                  <w:vAlign w:val="center"/>
                </w:tcPr>
                <w:p w14:paraId="258234F2">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429" w:type="pct"/>
                  <w:noWrap w:val="0"/>
                  <w:vAlign w:val="center"/>
                </w:tcPr>
                <w:p w14:paraId="79A6CA99">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36182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exact"/>
                <w:jc w:val="center"/>
              </w:trPr>
              <w:tc>
                <w:tcPr>
                  <w:tcW w:w="372" w:type="pct"/>
                  <w:vMerge w:val="continue"/>
                  <w:noWrap w:val="0"/>
                  <w:vAlign w:val="center"/>
                </w:tcPr>
                <w:p w14:paraId="48068FD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337" w:type="pct"/>
                  <w:vMerge w:val="continue"/>
                  <w:noWrap w:val="0"/>
                  <w:vAlign w:val="center"/>
                </w:tcPr>
                <w:p w14:paraId="518E1D01">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501" w:type="pct"/>
                  <w:noWrap w:val="0"/>
                  <w:vAlign w:val="center"/>
                </w:tcPr>
                <w:p w14:paraId="589F73C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氨氮</w:t>
                  </w:r>
                </w:p>
              </w:tc>
              <w:tc>
                <w:tcPr>
                  <w:tcW w:w="414" w:type="pct"/>
                  <w:vMerge w:val="continue"/>
                  <w:noWrap w:val="0"/>
                  <w:vAlign w:val="center"/>
                </w:tcPr>
                <w:p w14:paraId="78FB4B6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p>
              </w:tc>
              <w:tc>
                <w:tcPr>
                  <w:tcW w:w="383" w:type="pct"/>
                  <w:noWrap w:val="0"/>
                  <w:vAlign w:val="center"/>
                </w:tcPr>
                <w:p w14:paraId="3EC0086E">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c>
                <w:tcPr>
                  <w:tcW w:w="696" w:type="pct"/>
                  <w:noWrap w:val="0"/>
                  <w:vAlign w:val="center"/>
                </w:tcPr>
                <w:p w14:paraId="2A3FBC94">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0.000</w:t>
                  </w:r>
                  <w:r>
                    <w:rPr>
                      <w:rFonts w:hint="eastAsia" w:ascii="Times New Roman" w:hAnsi="Times New Roman" w:cs="Times New Roman"/>
                      <w:color w:val="auto"/>
                      <w:sz w:val="21"/>
                      <w:szCs w:val="21"/>
                      <w:highlight w:val="none"/>
                      <w:lang w:val="en-US" w:eastAsia="zh-CN"/>
                    </w:rPr>
                    <w:t>96</w:t>
                  </w:r>
                </w:p>
              </w:tc>
              <w:tc>
                <w:tcPr>
                  <w:tcW w:w="283" w:type="pct"/>
                  <w:noWrap w:val="0"/>
                  <w:vAlign w:val="center"/>
                </w:tcPr>
                <w:p w14:paraId="32CE0D73">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4" w:type="pct"/>
                  <w:noWrap w:val="0"/>
                  <w:vAlign w:val="center"/>
                </w:tcPr>
                <w:p w14:paraId="3E8FE610">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0" w:type="pct"/>
                  <w:vMerge w:val="continue"/>
                  <w:noWrap w:val="0"/>
                  <w:vAlign w:val="center"/>
                </w:tcPr>
                <w:p w14:paraId="519C7DB5">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35" w:type="pct"/>
                  <w:vMerge w:val="continue"/>
                  <w:noWrap w:val="0"/>
                  <w:vAlign w:val="center"/>
                </w:tcPr>
                <w:p w14:paraId="6D28BB78">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20" w:type="pct"/>
                  <w:noWrap w:val="0"/>
                  <w:vAlign w:val="center"/>
                </w:tcPr>
                <w:p w14:paraId="438775A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429" w:type="pct"/>
                  <w:noWrap w:val="0"/>
                  <w:vAlign w:val="center"/>
                </w:tcPr>
                <w:p w14:paraId="3B3E1564">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3909C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372" w:type="pct"/>
                  <w:vMerge w:val="continue"/>
                  <w:noWrap w:val="0"/>
                  <w:vAlign w:val="center"/>
                </w:tcPr>
                <w:p w14:paraId="28AFD4A3">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337" w:type="pct"/>
                  <w:vMerge w:val="continue"/>
                  <w:noWrap w:val="0"/>
                  <w:vAlign w:val="center"/>
                </w:tcPr>
                <w:p w14:paraId="4DF3872B">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501" w:type="pct"/>
                  <w:noWrap w:val="0"/>
                  <w:vAlign w:val="center"/>
                </w:tcPr>
                <w:p w14:paraId="3146033F">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SS</w:t>
                  </w:r>
                </w:p>
              </w:tc>
              <w:tc>
                <w:tcPr>
                  <w:tcW w:w="414" w:type="pct"/>
                  <w:vMerge w:val="continue"/>
                  <w:noWrap w:val="0"/>
                  <w:vAlign w:val="center"/>
                </w:tcPr>
                <w:p w14:paraId="415BBC2A">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p>
              </w:tc>
              <w:tc>
                <w:tcPr>
                  <w:tcW w:w="383" w:type="pct"/>
                  <w:noWrap w:val="0"/>
                  <w:vAlign w:val="center"/>
                </w:tcPr>
                <w:p w14:paraId="3DD42085">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w:t>
                  </w:r>
                </w:p>
              </w:tc>
              <w:tc>
                <w:tcPr>
                  <w:tcW w:w="696" w:type="pct"/>
                  <w:noWrap w:val="0"/>
                  <w:vAlign w:val="center"/>
                </w:tcPr>
                <w:p w14:paraId="41029CD2">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w:t>
                  </w:r>
                  <w:r>
                    <w:rPr>
                      <w:rFonts w:hint="eastAsia" w:ascii="Times New Roman" w:hAnsi="Times New Roman" w:cs="Times New Roman"/>
                      <w:color w:val="auto"/>
                      <w:sz w:val="21"/>
                      <w:szCs w:val="21"/>
                      <w:highlight w:val="none"/>
                      <w:lang w:val="en-US" w:eastAsia="zh-CN"/>
                    </w:rPr>
                    <w:t>72</w:t>
                  </w:r>
                </w:p>
              </w:tc>
              <w:tc>
                <w:tcPr>
                  <w:tcW w:w="283" w:type="pct"/>
                  <w:noWrap w:val="0"/>
                  <w:vAlign w:val="center"/>
                </w:tcPr>
                <w:p w14:paraId="76B1844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4" w:type="pct"/>
                  <w:noWrap w:val="0"/>
                  <w:vAlign w:val="center"/>
                </w:tcPr>
                <w:p w14:paraId="2CC5BBA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0" w:type="pct"/>
                  <w:vMerge w:val="continue"/>
                  <w:noWrap w:val="0"/>
                  <w:vAlign w:val="center"/>
                </w:tcPr>
                <w:p w14:paraId="2331DD60">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35" w:type="pct"/>
                  <w:vMerge w:val="continue"/>
                  <w:noWrap w:val="0"/>
                  <w:vAlign w:val="center"/>
                </w:tcPr>
                <w:p w14:paraId="39578DC3">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20" w:type="pct"/>
                  <w:noWrap w:val="0"/>
                  <w:vAlign w:val="center"/>
                </w:tcPr>
                <w:p w14:paraId="65BCAEB0">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429" w:type="pct"/>
                  <w:noWrap w:val="0"/>
                  <w:vAlign w:val="center"/>
                </w:tcPr>
                <w:p w14:paraId="1C8E5FC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77A47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372" w:type="pct"/>
                  <w:vMerge w:val="continue"/>
                  <w:noWrap w:val="0"/>
                  <w:vAlign w:val="center"/>
                </w:tcPr>
                <w:p w14:paraId="13DC2ACE">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337" w:type="pct"/>
                  <w:vMerge w:val="continue"/>
                  <w:noWrap w:val="0"/>
                  <w:vAlign w:val="center"/>
                </w:tcPr>
                <w:p w14:paraId="2C8F9BD1">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p>
              </w:tc>
              <w:tc>
                <w:tcPr>
                  <w:tcW w:w="501" w:type="pct"/>
                  <w:noWrap w:val="0"/>
                  <w:vAlign w:val="center"/>
                </w:tcPr>
                <w:p w14:paraId="0ED41F26">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414" w:type="pct"/>
                  <w:vMerge w:val="continue"/>
                  <w:noWrap w:val="0"/>
                  <w:vAlign w:val="center"/>
                </w:tcPr>
                <w:p w14:paraId="61369D0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p>
              </w:tc>
              <w:tc>
                <w:tcPr>
                  <w:tcW w:w="383" w:type="pct"/>
                  <w:noWrap w:val="0"/>
                  <w:vAlign w:val="center"/>
                </w:tcPr>
                <w:p w14:paraId="188A526A">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250</w:t>
                  </w:r>
                </w:p>
              </w:tc>
              <w:tc>
                <w:tcPr>
                  <w:tcW w:w="696" w:type="pct"/>
                  <w:noWrap w:val="0"/>
                  <w:vAlign w:val="center"/>
                </w:tcPr>
                <w:p w14:paraId="08E87190">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w:t>
                  </w:r>
                  <w:r>
                    <w:rPr>
                      <w:rFonts w:hint="eastAsia" w:ascii="Times New Roman" w:hAnsi="Times New Roman" w:cs="Times New Roman"/>
                      <w:color w:val="auto"/>
                      <w:sz w:val="21"/>
                      <w:szCs w:val="21"/>
                      <w:highlight w:val="none"/>
                      <w:lang w:val="en-US" w:eastAsia="zh-CN"/>
                    </w:rPr>
                    <w:t>6</w:t>
                  </w:r>
                </w:p>
              </w:tc>
              <w:tc>
                <w:tcPr>
                  <w:tcW w:w="283" w:type="pct"/>
                  <w:noWrap w:val="0"/>
                  <w:vAlign w:val="center"/>
                </w:tcPr>
                <w:p w14:paraId="0409A2DA">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4" w:type="pct"/>
                  <w:noWrap w:val="0"/>
                  <w:vAlign w:val="center"/>
                </w:tcPr>
                <w:p w14:paraId="0DB261B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360" w:type="pct"/>
                  <w:vMerge w:val="continue"/>
                  <w:noWrap w:val="0"/>
                  <w:vAlign w:val="center"/>
                </w:tcPr>
                <w:p w14:paraId="0DB9EC22">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35" w:type="pct"/>
                  <w:vMerge w:val="continue"/>
                  <w:noWrap w:val="0"/>
                  <w:vAlign w:val="center"/>
                </w:tcPr>
                <w:p w14:paraId="2331B7A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rPr>
                  </w:pPr>
                </w:p>
              </w:tc>
              <w:tc>
                <w:tcPr>
                  <w:tcW w:w="420" w:type="pct"/>
                  <w:noWrap w:val="0"/>
                  <w:vAlign w:val="center"/>
                </w:tcPr>
                <w:p w14:paraId="3F48C7FC">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429" w:type="pct"/>
                  <w:noWrap w:val="0"/>
                  <w:vAlign w:val="center"/>
                </w:tcPr>
                <w:p w14:paraId="12ECE1E0">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bl>
          <w:p w14:paraId="1DB32296">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3、噪声</w:t>
            </w:r>
          </w:p>
          <w:p w14:paraId="4D4BA16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（一）源强核算</w:t>
            </w:r>
          </w:p>
          <w:p w14:paraId="653B5EE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rPr>
              <w:t>本项目噪声源主要为风机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滚筒筛</w:t>
            </w:r>
            <w:r>
              <w:rPr>
                <w:rFonts w:hint="default" w:ascii="Times New Roman" w:hAnsi="Times New Roman" w:eastAsia="宋体" w:cs="Times New Roman"/>
                <w:color w:val="auto"/>
                <w:sz w:val="24"/>
                <w:szCs w:val="24"/>
                <w:highlight w:val="none"/>
              </w:rPr>
              <w:t>等设备，</w:t>
            </w:r>
            <w:r>
              <w:rPr>
                <w:rFonts w:hint="default" w:ascii="Times New Roman" w:hAnsi="Times New Roman" w:eastAsia="宋体" w:cs="Times New Roman"/>
                <w:color w:val="auto"/>
                <w:sz w:val="24"/>
                <w:szCs w:val="24"/>
                <w:highlight w:val="none"/>
                <w:lang w:val="en-US" w:eastAsia="zh-CN"/>
              </w:rPr>
              <w:t>参照《污染源源强核算技术指南锅炉》（HJ991-2018）中附录E锅炉相关设备噪声源强参考值、</w:t>
            </w:r>
            <w:r>
              <w:rPr>
                <w:rFonts w:hint="default" w:ascii="Times New Roman" w:hAnsi="Times New Roman" w:eastAsia="宋体" w:cs="Times New Roman"/>
                <w:color w:val="auto"/>
                <w:sz w:val="24"/>
                <w:highlight w:val="none"/>
              </w:rPr>
              <w:t>根据设备类型经查找资料</w:t>
            </w:r>
            <w:r>
              <w:rPr>
                <w:rFonts w:hint="default" w:ascii="Times New Roman" w:hAnsi="Times New Roman" w:eastAsia="宋体" w:cs="Times New Roman"/>
                <w:color w:val="auto"/>
                <w:sz w:val="24"/>
                <w:highlight w:val="none"/>
                <w:lang w:val="en-US" w:eastAsia="zh-CN"/>
              </w:rPr>
              <w:t>及类比现有工程设备情况</w:t>
            </w:r>
            <w:r>
              <w:rPr>
                <w:rFonts w:hint="default" w:ascii="Times New Roman" w:hAnsi="Times New Roman" w:eastAsia="宋体" w:cs="Times New Roman"/>
                <w:color w:val="auto"/>
                <w:sz w:val="24"/>
                <w:highlight w:val="none"/>
              </w:rPr>
              <w:t>可知，</w:t>
            </w:r>
            <w:r>
              <w:rPr>
                <w:rFonts w:hint="default" w:ascii="Times New Roman" w:hAnsi="Times New Roman" w:eastAsia="宋体" w:cs="Times New Roman"/>
                <w:color w:val="auto"/>
                <w:sz w:val="24"/>
                <w:szCs w:val="24"/>
                <w:highlight w:val="none"/>
              </w:rPr>
              <w:t>噪声值在70～85dB(A)之间，</w:t>
            </w:r>
            <w:r>
              <w:rPr>
                <w:rFonts w:hint="default" w:ascii="Times New Roman" w:hAnsi="Times New Roman" w:eastAsia="宋体" w:cs="Times New Roman"/>
                <w:color w:val="auto"/>
                <w:sz w:val="24"/>
                <w:szCs w:val="24"/>
                <w:highlight w:val="none"/>
                <w:lang w:bidi="ar"/>
              </w:rPr>
              <w:t>噪声</w:t>
            </w:r>
            <w:r>
              <w:rPr>
                <w:rFonts w:hint="default" w:ascii="Times New Roman" w:hAnsi="Times New Roman" w:eastAsia="宋体" w:cs="Times New Roman"/>
                <w:color w:val="auto"/>
                <w:sz w:val="24"/>
                <w:szCs w:val="24"/>
                <w:highlight w:val="none"/>
              </w:rPr>
              <w:t>源强见</w:t>
            </w:r>
            <w:r>
              <w:rPr>
                <w:rFonts w:hint="default" w:ascii="Times New Roman" w:hAnsi="Times New Roman" w:eastAsia="宋体"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lang w:bidi="ar"/>
              </w:rPr>
              <w:t>。</w:t>
            </w:r>
          </w:p>
          <w:p w14:paraId="6C0FF028">
            <w:pPr>
              <w:pStyle w:val="56"/>
              <w:keepNext w:val="0"/>
              <w:keepLines w:val="0"/>
              <w:suppressLineNumbers w:val="0"/>
              <w:adjustRightInd w:val="0"/>
              <w:snapToGrid w:val="0"/>
              <w:spacing w:before="0" w:beforeAutospacing="0" w:after="0" w:afterAutospacing="0" w:line="500" w:lineRule="atLeast"/>
              <w:ind w:left="0" w:leftChars="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表4-</w:t>
            </w:r>
            <w:r>
              <w:rPr>
                <w:rFonts w:hint="eastAsia" w:cs="Times New Roman"/>
                <w:b/>
                <w:color w:val="auto"/>
                <w:kern w:val="2"/>
                <w:sz w:val="21"/>
                <w:szCs w:val="21"/>
                <w:highlight w:val="none"/>
                <w:lang w:val="en-US" w:eastAsia="zh-CN" w:bidi="ar-SA"/>
              </w:rPr>
              <w:t>7</w:t>
            </w:r>
            <w:r>
              <w:rPr>
                <w:rFonts w:hint="default" w:ascii="Times New Roman" w:hAnsi="Times New Roman" w:eastAsia="宋体" w:cs="Times New Roman"/>
                <w:b/>
                <w:color w:val="auto"/>
                <w:kern w:val="2"/>
                <w:sz w:val="21"/>
                <w:szCs w:val="21"/>
                <w:highlight w:val="none"/>
                <w:lang w:val="en-US" w:eastAsia="zh-CN" w:bidi="ar-SA"/>
              </w:rPr>
              <w:t>工业企业噪声源强调查清单（室外声源）单位：dB（A）</w:t>
            </w:r>
          </w:p>
          <w:tbl>
            <w:tblPr>
              <w:tblStyle w:val="33"/>
              <w:tblW w:w="785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9"/>
              <w:gridCol w:w="794"/>
              <w:gridCol w:w="1316"/>
              <w:gridCol w:w="595"/>
              <w:gridCol w:w="600"/>
              <w:gridCol w:w="643"/>
              <w:gridCol w:w="464"/>
              <w:gridCol w:w="1190"/>
              <w:gridCol w:w="760"/>
              <w:gridCol w:w="749"/>
            </w:tblGrid>
            <w:tr w14:paraId="580F97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9" w:type="dxa"/>
                  <w:vMerge w:val="restart"/>
                  <w:tcBorders>
                    <w:tl2br w:val="nil"/>
                    <w:tr2bl w:val="nil"/>
                  </w:tcBorders>
                  <w:noWrap w:val="0"/>
                  <w:vAlign w:val="center"/>
                </w:tcPr>
                <w:p w14:paraId="6F106D2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序号</w:t>
                  </w:r>
                </w:p>
              </w:tc>
              <w:tc>
                <w:tcPr>
                  <w:tcW w:w="794" w:type="dxa"/>
                  <w:vMerge w:val="restart"/>
                  <w:tcBorders>
                    <w:tl2br w:val="nil"/>
                    <w:tr2bl w:val="nil"/>
                  </w:tcBorders>
                  <w:noWrap w:val="0"/>
                  <w:vAlign w:val="center"/>
                </w:tcPr>
                <w:p w14:paraId="0F273318">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建筑物名称</w:t>
                  </w:r>
                </w:p>
              </w:tc>
              <w:tc>
                <w:tcPr>
                  <w:tcW w:w="1316" w:type="dxa"/>
                  <w:vMerge w:val="restart"/>
                  <w:tcBorders>
                    <w:tl2br w:val="nil"/>
                    <w:tr2bl w:val="nil"/>
                  </w:tcBorders>
                  <w:noWrap w:val="0"/>
                  <w:vAlign w:val="center"/>
                </w:tcPr>
                <w:p w14:paraId="10F3922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声源名称</w:t>
                  </w:r>
                </w:p>
              </w:tc>
              <w:tc>
                <w:tcPr>
                  <w:tcW w:w="595" w:type="dxa"/>
                  <w:vMerge w:val="restart"/>
                  <w:tcBorders>
                    <w:tl2br w:val="nil"/>
                    <w:tr2bl w:val="nil"/>
                  </w:tcBorders>
                  <w:noWrap w:val="0"/>
                  <w:vAlign w:val="center"/>
                </w:tcPr>
                <w:p w14:paraId="37ADE9ED">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型号</w:t>
                  </w:r>
                </w:p>
              </w:tc>
              <w:tc>
                <w:tcPr>
                  <w:tcW w:w="1707" w:type="dxa"/>
                  <w:gridSpan w:val="3"/>
                  <w:tcBorders>
                    <w:tl2br w:val="nil"/>
                    <w:tr2bl w:val="nil"/>
                  </w:tcBorders>
                  <w:noWrap w:val="0"/>
                  <w:vAlign w:val="center"/>
                </w:tcPr>
                <w:p w14:paraId="3F56FF64">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空间相对位置/m</w:t>
                  </w:r>
                </w:p>
              </w:tc>
              <w:tc>
                <w:tcPr>
                  <w:tcW w:w="1190" w:type="dxa"/>
                  <w:vMerge w:val="restart"/>
                  <w:tcBorders>
                    <w:tl2br w:val="nil"/>
                    <w:tr2bl w:val="nil"/>
                  </w:tcBorders>
                  <w:noWrap w:val="0"/>
                  <w:vAlign w:val="center"/>
                </w:tcPr>
                <w:p w14:paraId="499F2597">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声源源强（声压级/dB（A））</w:t>
                  </w:r>
                </w:p>
              </w:tc>
              <w:tc>
                <w:tcPr>
                  <w:tcW w:w="760" w:type="dxa"/>
                  <w:vMerge w:val="restart"/>
                  <w:tcBorders>
                    <w:tl2br w:val="nil"/>
                    <w:tr2bl w:val="nil"/>
                  </w:tcBorders>
                  <w:noWrap w:val="0"/>
                  <w:vAlign w:val="center"/>
                </w:tcPr>
                <w:p w14:paraId="0C088D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声源控制措施</w:t>
                  </w:r>
                </w:p>
              </w:tc>
              <w:tc>
                <w:tcPr>
                  <w:tcW w:w="749" w:type="dxa"/>
                  <w:vMerge w:val="restart"/>
                  <w:tcBorders>
                    <w:tl2br w:val="nil"/>
                    <w:tr2bl w:val="nil"/>
                  </w:tcBorders>
                  <w:noWrap w:val="0"/>
                  <w:vAlign w:val="center"/>
                </w:tcPr>
                <w:p w14:paraId="3572B2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运行时段</w:t>
                  </w:r>
                </w:p>
              </w:tc>
            </w:tr>
            <w:tr w14:paraId="57300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739" w:type="dxa"/>
                  <w:vMerge w:val="continue"/>
                  <w:tcBorders>
                    <w:tl2br w:val="nil"/>
                    <w:tr2bl w:val="nil"/>
                  </w:tcBorders>
                  <w:noWrap w:val="0"/>
                  <w:vAlign w:val="center"/>
                </w:tcPr>
                <w:p w14:paraId="407E04C5">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p>
              </w:tc>
              <w:tc>
                <w:tcPr>
                  <w:tcW w:w="794" w:type="dxa"/>
                  <w:vMerge w:val="continue"/>
                  <w:tcBorders>
                    <w:tl2br w:val="nil"/>
                    <w:tr2bl w:val="nil"/>
                  </w:tcBorders>
                  <w:noWrap w:val="0"/>
                  <w:vAlign w:val="center"/>
                </w:tcPr>
                <w:p w14:paraId="533E5AA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p>
              </w:tc>
              <w:tc>
                <w:tcPr>
                  <w:tcW w:w="1316" w:type="dxa"/>
                  <w:vMerge w:val="continue"/>
                  <w:tcBorders>
                    <w:tl2br w:val="nil"/>
                    <w:tr2bl w:val="nil"/>
                  </w:tcBorders>
                  <w:noWrap w:val="0"/>
                  <w:vAlign w:val="center"/>
                </w:tcPr>
                <w:p w14:paraId="1CB1A30C">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p>
              </w:tc>
              <w:tc>
                <w:tcPr>
                  <w:tcW w:w="595" w:type="dxa"/>
                  <w:vMerge w:val="continue"/>
                  <w:tcBorders>
                    <w:tl2br w:val="nil"/>
                    <w:tr2bl w:val="nil"/>
                  </w:tcBorders>
                  <w:noWrap w:val="0"/>
                  <w:vAlign w:val="center"/>
                </w:tcPr>
                <w:p w14:paraId="0AD1A425">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p>
              </w:tc>
              <w:tc>
                <w:tcPr>
                  <w:tcW w:w="600" w:type="dxa"/>
                  <w:tcBorders>
                    <w:tl2br w:val="nil"/>
                    <w:tr2bl w:val="nil"/>
                  </w:tcBorders>
                  <w:noWrap w:val="0"/>
                  <w:vAlign w:val="center"/>
                </w:tcPr>
                <w:p w14:paraId="620E991D">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X</w:t>
                  </w:r>
                </w:p>
              </w:tc>
              <w:tc>
                <w:tcPr>
                  <w:tcW w:w="643" w:type="dxa"/>
                  <w:tcBorders>
                    <w:tl2br w:val="nil"/>
                    <w:tr2bl w:val="nil"/>
                  </w:tcBorders>
                  <w:noWrap w:val="0"/>
                  <w:vAlign w:val="center"/>
                </w:tcPr>
                <w:p w14:paraId="2F878DFB">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Y</w:t>
                  </w:r>
                </w:p>
              </w:tc>
              <w:tc>
                <w:tcPr>
                  <w:tcW w:w="464" w:type="dxa"/>
                  <w:tcBorders>
                    <w:tl2br w:val="nil"/>
                    <w:tr2bl w:val="nil"/>
                  </w:tcBorders>
                  <w:noWrap w:val="0"/>
                  <w:vAlign w:val="center"/>
                </w:tcPr>
                <w:p w14:paraId="2A7F85D8">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Z</w:t>
                  </w:r>
                </w:p>
              </w:tc>
              <w:tc>
                <w:tcPr>
                  <w:tcW w:w="1190" w:type="dxa"/>
                  <w:vMerge w:val="continue"/>
                  <w:tcBorders>
                    <w:tl2br w:val="nil"/>
                    <w:tr2bl w:val="nil"/>
                  </w:tcBorders>
                  <w:noWrap w:val="0"/>
                  <w:vAlign w:val="center"/>
                </w:tcPr>
                <w:p w14:paraId="1DAAFEB4">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p>
              </w:tc>
              <w:tc>
                <w:tcPr>
                  <w:tcW w:w="760" w:type="dxa"/>
                  <w:vMerge w:val="continue"/>
                  <w:tcBorders>
                    <w:tl2br w:val="nil"/>
                    <w:tr2bl w:val="nil"/>
                  </w:tcBorders>
                  <w:noWrap w:val="0"/>
                  <w:vAlign w:val="center"/>
                </w:tcPr>
                <w:p w14:paraId="088DCC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749" w:type="dxa"/>
                  <w:vMerge w:val="continue"/>
                  <w:tcBorders>
                    <w:tl2br w:val="nil"/>
                    <w:tr2bl w:val="nil"/>
                  </w:tcBorders>
                  <w:noWrap w:val="0"/>
                  <w:vAlign w:val="center"/>
                </w:tcPr>
                <w:p w14:paraId="346FD2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r w14:paraId="15931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39" w:type="dxa"/>
                  <w:tcBorders>
                    <w:tl2br w:val="nil"/>
                    <w:tr2bl w:val="nil"/>
                  </w:tcBorders>
                  <w:noWrap w:val="0"/>
                  <w:vAlign w:val="center"/>
                </w:tcPr>
                <w:p w14:paraId="2D5703A0">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1</w:t>
                  </w:r>
                </w:p>
              </w:tc>
              <w:tc>
                <w:tcPr>
                  <w:tcW w:w="794" w:type="dxa"/>
                  <w:tcBorders>
                    <w:tl2br w:val="nil"/>
                    <w:tr2bl w:val="nil"/>
                  </w:tcBorders>
                  <w:noWrap w:val="0"/>
                  <w:vAlign w:val="center"/>
                </w:tcPr>
                <w:p w14:paraId="75FABB0B">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烘干塔</w:t>
                  </w:r>
                </w:p>
              </w:tc>
              <w:tc>
                <w:tcPr>
                  <w:tcW w:w="1316" w:type="dxa"/>
                  <w:tcBorders>
                    <w:tl2br w:val="nil"/>
                    <w:tr2bl w:val="nil"/>
                  </w:tcBorders>
                  <w:noWrap w:val="0"/>
                  <w:vAlign w:val="center"/>
                </w:tcPr>
                <w:p w14:paraId="347CE68E">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u w:val="none"/>
                      <w:lang w:eastAsia="zh-CN"/>
                    </w:rPr>
                  </w:pPr>
                  <w:r>
                    <w:rPr>
                      <w:rFonts w:hint="default" w:ascii="Times New Roman" w:hAnsi="Times New Roman" w:eastAsia="宋体" w:cs="Times New Roman"/>
                      <w:color w:val="auto"/>
                      <w:sz w:val="21"/>
                      <w:szCs w:val="21"/>
                      <w:highlight w:val="none"/>
                      <w:u w:val="none"/>
                    </w:rPr>
                    <w:t>烘干塔</w:t>
                  </w:r>
                </w:p>
              </w:tc>
              <w:tc>
                <w:tcPr>
                  <w:tcW w:w="595" w:type="dxa"/>
                  <w:tcBorders>
                    <w:tl2br w:val="nil"/>
                    <w:tr2bl w:val="nil"/>
                  </w:tcBorders>
                  <w:noWrap w:val="0"/>
                  <w:vAlign w:val="center"/>
                </w:tcPr>
                <w:p w14:paraId="623B6B20">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rPr>
                    <w:t>/</w:t>
                  </w:r>
                </w:p>
              </w:tc>
              <w:tc>
                <w:tcPr>
                  <w:tcW w:w="600" w:type="dxa"/>
                  <w:tcBorders>
                    <w:tl2br w:val="nil"/>
                    <w:tr2bl w:val="nil"/>
                  </w:tcBorders>
                  <w:noWrap w:val="0"/>
                  <w:vAlign w:val="center"/>
                </w:tcPr>
                <w:p w14:paraId="5DF958F0">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-75</w:t>
                  </w:r>
                </w:p>
              </w:tc>
              <w:tc>
                <w:tcPr>
                  <w:tcW w:w="643" w:type="dxa"/>
                  <w:tcBorders>
                    <w:tl2br w:val="nil"/>
                    <w:tr2bl w:val="nil"/>
                  </w:tcBorders>
                  <w:noWrap w:val="0"/>
                  <w:vAlign w:val="center"/>
                </w:tcPr>
                <w:p w14:paraId="2F686041">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01F731D1">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20</w:t>
                  </w:r>
                </w:p>
              </w:tc>
              <w:tc>
                <w:tcPr>
                  <w:tcW w:w="1190" w:type="dxa"/>
                  <w:tcBorders>
                    <w:tl2br w:val="nil"/>
                    <w:tr2bl w:val="nil"/>
                  </w:tcBorders>
                  <w:noWrap w:val="0"/>
                  <w:vAlign w:val="center"/>
                </w:tcPr>
                <w:p w14:paraId="528B04DF">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80</w:t>
                  </w:r>
                </w:p>
              </w:tc>
              <w:tc>
                <w:tcPr>
                  <w:tcW w:w="760" w:type="dxa"/>
                  <w:vMerge w:val="restart"/>
                  <w:tcBorders>
                    <w:tl2br w:val="nil"/>
                    <w:tr2bl w:val="nil"/>
                  </w:tcBorders>
                  <w:noWrap w:val="0"/>
                  <w:vAlign w:val="center"/>
                </w:tcPr>
                <w:p w14:paraId="705C81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采取低噪声设备，建筑物隔声、基础减振</w:t>
                  </w:r>
                </w:p>
              </w:tc>
              <w:tc>
                <w:tcPr>
                  <w:tcW w:w="749" w:type="dxa"/>
                  <w:vMerge w:val="restart"/>
                  <w:tcBorders>
                    <w:tl2br w:val="nil"/>
                    <w:tr2bl w:val="nil"/>
                  </w:tcBorders>
                  <w:noWrap w:val="0"/>
                  <w:vAlign w:val="center"/>
                </w:tcPr>
                <w:p w14:paraId="6D5FF6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运行期</w:t>
                  </w:r>
                </w:p>
              </w:tc>
            </w:tr>
            <w:tr w14:paraId="60880B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2C0FB86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794" w:type="dxa"/>
                  <w:tcBorders>
                    <w:tl2br w:val="nil"/>
                    <w:tr2bl w:val="nil"/>
                  </w:tcBorders>
                  <w:noWrap w:val="0"/>
                  <w:vAlign w:val="center"/>
                </w:tcPr>
                <w:p w14:paraId="72DFF7FE">
                  <w:pPr>
                    <w:pStyle w:val="58"/>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u w:val="none"/>
                    </w:rPr>
                  </w:pPr>
                  <w:r>
                    <w:rPr>
                      <w:rFonts w:hint="default"/>
                      <w:snapToGrid w:val="0"/>
                      <w:color w:val="auto"/>
                      <w:sz w:val="21"/>
                      <w:szCs w:val="21"/>
                      <w:highlight w:val="none"/>
                    </w:rPr>
                    <w:t>输送机</w:t>
                  </w:r>
                </w:p>
              </w:tc>
              <w:tc>
                <w:tcPr>
                  <w:tcW w:w="1316" w:type="dxa"/>
                  <w:tcBorders>
                    <w:tl2br w:val="nil"/>
                    <w:tr2bl w:val="nil"/>
                  </w:tcBorders>
                  <w:noWrap w:val="0"/>
                  <w:vAlign w:val="center"/>
                </w:tcPr>
                <w:p w14:paraId="4948AEA3">
                  <w:pPr>
                    <w:pStyle w:val="58"/>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u w:val="none"/>
                    </w:rPr>
                  </w:pPr>
                  <w:r>
                    <w:rPr>
                      <w:rFonts w:hint="default"/>
                      <w:snapToGrid w:val="0"/>
                      <w:color w:val="auto"/>
                      <w:sz w:val="21"/>
                      <w:szCs w:val="21"/>
                      <w:highlight w:val="none"/>
                    </w:rPr>
                    <w:t>输送机</w:t>
                  </w:r>
                </w:p>
              </w:tc>
              <w:tc>
                <w:tcPr>
                  <w:tcW w:w="595" w:type="dxa"/>
                  <w:tcBorders>
                    <w:tl2br w:val="nil"/>
                    <w:tr2bl w:val="nil"/>
                  </w:tcBorders>
                  <w:noWrap w:val="0"/>
                  <w:vAlign w:val="center"/>
                </w:tcPr>
                <w:p w14:paraId="08459AB8">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u w:val="none"/>
                    </w:rPr>
                  </w:pPr>
                  <w:r>
                    <w:rPr>
                      <w:rFonts w:hint="default"/>
                      <w:bCs/>
                      <w:color w:val="auto"/>
                      <w:sz w:val="21"/>
                      <w:szCs w:val="21"/>
                      <w:highlight w:val="none"/>
                    </w:rPr>
                    <w:t>/</w:t>
                  </w:r>
                </w:p>
              </w:tc>
              <w:tc>
                <w:tcPr>
                  <w:tcW w:w="600" w:type="dxa"/>
                  <w:tcBorders>
                    <w:tl2br w:val="nil"/>
                    <w:tr2bl w:val="nil"/>
                  </w:tcBorders>
                  <w:noWrap w:val="0"/>
                  <w:vAlign w:val="center"/>
                </w:tcPr>
                <w:p w14:paraId="7148D738">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-78</w:t>
                  </w:r>
                </w:p>
              </w:tc>
              <w:tc>
                <w:tcPr>
                  <w:tcW w:w="643" w:type="dxa"/>
                  <w:tcBorders>
                    <w:tl2br w:val="nil"/>
                    <w:tr2bl w:val="nil"/>
                  </w:tcBorders>
                  <w:noWrap w:val="0"/>
                  <w:vAlign w:val="center"/>
                </w:tcPr>
                <w:p w14:paraId="121CAD91">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56F76DC1">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4</w:t>
                  </w:r>
                </w:p>
              </w:tc>
              <w:tc>
                <w:tcPr>
                  <w:tcW w:w="1190" w:type="dxa"/>
                  <w:tcBorders>
                    <w:tl2br w:val="nil"/>
                    <w:tr2bl w:val="nil"/>
                  </w:tcBorders>
                  <w:noWrap w:val="0"/>
                  <w:vAlign w:val="center"/>
                </w:tcPr>
                <w:p w14:paraId="7F24D27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u w:val="none"/>
                      <w:lang w:val="en-US" w:eastAsia="zh-CN"/>
                    </w:rPr>
                  </w:pPr>
                  <w:r>
                    <w:rPr>
                      <w:rFonts w:hint="default"/>
                      <w:color w:val="auto"/>
                      <w:sz w:val="21"/>
                      <w:szCs w:val="21"/>
                      <w:highlight w:val="none"/>
                    </w:rPr>
                    <w:t>80</w:t>
                  </w:r>
                </w:p>
              </w:tc>
              <w:tc>
                <w:tcPr>
                  <w:tcW w:w="760" w:type="dxa"/>
                  <w:vMerge w:val="continue"/>
                  <w:tcBorders>
                    <w:tl2br w:val="nil"/>
                    <w:tr2bl w:val="nil"/>
                  </w:tcBorders>
                  <w:noWrap w:val="0"/>
                  <w:vAlign w:val="center"/>
                </w:tcPr>
                <w:p w14:paraId="00BF27F5">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0B26459A">
                  <w:pPr>
                    <w:keepNext w:val="0"/>
                    <w:keepLines w:val="0"/>
                    <w:suppressLineNumbers w:val="0"/>
                    <w:spacing w:before="0" w:beforeAutospacing="0" w:after="0" w:afterAutospacing="0"/>
                    <w:ind w:left="0" w:right="0"/>
                    <w:jc w:val="center"/>
                    <w:rPr>
                      <w:rFonts w:hint="default" w:ascii="Times New Roman" w:hAnsi="Times New Roman"/>
                      <w:bCs/>
                      <w:color w:val="auto"/>
                      <w:sz w:val="21"/>
                      <w:szCs w:val="21"/>
                      <w:highlight w:val="none"/>
                    </w:rPr>
                  </w:pPr>
                </w:p>
              </w:tc>
            </w:tr>
            <w:tr w14:paraId="00D42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0771317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3</w:t>
                  </w:r>
                </w:p>
              </w:tc>
              <w:tc>
                <w:tcPr>
                  <w:tcW w:w="794" w:type="dxa"/>
                  <w:tcBorders>
                    <w:tl2br w:val="nil"/>
                    <w:tr2bl w:val="nil"/>
                  </w:tcBorders>
                  <w:noWrap w:val="0"/>
                  <w:vAlign w:val="center"/>
                </w:tcPr>
                <w:p w14:paraId="54EDEF6F">
                  <w:pPr>
                    <w:pStyle w:val="58"/>
                    <w:keepNext w:val="0"/>
                    <w:keepLines w:val="0"/>
                    <w:suppressLineNumbers w:val="0"/>
                    <w:spacing w:before="0" w:beforeAutospacing="0" w:after="0" w:afterAutospacing="0"/>
                    <w:ind w:left="0" w:right="0"/>
                    <w:jc w:val="center"/>
                    <w:rPr>
                      <w:rFonts w:hint="default"/>
                      <w:snapToGrid w:val="0"/>
                      <w:color w:val="auto"/>
                      <w:sz w:val="21"/>
                      <w:szCs w:val="21"/>
                      <w:highlight w:val="none"/>
                    </w:rPr>
                  </w:pPr>
                  <w:r>
                    <w:rPr>
                      <w:rFonts w:hint="eastAsia" w:ascii="宋体" w:hAnsi="宋体" w:eastAsia="宋体" w:cs="宋体"/>
                      <w:color w:val="auto"/>
                      <w:kern w:val="0"/>
                      <w:sz w:val="20"/>
                      <w:szCs w:val="20"/>
                      <w:highlight w:val="none"/>
                      <w:lang w:val="en-US" w:eastAsia="zh-CN" w:bidi="ar"/>
                    </w:rPr>
                    <w:t>提升机</w:t>
                  </w:r>
                </w:p>
              </w:tc>
              <w:tc>
                <w:tcPr>
                  <w:tcW w:w="1316" w:type="dxa"/>
                  <w:tcBorders>
                    <w:tl2br w:val="nil"/>
                    <w:tr2bl w:val="nil"/>
                  </w:tcBorders>
                  <w:noWrap w:val="0"/>
                  <w:vAlign w:val="center"/>
                </w:tcPr>
                <w:p w14:paraId="51CBC3A2">
                  <w:pPr>
                    <w:keepNext w:val="0"/>
                    <w:keepLines w:val="0"/>
                    <w:widowControl/>
                    <w:suppressLineNumbers w:val="0"/>
                    <w:spacing w:before="0" w:beforeAutospacing="0" w:after="0" w:afterAutospacing="0"/>
                    <w:ind w:left="0" w:right="0"/>
                    <w:jc w:val="center"/>
                    <w:rPr>
                      <w:rFonts w:hint="default"/>
                      <w:snapToGrid w:val="0"/>
                      <w:color w:val="auto"/>
                      <w:sz w:val="21"/>
                      <w:szCs w:val="21"/>
                      <w:highlight w:val="none"/>
                    </w:rPr>
                  </w:pPr>
                  <w:r>
                    <w:rPr>
                      <w:rFonts w:hint="eastAsia" w:ascii="宋体" w:hAnsi="宋体" w:eastAsia="宋体" w:cs="宋体"/>
                      <w:color w:val="auto"/>
                      <w:kern w:val="0"/>
                      <w:sz w:val="20"/>
                      <w:szCs w:val="20"/>
                      <w:highlight w:val="none"/>
                      <w:lang w:val="en-US" w:eastAsia="zh-CN" w:bidi="ar"/>
                    </w:rPr>
                    <w:t>提升机</w:t>
                  </w:r>
                </w:p>
              </w:tc>
              <w:tc>
                <w:tcPr>
                  <w:tcW w:w="595" w:type="dxa"/>
                  <w:tcBorders>
                    <w:tl2br w:val="nil"/>
                    <w:tr2bl w:val="nil"/>
                  </w:tcBorders>
                  <w:noWrap w:val="0"/>
                  <w:vAlign w:val="center"/>
                </w:tcPr>
                <w:p w14:paraId="68B49BE9">
                  <w:pPr>
                    <w:pStyle w:val="106"/>
                    <w:keepNext w:val="0"/>
                    <w:keepLines w:val="0"/>
                    <w:suppressLineNumbers w:val="0"/>
                    <w:spacing w:before="0" w:beforeAutospacing="0" w:after="0" w:afterAutospacing="0" w:line="240" w:lineRule="auto"/>
                    <w:ind w:left="0" w:right="0" w:firstLine="0" w:firstLineChars="0"/>
                    <w:jc w:val="center"/>
                    <w:rPr>
                      <w:rFonts w:hint="eastAsia" w:eastAsia="宋体"/>
                      <w:bCs/>
                      <w:color w:val="auto"/>
                      <w:sz w:val="21"/>
                      <w:szCs w:val="21"/>
                      <w:highlight w:val="none"/>
                      <w:lang w:val="en-US" w:eastAsia="zh-CN"/>
                    </w:rPr>
                  </w:pPr>
                  <w:r>
                    <w:rPr>
                      <w:rFonts w:hint="eastAsia"/>
                      <w:bCs/>
                      <w:color w:val="auto"/>
                      <w:sz w:val="21"/>
                      <w:szCs w:val="21"/>
                      <w:highlight w:val="none"/>
                      <w:lang w:val="en-US" w:eastAsia="zh-CN"/>
                    </w:rPr>
                    <w:t>/</w:t>
                  </w:r>
                </w:p>
              </w:tc>
              <w:tc>
                <w:tcPr>
                  <w:tcW w:w="600" w:type="dxa"/>
                  <w:tcBorders>
                    <w:tl2br w:val="nil"/>
                    <w:tr2bl w:val="nil"/>
                  </w:tcBorders>
                  <w:noWrap w:val="0"/>
                  <w:vAlign w:val="center"/>
                </w:tcPr>
                <w:p w14:paraId="7F8EACD8">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-77</w:t>
                  </w:r>
                </w:p>
              </w:tc>
              <w:tc>
                <w:tcPr>
                  <w:tcW w:w="643" w:type="dxa"/>
                  <w:tcBorders>
                    <w:tl2br w:val="nil"/>
                    <w:tr2bl w:val="nil"/>
                  </w:tcBorders>
                  <w:noWrap w:val="0"/>
                  <w:vAlign w:val="center"/>
                </w:tcPr>
                <w:p w14:paraId="0C41D4C4">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3</w:t>
                  </w:r>
                </w:p>
              </w:tc>
              <w:tc>
                <w:tcPr>
                  <w:tcW w:w="464" w:type="dxa"/>
                  <w:tcBorders>
                    <w:tl2br w:val="nil"/>
                    <w:tr2bl w:val="nil"/>
                  </w:tcBorders>
                  <w:noWrap w:val="0"/>
                  <w:vAlign w:val="center"/>
                </w:tcPr>
                <w:p w14:paraId="6F7F424D">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4</w:t>
                  </w:r>
                </w:p>
              </w:tc>
              <w:tc>
                <w:tcPr>
                  <w:tcW w:w="1190" w:type="dxa"/>
                  <w:tcBorders>
                    <w:tl2br w:val="nil"/>
                    <w:tr2bl w:val="nil"/>
                  </w:tcBorders>
                  <w:noWrap w:val="0"/>
                  <w:vAlign w:val="center"/>
                </w:tcPr>
                <w:p w14:paraId="331711B3">
                  <w:pPr>
                    <w:keepNext w:val="0"/>
                    <w:keepLines w:val="0"/>
                    <w:suppressLineNumbers w:val="0"/>
                    <w:spacing w:before="0" w:beforeAutospacing="0" w:after="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75</w:t>
                  </w:r>
                </w:p>
              </w:tc>
              <w:tc>
                <w:tcPr>
                  <w:tcW w:w="760" w:type="dxa"/>
                  <w:vMerge w:val="continue"/>
                  <w:tcBorders>
                    <w:tl2br w:val="nil"/>
                    <w:tr2bl w:val="nil"/>
                  </w:tcBorders>
                  <w:noWrap w:val="0"/>
                  <w:vAlign w:val="center"/>
                </w:tcPr>
                <w:p w14:paraId="3D47A5D1">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28160F2A">
                  <w:pPr>
                    <w:keepNext w:val="0"/>
                    <w:keepLines w:val="0"/>
                    <w:suppressLineNumbers w:val="0"/>
                    <w:spacing w:before="0" w:beforeAutospacing="0" w:after="0" w:afterAutospacing="0"/>
                    <w:ind w:left="0" w:right="0"/>
                    <w:jc w:val="center"/>
                    <w:rPr>
                      <w:rFonts w:hint="eastAsia"/>
                      <w:color w:val="auto"/>
                      <w:sz w:val="21"/>
                      <w:szCs w:val="21"/>
                      <w:highlight w:val="none"/>
                      <w:lang w:val="en-US" w:eastAsia="zh-CN"/>
                    </w:rPr>
                  </w:pPr>
                </w:p>
              </w:tc>
            </w:tr>
            <w:tr w14:paraId="5BFE43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41844267">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4</w:t>
                  </w:r>
                </w:p>
              </w:tc>
              <w:tc>
                <w:tcPr>
                  <w:tcW w:w="794" w:type="dxa"/>
                  <w:tcBorders>
                    <w:tl2br w:val="nil"/>
                    <w:tr2bl w:val="nil"/>
                  </w:tcBorders>
                  <w:noWrap w:val="0"/>
                  <w:vAlign w:val="center"/>
                </w:tcPr>
                <w:p w14:paraId="78751719">
                  <w:pPr>
                    <w:pStyle w:val="58"/>
                    <w:keepNext w:val="0"/>
                    <w:keepLines w:val="0"/>
                    <w:suppressLineNumbers w:val="0"/>
                    <w:spacing w:before="0" w:beforeAutospacing="0" w:after="0" w:afterAutospacing="0"/>
                    <w:ind w:left="0" w:right="0"/>
                    <w:jc w:val="center"/>
                    <w:rPr>
                      <w:rFonts w:hint="default" w:eastAsia="宋体"/>
                      <w:snapToGrid w:val="0"/>
                      <w:color w:val="auto"/>
                      <w:sz w:val="21"/>
                      <w:szCs w:val="21"/>
                      <w:highlight w:val="none"/>
                      <w:lang w:val="en-US" w:eastAsia="zh-CN"/>
                    </w:rPr>
                  </w:pPr>
                  <w:r>
                    <w:rPr>
                      <w:rFonts w:hint="eastAsia"/>
                      <w:snapToGrid w:val="0"/>
                      <w:color w:val="auto"/>
                      <w:sz w:val="21"/>
                      <w:szCs w:val="21"/>
                      <w:highlight w:val="none"/>
                      <w:lang w:val="en-US" w:eastAsia="zh-CN"/>
                    </w:rPr>
                    <w:t>水泵</w:t>
                  </w:r>
                </w:p>
              </w:tc>
              <w:tc>
                <w:tcPr>
                  <w:tcW w:w="1316" w:type="dxa"/>
                  <w:tcBorders>
                    <w:tl2br w:val="nil"/>
                    <w:tr2bl w:val="nil"/>
                  </w:tcBorders>
                  <w:noWrap w:val="0"/>
                  <w:vAlign w:val="center"/>
                </w:tcPr>
                <w:p w14:paraId="30C8DAC0">
                  <w:pPr>
                    <w:pStyle w:val="58"/>
                    <w:keepNext w:val="0"/>
                    <w:keepLines w:val="0"/>
                    <w:suppressLineNumbers w:val="0"/>
                    <w:spacing w:before="0" w:beforeAutospacing="0" w:after="0" w:afterAutospacing="0"/>
                    <w:ind w:left="0" w:right="0"/>
                    <w:jc w:val="center"/>
                    <w:rPr>
                      <w:rFonts w:hint="default"/>
                      <w:snapToGrid w:val="0"/>
                      <w:color w:val="auto"/>
                      <w:sz w:val="21"/>
                      <w:szCs w:val="21"/>
                      <w:highlight w:val="none"/>
                    </w:rPr>
                  </w:pPr>
                  <w:r>
                    <w:rPr>
                      <w:rFonts w:hint="eastAsia"/>
                      <w:snapToGrid w:val="0"/>
                      <w:color w:val="auto"/>
                      <w:sz w:val="21"/>
                      <w:szCs w:val="21"/>
                      <w:highlight w:val="none"/>
                      <w:lang w:val="en-US" w:eastAsia="zh-CN"/>
                    </w:rPr>
                    <w:t>水泵</w:t>
                  </w:r>
                </w:p>
              </w:tc>
              <w:tc>
                <w:tcPr>
                  <w:tcW w:w="595" w:type="dxa"/>
                  <w:tcBorders>
                    <w:tl2br w:val="nil"/>
                    <w:tr2bl w:val="nil"/>
                  </w:tcBorders>
                  <w:noWrap w:val="0"/>
                  <w:vAlign w:val="center"/>
                </w:tcPr>
                <w:p w14:paraId="62129E3C">
                  <w:pPr>
                    <w:pStyle w:val="106"/>
                    <w:keepNext w:val="0"/>
                    <w:keepLines w:val="0"/>
                    <w:suppressLineNumbers w:val="0"/>
                    <w:spacing w:before="0" w:beforeAutospacing="0" w:after="0" w:afterAutospacing="0" w:line="240" w:lineRule="auto"/>
                    <w:ind w:left="0" w:right="0" w:firstLine="0" w:firstLineChars="0"/>
                    <w:jc w:val="center"/>
                    <w:rPr>
                      <w:rFonts w:hint="default"/>
                      <w:bCs/>
                      <w:color w:val="auto"/>
                      <w:sz w:val="21"/>
                      <w:szCs w:val="21"/>
                      <w:highlight w:val="none"/>
                    </w:rPr>
                  </w:pPr>
                  <w:r>
                    <w:rPr>
                      <w:rFonts w:hint="eastAsia"/>
                      <w:bCs/>
                      <w:color w:val="auto"/>
                      <w:sz w:val="21"/>
                      <w:szCs w:val="21"/>
                      <w:highlight w:val="none"/>
                      <w:lang w:val="en-US" w:eastAsia="zh-CN"/>
                    </w:rPr>
                    <w:t>/</w:t>
                  </w:r>
                </w:p>
              </w:tc>
              <w:tc>
                <w:tcPr>
                  <w:tcW w:w="600" w:type="dxa"/>
                  <w:tcBorders>
                    <w:tl2br w:val="nil"/>
                    <w:tr2bl w:val="nil"/>
                  </w:tcBorders>
                  <w:noWrap w:val="0"/>
                  <w:vAlign w:val="center"/>
                </w:tcPr>
                <w:p w14:paraId="5220C7A0">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-75</w:t>
                  </w:r>
                </w:p>
              </w:tc>
              <w:tc>
                <w:tcPr>
                  <w:tcW w:w="643" w:type="dxa"/>
                  <w:tcBorders>
                    <w:tl2br w:val="nil"/>
                    <w:tr2bl w:val="nil"/>
                  </w:tcBorders>
                  <w:noWrap w:val="0"/>
                  <w:vAlign w:val="center"/>
                </w:tcPr>
                <w:p w14:paraId="6192392C">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11CB39D7">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3D62785D">
                  <w:pPr>
                    <w:keepNext w:val="0"/>
                    <w:keepLines w:val="0"/>
                    <w:suppressLineNumbers w:val="0"/>
                    <w:spacing w:before="0" w:beforeAutospacing="0" w:after="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75</w:t>
                  </w:r>
                </w:p>
              </w:tc>
              <w:tc>
                <w:tcPr>
                  <w:tcW w:w="760" w:type="dxa"/>
                  <w:vMerge w:val="continue"/>
                  <w:tcBorders>
                    <w:tl2br w:val="nil"/>
                    <w:tr2bl w:val="nil"/>
                  </w:tcBorders>
                  <w:noWrap w:val="0"/>
                  <w:vAlign w:val="center"/>
                </w:tcPr>
                <w:p w14:paraId="0645C2A1">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6E5CB064">
                  <w:pPr>
                    <w:keepNext w:val="0"/>
                    <w:keepLines w:val="0"/>
                    <w:suppressLineNumbers w:val="0"/>
                    <w:spacing w:before="0" w:beforeAutospacing="0" w:after="0" w:afterAutospacing="0"/>
                    <w:ind w:left="0" w:right="0"/>
                    <w:jc w:val="center"/>
                    <w:rPr>
                      <w:rFonts w:hint="eastAsia"/>
                      <w:color w:val="auto"/>
                      <w:sz w:val="21"/>
                      <w:szCs w:val="21"/>
                      <w:highlight w:val="none"/>
                      <w:lang w:val="en-US" w:eastAsia="zh-CN"/>
                    </w:rPr>
                  </w:pPr>
                </w:p>
              </w:tc>
            </w:tr>
            <w:tr w14:paraId="09932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4A354A3F">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5</w:t>
                  </w:r>
                </w:p>
              </w:tc>
              <w:tc>
                <w:tcPr>
                  <w:tcW w:w="794" w:type="dxa"/>
                  <w:tcBorders>
                    <w:tl2br w:val="nil"/>
                    <w:tr2bl w:val="nil"/>
                  </w:tcBorders>
                  <w:noWrap w:val="0"/>
                  <w:vAlign w:val="center"/>
                </w:tcPr>
                <w:p w14:paraId="52BB5199">
                  <w:pPr>
                    <w:pStyle w:val="106"/>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清选机</w:t>
                  </w:r>
                </w:p>
              </w:tc>
              <w:tc>
                <w:tcPr>
                  <w:tcW w:w="1316" w:type="dxa"/>
                  <w:tcBorders>
                    <w:tl2br w:val="nil"/>
                    <w:tr2bl w:val="nil"/>
                  </w:tcBorders>
                  <w:noWrap w:val="0"/>
                  <w:vAlign w:val="center"/>
                </w:tcPr>
                <w:p w14:paraId="36C2CA0B">
                  <w:pPr>
                    <w:pStyle w:val="106"/>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清选机</w:t>
                  </w:r>
                </w:p>
              </w:tc>
              <w:tc>
                <w:tcPr>
                  <w:tcW w:w="595" w:type="dxa"/>
                  <w:tcBorders>
                    <w:tl2br w:val="nil"/>
                    <w:tr2bl w:val="nil"/>
                  </w:tcBorders>
                  <w:noWrap w:val="0"/>
                  <w:vAlign w:val="center"/>
                </w:tcPr>
                <w:p w14:paraId="2C62B100">
                  <w:pPr>
                    <w:pStyle w:val="106"/>
                    <w:keepNext w:val="0"/>
                    <w:keepLines w:val="0"/>
                    <w:suppressLineNumbers w:val="0"/>
                    <w:spacing w:before="0" w:beforeAutospacing="0" w:after="0" w:afterAutospacing="0" w:line="240" w:lineRule="auto"/>
                    <w:ind w:left="0" w:right="0" w:firstLine="0" w:firstLineChars="0"/>
                    <w:jc w:val="center"/>
                    <w:rPr>
                      <w:rFonts w:hint="eastAsia"/>
                      <w:bCs/>
                      <w:color w:val="auto"/>
                      <w:sz w:val="21"/>
                      <w:szCs w:val="21"/>
                      <w:highlight w:val="none"/>
                      <w:lang w:val="en-US" w:eastAsia="zh-CN"/>
                    </w:rPr>
                  </w:pPr>
                  <w:r>
                    <w:rPr>
                      <w:rFonts w:hint="eastAsia"/>
                      <w:bCs/>
                      <w:color w:val="auto"/>
                      <w:sz w:val="21"/>
                      <w:szCs w:val="21"/>
                      <w:highlight w:val="none"/>
                      <w:lang w:val="en-US" w:eastAsia="zh-CN"/>
                    </w:rPr>
                    <w:t>/</w:t>
                  </w:r>
                </w:p>
              </w:tc>
              <w:tc>
                <w:tcPr>
                  <w:tcW w:w="600" w:type="dxa"/>
                  <w:tcBorders>
                    <w:tl2br w:val="nil"/>
                    <w:tr2bl w:val="nil"/>
                  </w:tcBorders>
                  <w:noWrap w:val="0"/>
                  <w:vAlign w:val="center"/>
                </w:tcPr>
                <w:p w14:paraId="585A95E7">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-74</w:t>
                  </w:r>
                </w:p>
              </w:tc>
              <w:tc>
                <w:tcPr>
                  <w:tcW w:w="643" w:type="dxa"/>
                  <w:tcBorders>
                    <w:tl2br w:val="nil"/>
                    <w:tr2bl w:val="nil"/>
                  </w:tcBorders>
                  <w:noWrap w:val="0"/>
                  <w:vAlign w:val="center"/>
                </w:tcPr>
                <w:p w14:paraId="26E9FB4D">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7E401C73">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2A2F1827">
                  <w:pPr>
                    <w:keepNext w:val="0"/>
                    <w:keepLines w:val="0"/>
                    <w:suppressLineNumbers w:val="0"/>
                    <w:spacing w:before="0" w:beforeAutospacing="0" w:after="0" w:afterAutospacing="0"/>
                    <w:ind w:left="0" w:right="0"/>
                    <w:jc w:val="center"/>
                    <w:rPr>
                      <w:rFonts w:hint="default"/>
                      <w:color w:val="auto"/>
                      <w:sz w:val="21"/>
                      <w:szCs w:val="21"/>
                      <w:highlight w:val="none"/>
                      <w:lang w:val="en-US" w:eastAsia="zh-CN"/>
                    </w:rPr>
                  </w:pPr>
                  <w:r>
                    <w:rPr>
                      <w:rFonts w:hint="eastAsia"/>
                      <w:color w:val="auto"/>
                      <w:sz w:val="21"/>
                      <w:szCs w:val="21"/>
                      <w:highlight w:val="none"/>
                      <w:lang w:val="en-US" w:eastAsia="zh-CN"/>
                    </w:rPr>
                    <w:t>70</w:t>
                  </w:r>
                </w:p>
              </w:tc>
              <w:tc>
                <w:tcPr>
                  <w:tcW w:w="760" w:type="dxa"/>
                  <w:vMerge w:val="continue"/>
                  <w:tcBorders>
                    <w:tl2br w:val="nil"/>
                    <w:tr2bl w:val="nil"/>
                  </w:tcBorders>
                  <w:noWrap w:val="0"/>
                  <w:vAlign w:val="center"/>
                </w:tcPr>
                <w:p w14:paraId="4FEA818C">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55FF68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r w14:paraId="63C97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03644154">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6</w:t>
                  </w:r>
                </w:p>
              </w:tc>
              <w:tc>
                <w:tcPr>
                  <w:tcW w:w="794" w:type="dxa"/>
                  <w:tcBorders>
                    <w:tl2br w:val="nil"/>
                    <w:tr2bl w:val="nil"/>
                  </w:tcBorders>
                  <w:shd w:val="clear" w:color="auto" w:fill="auto"/>
                  <w:noWrap w:val="0"/>
                  <w:vAlign w:val="center"/>
                </w:tcPr>
                <w:p w14:paraId="44054DEF">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滚筒筛</w:t>
                  </w:r>
                </w:p>
              </w:tc>
              <w:tc>
                <w:tcPr>
                  <w:tcW w:w="1316" w:type="dxa"/>
                  <w:tcBorders>
                    <w:tl2br w:val="nil"/>
                    <w:tr2bl w:val="nil"/>
                  </w:tcBorders>
                  <w:shd w:val="clear" w:color="auto" w:fill="auto"/>
                  <w:noWrap w:val="0"/>
                  <w:vAlign w:val="center"/>
                </w:tcPr>
                <w:p w14:paraId="74CC1AA6">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滚筒筛</w:t>
                  </w:r>
                </w:p>
              </w:tc>
              <w:tc>
                <w:tcPr>
                  <w:tcW w:w="595" w:type="dxa"/>
                  <w:tcBorders>
                    <w:tl2br w:val="nil"/>
                    <w:tr2bl w:val="nil"/>
                  </w:tcBorders>
                  <w:shd w:val="clear" w:color="auto" w:fill="auto"/>
                  <w:noWrap w:val="0"/>
                  <w:vAlign w:val="center"/>
                </w:tcPr>
                <w:p w14:paraId="798EE3B9">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 w:val="21"/>
                      <w:szCs w:val="21"/>
                      <w:highlight w:val="none"/>
                      <w:lang w:val="en-US" w:eastAsia="zh-CN"/>
                    </w:rPr>
                    <w:t>/</w:t>
                  </w:r>
                </w:p>
              </w:tc>
              <w:tc>
                <w:tcPr>
                  <w:tcW w:w="600" w:type="dxa"/>
                  <w:tcBorders>
                    <w:tl2br w:val="nil"/>
                    <w:tr2bl w:val="nil"/>
                  </w:tcBorders>
                  <w:noWrap w:val="0"/>
                  <w:vAlign w:val="center"/>
                </w:tcPr>
                <w:p w14:paraId="5CDD8209">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-76</w:t>
                  </w:r>
                </w:p>
              </w:tc>
              <w:tc>
                <w:tcPr>
                  <w:tcW w:w="643" w:type="dxa"/>
                  <w:tcBorders>
                    <w:tl2br w:val="nil"/>
                    <w:tr2bl w:val="nil"/>
                  </w:tcBorders>
                  <w:noWrap w:val="0"/>
                  <w:vAlign w:val="center"/>
                </w:tcPr>
                <w:p w14:paraId="437DD9DC">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0C001666">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7473FFED">
                  <w:pPr>
                    <w:keepNext w:val="0"/>
                    <w:keepLines w:val="0"/>
                    <w:suppressLineNumbers w:val="0"/>
                    <w:spacing w:before="0" w:beforeAutospacing="0" w:after="0" w:afterAutospacing="0"/>
                    <w:ind w:left="0" w:right="0"/>
                    <w:jc w:val="center"/>
                    <w:rPr>
                      <w:rFonts w:hint="eastAsia"/>
                      <w:color w:val="auto"/>
                      <w:sz w:val="21"/>
                      <w:szCs w:val="21"/>
                      <w:highlight w:val="none"/>
                      <w:lang w:val="en-US" w:eastAsia="zh-CN"/>
                    </w:rPr>
                  </w:pPr>
                  <w:r>
                    <w:rPr>
                      <w:rFonts w:hint="eastAsia"/>
                      <w:color w:val="auto"/>
                      <w:sz w:val="21"/>
                      <w:szCs w:val="21"/>
                      <w:highlight w:val="none"/>
                      <w:lang w:val="en-US" w:eastAsia="zh-CN"/>
                    </w:rPr>
                    <w:t>70</w:t>
                  </w:r>
                </w:p>
              </w:tc>
              <w:tc>
                <w:tcPr>
                  <w:tcW w:w="760" w:type="dxa"/>
                  <w:vMerge w:val="continue"/>
                  <w:tcBorders>
                    <w:tl2br w:val="nil"/>
                    <w:tr2bl w:val="nil"/>
                  </w:tcBorders>
                  <w:noWrap w:val="0"/>
                  <w:vAlign w:val="center"/>
                </w:tcPr>
                <w:p w14:paraId="164DADEB">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2F506B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r w14:paraId="3029E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5AF920D0">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w:t>
                  </w:r>
                </w:p>
              </w:tc>
              <w:tc>
                <w:tcPr>
                  <w:tcW w:w="794" w:type="dxa"/>
                  <w:tcBorders>
                    <w:tl2br w:val="nil"/>
                    <w:tr2bl w:val="nil"/>
                  </w:tcBorders>
                  <w:shd w:val="clear" w:color="auto" w:fill="auto"/>
                  <w:noWrap w:val="0"/>
                  <w:vAlign w:val="center"/>
                </w:tcPr>
                <w:p w14:paraId="091E78B1">
                  <w:pPr>
                    <w:pStyle w:val="58"/>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default"/>
                      <w:snapToGrid w:val="0"/>
                      <w:color w:val="auto"/>
                      <w:sz w:val="21"/>
                      <w:szCs w:val="21"/>
                      <w:highlight w:val="none"/>
                      <w:lang w:val="en-US" w:eastAsia="zh-CN"/>
                    </w:rPr>
                    <w:t>鼓风机</w:t>
                  </w:r>
                </w:p>
              </w:tc>
              <w:tc>
                <w:tcPr>
                  <w:tcW w:w="1316" w:type="dxa"/>
                  <w:tcBorders>
                    <w:tl2br w:val="nil"/>
                    <w:tr2bl w:val="nil"/>
                  </w:tcBorders>
                  <w:shd w:val="clear" w:color="auto" w:fill="auto"/>
                  <w:noWrap w:val="0"/>
                  <w:vAlign w:val="center"/>
                </w:tcPr>
                <w:p w14:paraId="48526058">
                  <w:pPr>
                    <w:pStyle w:val="58"/>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default"/>
                      <w:snapToGrid w:val="0"/>
                      <w:color w:val="auto"/>
                      <w:sz w:val="21"/>
                      <w:szCs w:val="21"/>
                      <w:highlight w:val="none"/>
                      <w:lang w:val="en-US" w:eastAsia="zh-CN"/>
                    </w:rPr>
                    <w:t>鼓风机</w:t>
                  </w:r>
                </w:p>
              </w:tc>
              <w:tc>
                <w:tcPr>
                  <w:tcW w:w="595" w:type="dxa"/>
                  <w:tcBorders>
                    <w:tl2br w:val="nil"/>
                    <w:tr2bl w:val="nil"/>
                  </w:tcBorders>
                  <w:shd w:val="clear" w:color="auto" w:fill="auto"/>
                  <w:noWrap w:val="0"/>
                  <w:vAlign w:val="center"/>
                </w:tcPr>
                <w:p w14:paraId="25C2160B">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1"/>
                      <w:highlight w:val="none"/>
                      <w:u w:val="none"/>
                      <w:lang w:val="en-US" w:eastAsia="zh-CN" w:bidi="ar-SA"/>
                    </w:rPr>
                  </w:pPr>
                  <w:r>
                    <w:rPr>
                      <w:rFonts w:hint="default"/>
                      <w:bCs/>
                      <w:color w:val="auto"/>
                      <w:sz w:val="21"/>
                      <w:szCs w:val="21"/>
                      <w:highlight w:val="none"/>
                    </w:rPr>
                    <w:t>/</w:t>
                  </w:r>
                </w:p>
              </w:tc>
              <w:tc>
                <w:tcPr>
                  <w:tcW w:w="600" w:type="dxa"/>
                  <w:tcBorders>
                    <w:tl2br w:val="nil"/>
                    <w:tr2bl w:val="nil"/>
                  </w:tcBorders>
                  <w:noWrap w:val="0"/>
                  <w:vAlign w:val="center"/>
                </w:tcPr>
                <w:p w14:paraId="26DEC928">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-77</w:t>
                  </w:r>
                </w:p>
              </w:tc>
              <w:tc>
                <w:tcPr>
                  <w:tcW w:w="643" w:type="dxa"/>
                  <w:tcBorders>
                    <w:tl2br w:val="nil"/>
                    <w:tr2bl w:val="nil"/>
                  </w:tcBorders>
                  <w:noWrap w:val="0"/>
                  <w:vAlign w:val="center"/>
                </w:tcPr>
                <w:p w14:paraId="7A8EC742">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39020A21">
                  <w:pPr>
                    <w:pStyle w:val="106"/>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242798F1">
                  <w:pPr>
                    <w:keepNext w:val="0"/>
                    <w:keepLines w:val="0"/>
                    <w:suppressLineNumbers w:val="0"/>
                    <w:spacing w:before="0" w:beforeAutospacing="0" w:after="0" w:afterAutospacing="0"/>
                    <w:ind w:left="0" w:right="0"/>
                    <w:jc w:val="center"/>
                    <w:rPr>
                      <w:rFonts w:hint="eastAsia"/>
                      <w:color w:val="auto"/>
                      <w:sz w:val="21"/>
                      <w:szCs w:val="21"/>
                      <w:highlight w:val="none"/>
                      <w:lang w:val="en-US" w:eastAsia="zh-CN"/>
                    </w:rPr>
                  </w:pPr>
                  <w:r>
                    <w:rPr>
                      <w:rFonts w:hint="eastAsia"/>
                      <w:color w:val="auto"/>
                      <w:sz w:val="21"/>
                      <w:szCs w:val="21"/>
                      <w:highlight w:val="none"/>
                      <w:lang w:val="en-US" w:eastAsia="zh-CN"/>
                    </w:rPr>
                    <w:t>70</w:t>
                  </w:r>
                </w:p>
              </w:tc>
              <w:tc>
                <w:tcPr>
                  <w:tcW w:w="760" w:type="dxa"/>
                  <w:vMerge w:val="continue"/>
                  <w:tcBorders>
                    <w:tl2br w:val="nil"/>
                    <w:tr2bl w:val="nil"/>
                  </w:tcBorders>
                  <w:noWrap w:val="0"/>
                  <w:vAlign w:val="center"/>
                </w:tcPr>
                <w:p w14:paraId="3D228A02">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5978F9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r w14:paraId="3C0364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0DD957D6">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default"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8</w:t>
                  </w:r>
                </w:p>
              </w:tc>
              <w:tc>
                <w:tcPr>
                  <w:tcW w:w="794" w:type="dxa"/>
                  <w:tcBorders>
                    <w:tl2br w:val="nil"/>
                    <w:tr2bl w:val="nil"/>
                  </w:tcBorders>
                  <w:shd w:val="clear" w:color="auto" w:fill="auto"/>
                  <w:noWrap w:val="0"/>
                  <w:vAlign w:val="center"/>
                </w:tcPr>
                <w:p w14:paraId="4888BCA4">
                  <w:pPr>
                    <w:pStyle w:val="58"/>
                    <w:keepNext w:val="0"/>
                    <w:keepLines w:val="0"/>
                    <w:suppressLineNumbers w:val="0"/>
                    <w:spacing w:before="0" w:beforeAutospacing="0" w:after="0" w:afterAutospacing="0"/>
                    <w:ind w:left="0" w:leftChars="0" w:right="0" w:rightChars="0"/>
                    <w:jc w:val="center"/>
                    <w:rPr>
                      <w:rFonts w:hint="default"/>
                      <w:snapToGrid w:val="0"/>
                      <w:color w:val="auto"/>
                      <w:sz w:val="21"/>
                      <w:szCs w:val="21"/>
                      <w:highlight w:val="none"/>
                      <w:lang w:val="en-US" w:eastAsia="zh-CN"/>
                    </w:rPr>
                  </w:pPr>
                  <w:r>
                    <w:rPr>
                      <w:rFonts w:hint="default"/>
                      <w:snapToGrid w:val="0"/>
                      <w:color w:val="auto"/>
                      <w:sz w:val="21"/>
                      <w:szCs w:val="21"/>
                      <w:highlight w:val="none"/>
                      <w:lang w:val="en-US" w:eastAsia="zh-CN"/>
                    </w:rPr>
                    <w:t>鼓风机</w:t>
                  </w:r>
                </w:p>
              </w:tc>
              <w:tc>
                <w:tcPr>
                  <w:tcW w:w="1316" w:type="dxa"/>
                  <w:tcBorders>
                    <w:tl2br w:val="nil"/>
                    <w:tr2bl w:val="nil"/>
                  </w:tcBorders>
                  <w:shd w:val="clear" w:color="auto" w:fill="auto"/>
                  <w:noWrap w:val="0"/>
                  <w:vAlign w:val="center"/>
                </w:tcPr>
                <w:p w14:paraId="54E13CEE">
                  <w:pPr>
                    <w:pStyle w:val="58"/>
                    <w:keepNext w:val="0"/>
                    <w:keepLines w:val="0"/>
                    <w:suppressLineNumbers w:val="0"/>
                    <w:spacing w:before="0" w:beforeAutospacing="0" w:after="0" w:afterAutospacing="0"/>
                    <w:ind w:left="0" w:leftChars="0" w:right="0" w:rightChars="0"/>
                    <w:jc w:val="center"/>
                    <w:rPr>
                      <w:rFonts w:hint="default"/>
                      <w:snapToGrid w:val="0"/>
                      <w:color w:val="auto"/>
                      <w:sz w:val="21"/>
                      <w:szCs w:val="21"/>
                      <w:highlight w:val="none"/>
                      <w:lang w:val="en-US" w:eastAsia="zh-CN"/>
                    </w:rPr>
                  </w:pPr>
                  <w:r>
                    <w:rPr>
                      <w:rFonts w:hint="default"/>
                      <w:snapToGrid w:val="0"/>
                      <w:color w:val="auto"/>
                      <w:sz w:val="21"/>
                      <w:szCs w:val="21"/>
                      <w:highlight w:val="none"/>
                      <w:lang w:val="en-US" w:eastAsia="zh-CN"/>
                    </w:rPr>
                    <w:t>鼓风机</w:t>
                  </w:r>
                </w:p>
              </w:tc>
              <w:tc>
                <w:tcPr>
                  <w:tcW w:w="595" w:type="dxa"/>
                  <w:tcBorders>
                    <w:tl2br w:val="nil"/>
                    <w:tr2bl w:val="nil"/>
                  </w:tcBorders>
                  <w:shd w:val="clear" w:color="auto" w:fill="auto"/>
                  <w:noWrap w:val="0"/>
                  <w:vAlign w:val="center"/>
                </w:tcPr>
                <w:p w14:paraId="526F30E5">
                  <w:pPr>
                    <w:pStyle w:val="106"/>
                    <w:keepNext w:val="0"/>
                    <w:keepLines w:val="0"/>
                    <w:suppressLineNumbers w:val="0"/>
                    <w:spacing w:before="0" w:beforeAutospacing="0" w:after="0" w:afterAutospacing="0" w:line="240" w:lineRule="auto"/>
                    <w:ind w:left="0" w:leftChars="0" w:right="0" w:rightChars="0" w:firstLine="0" w:firstLineChars="0"/>
                    <w:jc w:val="center"/>
                    <w:rPr>
                      <w:rFonts w:hint="default"/>
                      <w:bCs/>
                      <w:color w:val="auto"/>
                      <w:sz w:val="21"/>
                      <w:szCs w:val="21"/>
                      <w:highlight w:val="none"/>
                    </w:rPr>
                  </w:pPr>
                  <w:r>
                    <w:rPr>
                      <w:rFonts w:hint="default"/>
                      <w:bCs/>
                      <w:color w:val="auto"/>
                      <w:sz w:val="21"/>
                      <w:szCs w:val="21"/>
                      <w:highlight w:val="none"/>
                    </w:rPr>
                    <w:t>/</w:t>
                  </w:r>
                </w:p>
              </w:tc>
              <w:tc>
                <w:tcPr>
                  <w:tcW w:w="600" w:type="dxa"/>
                  <w:tcBorders>
                    <w:tl2br w:val="nil"/>
                    <w:tr2bl w:val="nil"/>
                  </w:tcBorders>
                  <w:noWrap w:val="0"/>
                  <w:vAlign w:val="center"/>
                </w:tcPr>
                <w:p w14:paraId="7C9A6513">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-76</w:t>
                  </w:r>
                </w:p>
              </w:tc>
              <w:tc>
                <w:tcPr>
                  <w:tcW w:w="643" w:type="dxa"/>
                  <w:tcBorders>
                    <w:tl2br w:val="nil"/>
                    <w:tr2bl w:val="nil"/>
                  </w:tcBorders>
                  <w:noWrap w:val="0"/>
                  <w:vAlign w:val="center"/>
                </w:tcPr>
                <w:p w14:paraId="4F687017">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00CE2135">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62832835">
                  <w:pPr>
                    <w:keepNext w:val="0"/>
                    <w:keepLines w:val="0"/>
                    <w:suppressLineNumbers w:val="0"/>
                    <w:spacing w:before="0" w:beforeAutospacing="0" w:after="0" w:afterAutospacing="0"/>
                    <w:ind w:left="0" w:leftChars="0" w:right="0" w:rightChars="0"/>
                    <w:jc w:val="center"/>
                    <w:rPr>
                      <w:rFonts w:hint="eastAsia"/>
                      <w:color w:val="auto"/>
                      <w:sz w:val="21"/>
                      <w:szCs w:val="21"/>
                      <w:highlight w:val="none"/>
                      <w:lang w:val="en-US" w:eastAsia="zh-CN"/>
                    </w:rPr>
                  </w:pPr>
                  <w:r>
                    <w:rPr>
                      <w:rFonts w:hint="eastAsia"/>
                      <w:color w:val="auto"/>
                      <w:sz w:val="21"/>
                      <w:szCs w:val="21"/>
                      <w:highlight w:val="none"/>
                      <w:lang w:val="en-US" w:eastAsia="zh-CN"/>
                    </w:rPr>
                    <w:t>70</w:t>
                  </w:r>
                </w:p>
              </w:tc>
              <w:tc>
                <w:tcPr>
                  <w:tcW w:w="760" w:type="dxa"/>
                  <w:vMerge w:val="continue"/>
                  <w:tcBorders>
                    <w:tl2br w:val="nil"/>
                    <w:tr2bl w:val="nil"/>
                  </w:tcBorders>
                  <w:noWrap w:val="0"/>
                  <w:vAlign w:val="center"/>
                </w:tcPr>
                <w:p w14:paraId="134A7052">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205743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r w14:paraId="36CF0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39" w:type="dxa"/>
                  <w:tcBorders>
                    <w:tl2br w:val="nil"/>
                    <w:tr2bl w:val="nil"/>
                  </w:tcBorders>
                  <w:noWrap w:val="0"/>
                  <w:vAlign w:val="center"/>
                </w:tcPr>
                <w:p w14:paraId="541B866A">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9</w:t>
                  </w:r>
                </w:p>
              </w:tc>
              <w:tc>
                <w:tcPr>
                  <w:tcW w:w="794" w:type="dxa"/>
                  <w:tcBorders>
                    <w:tl2br w:val="nil"/>
                    <w:tr2bl w:val="nil"/>
                  </w:tcBorders>
                  <w:shd w:val="clear" w:color="auto" w:fill="auto"/>
                  <w:noWrap w:val="0"/>
                  <w:vAlign w:val="center"/>
                </w:tcPr>
                <w:p w14:paraId="2307F82A">
                  <w:pPr>
                    <w:pStyle w:val="58"/>
                    <w:keepNext w:val="0"/>
                    <w:keepLines w:val="0"/>
                    <w:suppressLineNumbers w:val="0"/>
                    <w:spacing w:before="0" w:beforeAutospacing="0" w:after="0" w:afterAutospacing="0"/>
                    <w:ind w:left="0" w:leftChars="0" w:right="0" w:rightChars="0"/>
                    <w:jc w:val="center"/>
                    <w:rPr>
                      <w:rFonts w:hint="default"/>
                      <w:snapToGrid w:val="0"/>
                      <w:color w:val="auto"/>
                      <w:sz w:val="21"/>
                      <w:szCs w:val="21"/>
                      <w:highlight w:val="none"/>
                      <w:lang w:val="en-US" w:eastAsia="zh-CN"/>
                    </w:rPr>
                  </w:pPr>
                  <w:r>
                    <w:rPr>
                      <w:rFonts w:hint="default"/>
                      <w:snapToGrid w:val="0"/>
                      <w:color w:val="auto"/>
                      <w:sz w:val="21"/>
                      <w:szCs w:val="21"/>
                      <w:highlight w:val="none"/>
                      <w:lang w:val="en-US" w:eastAsia="zh-CN"/>
                    </w:rPr>
                    <w:t>鼓风机</w:t>
                  </w:r>
                </w:p>
              </w:tc>
              <w:tc>
                <w:tcPr>
                  <w:tcW w:w="1316" w:type="dxa"/>
                  <w:tcBorders>
                    <w:tl2br w:val="nil"/>
                    <w:tr2bl w:val="nil"/>
                  </w:tcBorders>
                  <w:shd w:val="clear" w:color="auto" w:fill="auto"/>
                  <w:noWrap w:val="0"/>
                  <w:vAlign w:val="center"/>
                </w:tcPr>
                <w:p w14:paraId="5679B98D">
                  <w:pPr>
                    <w:pStyle w:val="58"/>
                    <w:keepNext w:val="0"/>
                    <w:keepLines w:val="0"/>
                    <w:suppressLineNumbers w:val="0"/>
                    <w:spacing w:before="0" w:beforeAutospacing="0" w:after="0" w:afterAutospacing="0"/>
                    <w:ind w:left="0" w:leftChars="0" w:right="0" w:rightChars="0"/>
                    <w:jc w:val="center"/>
                    <w:rPr>
                      <w:rFonts w:hint="default"/>
                      <w:snapToGrid w:val="0"/>
                      <w:color w:val="auto"/>
                      <w:sz w:val="21"/>
                      <w:szCs w:val="21"/>
                      <w:highlight w:val="none"/>
                      <w:lang w:val="en-US" w:eastAsia="zh-CN"/>
                    </w:rPr>
                  </w:pPr>
                  <w:r>
                    <w:rPr>
                      <w:rFonts w:hint="default"/>
                      <w:snapToGrid w:val="0"/>
                      <w:color w:val="auto"/>
                      <w:sz w:val="21"/>
                      <w:szCs w:val="21"/>
                      <w:highlight w:val="none"/>
                      <w:lang w:val="en-US" w:eastAsia="zh-CN"/>
                    </w:rPr>
                    <w:t>鼓风机</w:t>
                  </w:r>
                </w:p>
              </w:tc>
              <w:tc>
                <w:tcPr>
                  <w:tcW w:w="595" w:type="dxa"/>
                  <w:tcBorders>
                    <w:tl2br w:val="nil"/>
                    <w:tr2bl w:val="nil"/>
                  </w:tcBorders>
                  <w:shd w:val="clear" w:color="auto" w:fill="auto"/>
                  <w:noWrap w:val="0"/>
                  <w:vAlign w:val="center"/>
                </w:tcPr>
                <w:p w14:paraId="0CCF4CD9">
                  <w:pPr>
                    <w:pStyle w:val="106"/>
                    <w:keepNext w:val="0"/>
                    <w:keepLines w:val="0"/>
                    <w:suppressLineNumbers w:val="0"/>
                    <w:spacing w:before="0" w:beforeAutospacing="0" w:after="0" w:afterAutospacing="0" w:line="240" w:lineRule="auto"/>
                    <w:ind w:left="0" w:leftChars="0" w:right="0" w:rightChars="0" w:firstLine="0" w:firstLineChars="0"/>
                    <w:jc w:val="center"/>
                    <w:rPr>
                      <w:rFonts w:hint="default"/>
                      <w:bCs/>
                      <w:color w:val="auto"/>
                      <w:sz w:val="21"/>
                      <w:szCs w:val="21"/>
                      <w:highlight w:val="none"/>
                    </w:rPr>
                  </w:pPr>
                  <w:r>
                    <w:rPr>
                      <w:rFonts w:hint="default"/>
                      <w:bCs/>
                      <w:color w:val="auto"/>
                      <w:sz w:val="21"/>
                      <w:szCs w:val="21"/>
                      <w:highlight w:val="none"/>
                    </w:rPr>
                    <w:t>/</w:t>
                  </w:r>
                </w:p>
              </w:tc>
              <w:tc>
                <w:tcPr>
                  <w:tcW w:w="600" w:type="dxa"/>
                  <w:tcBorders>
                    <w:tl2br w:val="nil"/>
                    <w:tr2bl w:val="nil"/>
                  </w:tcBorders>
                  <w:noWrap w:val="0"/>
                  <w:vAlign w:val="center"/>
                </w:tcPr>
                <w:p w14:paraId="40C92F16">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-78</w:t>
                  </w:r>
                </w:p>
              </w:tc>
              <w:tc>
                <w:tcPr>
                  <w:tcW w:w="643" w:type="dxa"/>
                  <w:tcBorders>
                    <w:tl2br w:val="nil"/>
                    <w:tr2bl w:val="nil"/>
                  </w:tcBorders>
                  <w:noWrap w:val="0"/>
                  <w:vAlign w:val="center"/>
                </w:tcPr>
                <w:p w14:paraId="1B9C6642">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2</w:t>
                  </w:r>
                </w:p>
              </w:tc>
              <w:tc>
                <w:tcPr>
                  <w:tcW w:w="464" w:type="dxa"/>
                  <w:tcBorders>
                    <w:tl2br w:val="nil"/>
                    <w:tr2bl w:val="nil"/>
                  </w:tcBorders>
                  <w:noWrap w:val="0"/>
                  <w:vAlign w:val="center"/>
                </w:tcPr>
                <w:p w14:paraId="396AC4DB">
                  <w:pPr>
                    <w:pStyle w:val="106"/>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1</w:t>
                  </w:r>
                </w:p>
              </w:tc>
              <w:tc>
                <w:tcPr>
                  <w:tcW w:w="1190" w:type="dxa"/>
                  <w:tcBorders>
                    <w:tl2br w:val="nil"/>
                    <w:tr2bl w:val="nil"/>
                  </w:tcBorders>
                  <w:noWrap w:val="0"/>
                  <w:vAlign w:val="center"/>
                </w:tcPr>
                <w:p w14:paraId="04B23C05">
                  <w:pPr>
                    <w:keepNext w:val="0"/>
                    <w:keepLines w:val="0"/>
                    <w:suppressLineNumbers w:val="0"/>
                    <w:spacing w:before="0" w:beforeAutospacing="0" w:after="0" w:afterAutospacing="0"/>
                    <w:ind w:left="0" w:leftChars="0" w:right="0" w:rightChars="0"/>
                    <w:jc w:val="center"/>
                    <w:rPr>
                      <w:rFonts w:hint="eastAsia"/>
                      <w:color w:val="auto"/>
                      <w:sz w:val="21"/>
                      <w:szCs w:val="21"/>
                      <w:highlight w:val="none"/>
                      <w:lang w:val="en-US" w:eastAsia="zh-CN"/>
                    </w:rPr>
                  </w:pPr>
                  <w:r>
                    <w:rPr>
                      <w:rFonts w:hint="eastAsia"/>
                      <w:color w:val="auto"/>
                      <w:sz w:val="21"/>
                      <w:szCs w:val="21"/>
                      <w:highlight w:val="none"/>
                      <w:lang w:val="en-US" w:eastAsia="zh-CN"/>
                    </w:rPr>
                    <w:t>70</w:t>
                  </w:r>
                </w:p>
              </w:tc>
              <w:tc>
                <w:tcPr>
                  <w:tcW w:w="760" w:type="dxa"/>
                  <w:vMerge w:val="continue"/>
                  <w:tcBorders>
                    <w:tl2br w:val="nil"/>
                    <w:tr2bl w:val="nil"/>
                  </w:tcBorders>
                  <w:noWrap w:val="0"/>
                  <w:vAlign w:val="center"/>
                </w:tcPr>
                <w:p w14:paraId="7DB0FBDF">
                  <w:pPr>
                    <w:pStyle w:val="10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bCs/>
                      <w:color w:val="auto"/>
                      <w:sz w:val="21"/>
                      <w:szCs w:val="21"/>
                      <w:highlight w:val="none"/>
                    </w:rPr>
                  </w:pPr>
                </w:p>
              </w:tc>
              <w:tc>
                <w:tcPr>
                  <w:tcW w:w="749" w:type="dxa"/>
                  <w:vMerge w:val="continue"/>
                  <w:tcBorders>
                    <w:tl2br w:val="nil"/>
                    <w:tr2bl w:val="nil"/>
                  </w:tcBorders>
                  <w:noWrap w:val="0"/>
                  <w:vAlign w:val="center"/>
                </w:tcPr>
                <w:p w14:paraId="21E506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r>
          </w:tbl>
          <w:p w14:paraId="7C1A6211">
            <w:pPr>
              <w:pStyle w:val="56"/>
              <w:keepNext w:val="0"/>
              <w:keepLines w:val="0"/>
              <w:suppressLineNumbers w:val="0"/>
              <w:adjustRightInd w:val="0"/>
              <w:snapToGrid w:val="0"/>
              <w:spacing w:before="0" w:beforeAutospacing="0" w:after="0" w:afterAutospacing="0" w:line="500" w:lineRule="atLeast"/>
              <w:ind w:left="0" w:leftChars="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表4-</w:t>
            </w:r>
            <w:r>
              <w:rPr>
                <w:rFonts w:hint="eastAsia" w:cs="Times New Roman"/>
                <w:b/>
                <w:color w:val="auto"/>
                <w:kern w:val="2"/>
                <w:sz w:val="21"/>
                <w:szCs w:val="21"/>
                <w:highlight w:val="none"/>
                <w:lang w:val="en-US" w:eastAsia="zh-CN" w:bidi="ar-SA"/>
              </w:rPr>
              <w:t>8</w:t>
            </w:r>
            <w:r>
              <w:rPr>
                <w:rFonts w:hint="default" w:ascii="Times New Roman" w:hAnsi="Times New Roman" w:eastAsia="宋体" w:cs="Times New Roman"/>
                <w:b/>
                <w:color w:val="auto"/>
                <w:kern w:val="2"/>
                <w:sz w:val="21"/>
                <w:szCs w:val="21"/>
                <w:highlight w:val="none"/>
                <w:lang w:val="en-US" w:eastAsia="zh-CN" w:bidi="ar-SA"/>
              </w:rPr>
              <w:t>工业企业噪声源强调查清单（室内声源）单位：dB（A）</w:t>
            </w:r>
          </w:p>
          <w:tbl>
            <w:tblPr>
              <w:tblStyle w:val="34"/>
              <w:tblW w:w="784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9"/>
              <w:gridCol w:w="513"/>
              <w:gridCol w:w="537"/>
              <w:gridCol w:w="484"/>
              <w:gridCol w:w="620"/>
              <w:gridCol w:w="707"/>
              <w:gridCol w:w="416"/>
              <w:gridCol w:w="416"/>
              <w:gridCol w:w="418"/>
              <w:gridCol w:w="473"/>
              <w:gridCol w:w="471"/>
              <w:gridCol w:w="384"/>
              <w:gridCol w:w="737"/>
              <w:gridCol w:w="625"/>
              <w:gridCol w:w="627"/>
            </w:tblGrid>
            <w:tr w14:paraId="54912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19" w:type="dxa"/>
                  <w:vMerge w:val="restart"/>
                  <w:tcBorders>
                    <w:tl2br w:val="nil"/>
                    <w:tr2bl w:val="nil"/>
                  </w:tcBorders>
                  <w:noWrap w:val="0"/>
                  <w:vAlign w:val="center"/>
                </w:tcPr>
                <w:p w14:paraId="7922E78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序号</w:t>
                  </w:r>
                </w:p>
              </w:tc>
              <w:tc>
                <w:tcPr>
                  <w:tcW w:w="513" w:type="dxa"/>
                  <w:vMerge w:val="restart"/>
                  <w:tcBorders>
                    <w:tl2br w:val="nil"/>
                    <w:tr2bl w:val="nil"/>
                  </w:tcBorders>
                  <w:noWrap w:val="0"/>
                  <w:vAlign w:val="center"/>
                </w:tcPr>
                <w:p w14:paraId="4300C721">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建筑物名称</w:t>
                  </w:r>
                </w:p>
              </w:tc>
              <w:tc>
                <w:tcPr>
                  <w:tcW w:w="537" w:type="dxa"/>
                  <w:vMerge w:val="restart"/>
                  <w:tcBorders>
                    <w:tl2br w:val="nil"/>
                    <w:tr2bl w:val="nil"/>
                  </w:tcBorders>
                  <w:noWrap w:val="0"/>
                  <w:vAlign w:val="center"/>
                </w:tcPr>
                <w:p w14:paraId="439D0BED">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声源名称</w:t>
                  </w:r>
                </w:p>
              </w:tc>
              <w:tc>
                <w:tcPr>
                  <w:tcW w:w="484" w:type="dxa"/>
                  <w:vMerge w:val="restart"/>
                  <w:tcBorders>
                    <w:tl2br w:val="nil"/>
                    <w:tr2bl w:val="nil"/>
                  </w:tcBorders>
                  <w:noWrap w:val="0"/>
                  <w:vAlign w:val="center"/>
                </w:tcPr>
                <w:p w14:paraId="12EE9E17">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型号</w:t>
                  </w:r>
                </w:p>
              </w:tc>
              <w:tc>
                <w:tcPr>
                  <w:tcW w:w="620" w:type="dxa"/>
                  <w:vMerge w:val="restart"/>
                  <w:tcBorders>
                    <w:tl2br w:val="nil"/>
                    <w:tr2bl w:val="nil"/>
                  </w:tcBorders>
                  <w:noWrap w:val="0"/>
                  <w:vAlign w:val="center"/>
                </w:tcPr>
                <w:p w14:paraId="6E023BFA">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声源源强声功率级/dB（A）</w:t>
                  </w:r>
                </w:p>
              </w:tc>
              <w:tc>
                <w:tcPr>
                  <w:tcW w:w="707" w:type="dxa"/>
                  <w:vMerge w:val="restart"/>
                  <w:tcBorders>
                    <w:tl2br w:val="nil"/>
                    <w:tr2bl w:val="nil"/>
                  </w:tcBorders>
                  <w:noWrap w:val="0"/>
                  <w:vAlign w:val="center"/>
                </w:tcPr>
                <w:p w14:paraId="5495E316">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声源控制措施</w:t>
                  </w:r>
                </w:p>
              </w:tc>
              <w:tc>
                <w:tcPr>
                  <w:tcW w:w="1250" w:type="dxa"/>
                  <w:gridSpan w:val="3"/>
                  <w:vMerge w:val="restart"/>
                  <w:tcBorders>
                    <w:tl2br w:val="nil"/>
                    <w:tr2bl w:val="nil"/>
                  </w:tcBorders>
                  <w:noWrap w:val="0"/>
                  <w:vAlign w:val="center"/>
                </w:tcPr>
                <w:p w14:paraId="1D20B341">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空间相对位置/m</w:t>
                  </w:r>
                </w:p>
              </w:tc>
              <w:tc>
                <w:tcPr>
                  <w:tcW w:w="473" w:type="dxa"/>
                  <w:vMerge w:val="restart"/>
                  <w:tcBorders>
                    <w:tl2br w:val="nil"/>
                    <w:tr2bl w:val="nil"/>
                  </w:tcBorders>
                  <w:noWrap w:val="0"/>
                  <w:vAlign w:val="center"/>
                </w:tcPr>
                <w:p w14:paraId="3EF4C9FE">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距室内边界距离/m</w:t>
                  </w:r>
                </w:p>
              </w:tc>
              <w:tc>
                <w:tcPr>
                  <w:tcW w:w="471" w:type="dxa"/>
                  <w:vMerge w:val="restart"/>
                  <w:tcBorders>
                    <w:tl2br w:val="nil"/>
                    <w:tr2bl w:val="nil"/>
                  </w:tcBorders>
                  <w:noWrap w:val="0"/>
                  <w:vAlign w:val="center"/>
                </w:tcPr>
                <w:p w14:paraId="7B79EF8D">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室内边界声级/dB（A）</w:t>
                  </w:r>
                </w:p>
              </w:tc>
              <w:tc>
                <w:tcPr>
                  <w:tcW w:w="384" w:type="dxa"/>
                  <w:vMerge w:val="restart"/>
                  <w:tcBorders>
                    <w:tl2br w:val="nil"/>
                    <w:tr2bl w:val="nil"/>
                  </w:tcBorders>
                  <w:noWrap w:val="0"/>
                  <w:vAlign w:val="center"/>
                </w:tcPr>
                <w:p w14:paraId="3A95E531">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运行时段</w:t>
                  </w:r>
                </w:p>
              </w:tc>
              <w:tc>
                <w:tcPr>
                  <w:tcW w:w="737" w:type="dxa"/>
                  <w:vMerge w:val="restart"/>
                  <w:tcBorders>
                    <w:tl2br w:val="nil"/>
                    <w:tr2bl w:val="nil"/>
                  </w:tcBorders>
                  <w:noWrap w:val="0"/>
                  <w:vAlign w:val="center"/>
                </w:tcPr>
                <w:p w14:paraId="5E7AF773">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建筑物插入损失/dB（A）</w:t>
                  </w:r>
                </w:p>
              </w:tc>
              <w:tc>
                <w:tcPr>
                  <w:tcW w:w="1252" w:type="dxa"/>
                  <w:gridSpan w:val="2"/>
                  <w:tcBorders>
                    <w:tl2br w:val="nil"/>
                    <w:tr2bl w:val="nil"/>
                  </w:tcBorders>
                  <w:noWrap w:val="0"/>
                  <w:vAlign w:val="center"/>
                </w:tcPr>
                <w:p w14:paraId="75C2EB2F">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建筑物外噪声</w:t>
                  </w:r>
                </w:p>
              </w:tc>
            </w:tr>
            <w:tr w14:paraId="2222BD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19" w:type="dxa"/>
                  <w:vMerge w:val="continue"/>
                  <w:tcBorders>
                    <w:tl2br w:val="nil"/>
                    <w:tr2bl w:val="nil"/>
                  </w:tcBorders>
                  <w:noWrap w:val="0"/>
                  <w:vAlign w:val="center"/>
                </w:tcPr>
                <w:p w14:paraId="2EA580E4">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513" w:type="dxa"/>
                  <w:vMerge w:val="continue"/>
                  <w:tcBorders>
                    <w:tl2br w:val="nil"/>
                    <w:tr2bl w:val="nil"/>
                  </w:tcBorders>
                  <w:noWrap w:val="0"/>
                  <w:vAlign w:val="center"/>
                </w:tcPr>
                <w:p w14:paraId="008EEFB5">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537" w:type="dxa"/>
                  <w:vMerge w:val="continue"/>
                  <w:tcBorders>
                    <w:tl2br w:val="nil"/>
                    <w:tr2bl w:val="nil"/>
                  </w:tcBorders>
                  <w:noWrap w:val="0"/>
                  <w:vAlign w:val="center"/>
                </w:tcPr>
                <w:p w14:paraId="314896AF">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84" w:type="dxa"/>
                  <w:vMerge w:val="continue"/>
                  <w:tcBorders>
                    <w:tl2br w:val="nil"/>
                    <w:tr2bl w:val="nil"/>
                  </w:tcBorders>
                  <w:noWrap w:val="0"/>
                  <w:vAlign w:val="center"/>
                </w:tcPr>
                <w:p w14:paraId="1A2104A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620" w:type="dxa"/>
                  <w:vMerge w:val="continue"/>
                  <w:tcBorders>
                    <w:tl2br w:val="nil"/>
                    <w:tr2bl w:val="nil"/>
                  </w:tcBorders>
                  <w:noWrap w:val="0"/>
                  <w:vAlign w:val="center"/>
                </w:tcPr>
                <w:p w14:paraId="04DCB95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707" w:type="dxa"/>
                  <w:vMerge w:val="continue"/>
                  <w:tcBorders>
                    <w:tl2br w:val="nil"/>
                    <w:tr2bl w:val="nil"/>
                  </w:tcBorders>
                  <w:noWrap w:val="0"/>
                  <w:vAlign w:val="center"/>
                </w:tcPr>
                <w:p w14:paraId="75C16B44">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1250" w:type="dxa"/>
                  <w:gridSpan w:val="3"/>
                  <w:vMerge w:val="continue"/>
                  <w:tcBorders>
                    <w:tl2br w:val="nil"/>
                    <w:tr2bl w:val="nil"/>
                  </w:tcBorders>
                  <w:noWrap w:val="0"/>
                  <w:vAlign w:val="center"/>
                </w:tcPr>
                <w:p w14:paraId="340E6A83">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73" w:type="dxa"/>
                  <w:vMerge w:val="continue"/>
                  <w:tcBorders>
                    <w:tl2br w:val="nil"/>
                    <w:tr2bl w:val="nil"/>
                  </w:tcBorders>
                  <w:noWrap w:val="0"/>
                  <w:vAlign w:val="center"/>
                </w:tcPr>
                <w:p w14:paraId="66970396">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71" w:type="dxa"/>
                  <w:vMerge w:val="continue"/>
                  <w:tcBorders>
                    <w:tl2br w:val="nil"/>
                    <w:tr2bl w:val="nil"/>
                  </w:tcBorders>
                  <w:noWrap w:val="0"/>
                  <w:vAlign w:val="center"/>
                </w:tcPr>
                <w:p w14:paraId="796ECD58">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384" w:type="dxa"/>
                  <w:vMerge w:val="continue"/>
                  <w:tcBorders>
                    <w:tl2br w:val="nil"/>
                    <w:tr2bl w:val="nil"/>
                  </w:tcBorders>
                  <w:noWrap w:val="0"/>
                  <w:vAlign w:val="center"/>
                </w:tcPr>
                <w:p w14:paraId="08FAA285">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737" w:type="dxa"/>
                  <w:vMerge w:val="continue"/>
                  <w:tcBorders>
                    <w:tl2br w:val="nil"/>
                    <w:tr2bl w:val="nil"/>
                  </w:tcBorders>
                  <w:noWrap w:val="0"/>
                  <w:vAlign w:val="center"/>
                </w:tcPr>
                <w:p w14:paraId="5627D84D">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625" w:type="dxa"/>
                  <w:vMerge w:val="restart"/>
                  <w:tcBorders>
                    <w:tl2br w:val="nil"/>
                    <w:tr2bl w:val="nil"/>
                  </w:tcBorders>
                  <w:noWrap w:val="0"/>
                  <w:vAlign w:val="center"/>
                </w:tcPr>
                <w:p w14:paraId="32CBC27A">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声压级/dB（A）</w:t>
                  </w:r>
                </w:p>
              </w:tc>
              <w:tc>
                <w:tcPr>
                  <w:tcW w:w="627" w:type="dxa"/>
                  <w:vMerge w:val="restart"/>
                  <w:tcBorders>
                    <w:tl2br w:val="nil"/>
                    <w:tr2bl w:val="nil"/>
                  </w:tcBorders>
                  <w:noWrap w:val="0"/>
                  <w:vAlign w:val="center"/>
                </w:tcPr>
                <w:p w14:paraId="5690DC0E">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建筑物外距离（m）</w:t>
                  </w:r>
                </w:p>
              </w:tc>
            </w:tr>
            <w:tr w14:paraId="641EC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19" w:type="dxa"/>
                  <w:vMerge w:val="continue"/>
                  <w:tcBorders>
                    <w:tl2br w:val="nil"/>
                    <w:tr2bl w:val="nil"/>
                  </w:tcBorders>
                  <w:noWrap w:val="0"/>
                  <w:vAlign w:val="center"/>
                </w:tcPr>
                <w:p w14:paraId="0F10C3B8">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513" w:type="dxa"/>
                  <w:vMerge w:val="continue"/>
                  <w:tcBorders>
                    <w:tl2br w:val="nil"/>
                    <w:tr2bl w:val="nil"/>
                  </w:tcBorders>
                  <w:noWrap w:val="0"/>
                  <w:vAlign w:val="center"/>
                </w:tcPr>
                <w:p w14:paraId="7DBC10E3">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537" w:type="dxa"/>
                  <w:vMerge w:val="continue"/>
                  <w:tcBorders>
                    <w:tl2br w:val="nil"/>
                    <w:tr2bl w:val="nil"/>
                  </w:tcBorders>
                  <w:noWrap w:val="0"/>
                  <w:vAlign w:val="center"/>
                </w:tcPr>
                <w:p w14:paraId="3A527782">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84" w:type="dxa"/>
                  <w:vMerge w:val="continue"/>
                  <w:tcBorders>
                    <w:tl2br w:val="nil"/>
                    <w:tr2bl w:val="nil"/>
                  </w:tcBorders>
                  <w:noWrap w:val="0"/>
                  <w:vAlign w:val="center"/>
                </w:tcPr>
                <w:p w14:paraId="057D80ED">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620" w:type="dxa"/>
                  <w:vMerge w:val="continue"/>
                  <w:tcBorders>
                    <w:tl2br w:val="nil"/>
                    <w:tr2bl w:val="nil"/>
                  </w:tcBorders>
                  <w:noWrap w:val="0"/>
                  <w:vAlign w:val="center"/>
                </w:tcPr>
                <w:p w14:paraId="3CCC695E">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707" w:type="dxa"/>
                  <w:vMerge w:val="continue"/>
                  <w:tcBorders>
                    <w:tl2br w:val="nil"/>
                    <w:tr2bl w:val="nil"/>
                  </w:tcBorders>
                  <w:noWrap w:val="0"/>
                  <w:vAlign w:val="center"/>
                </w:tcPr>
                <w:p w14:paraId="38979586">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16" w:type="dxa"/>
                  <w:tcBorders>
                    <w:tl2br w:val="nil"/>
                    <w:tr2bl w:val="nil"/>
                  </w:tcBorders>
                  <w:noWrap w:val="0"/>
                  <w:vAlign w:val="center"/>
                </w:tcPr>
                <w:p w14:paraId="5B9AD951">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X</w:t>
                  </w:r>
                </w:p>
              </w:tc>
              <w:tc>
                <w:tcPr>
                  <w:tcW w:w="416" w:type="dxa"/>
                  <w:tcBorders>
                    <w:tl2br w:val="nil"/>
                    <w:tr2bl w:val="nil"/>
                  </w:tcBorders>
                  <w:noWrap w:val="0"/>
                  <w:vAlign w:val="center"/>
                </w:tcPr>
                <w:p w14:paraId="5D05F2FB">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Y</w:t>
                  </w:r>
                </w:p>
              </w:tc>
              <w:tc>
                <w:tcPr>
                  <w:tcW w:w="418" w:type="dxa"/>
                  <w:tcBorders>
                    <w:tl2br w:val="nil"/>
                    <w:tr2bl w:val="nil"/>
                  </w:tcBorders>
                  <w:noWrap w:val="0"/>
                  <w:vAlign w:val="center"/>
                </w:tcPr>
                <w:p w14:paraId="0D310D2D">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Z</w:t>
                  </w:r>
                </w:p>
              </w:tc>
              <w:tc>
                <w:tcPr>
                  <w:tcW w:w="473" w:type="dxa"/>
                  <w:vMerge w:val="continue"/>
                  <w:tcBorders>
                    <w:tl2br w:val="nil"/>
                    <w:tr2bl w:val="nil"/>
                  </w:tcBorders>
                  <w:noWrap w:val="0"/>
                  <w:vAlign w:val="center"/>
                </w:tcPr>
                <w:p w14:paraId="0D1A3C7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471" w:type="dxa"/>
                  <w:vMerge w:val="continue"/>
                  <w:tcBorders>
                    <w:tl2br w:val="nil"/>
                    <w:tr2bl w:val="nil"/>
                  </w:tcBorders>
                  <w:noWrap w:val="0"/>
                  <w:vAlign w:val="center"/>
                </w:tcPr>
                <w:p w14:paraId="015694F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384" w:type="dxa"/>
                  <w:vMerge w:val="continue"/>
                  <w:tcBorders>
                    <w:tl2br w:val="nil"/>
                    <w:tr2bl w:val="nil"/>
                  </w:tcBorders>
                  <w:noWrap w:val="0"/>
                  <w:vAlign w:val="center"/>
                </w:tcPr>
                <w:p w14:paraId="0EF6F7CA">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737" w:type="dxa"/>
                  <w:vMerge w:val="continue"/>
                  <w:tcBorders>
                    <w:tl2br w:val="nil"/>
                    <w:tr2bl w:val="nil"/>
                  </w:tcBorders>
                  <w:noWrap w:val="0"/>
                  <w:vAlign w:val="center"/>
                </w:tcPr>
                <w:p w14:paraId="7ABEB09B">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625" w:type="dxa"/>
                  <w:vMerge w:val="continue"/>
                  <w:tcBorders>
                    <w:tl2br w:val="nil"/>
                    <w:tr2bl w:val="nil"/>
                  </w:tcBorders>
                  <w:noWrap w:val="0"/>
                  <w:vAlign w:val="center"/>
                </w:tcPr>
                <w:p w14:paraId="1544D468">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627" w:type="dxa"/>
                  <w:vMerge w:val="continue"/>
                  <w:tcBorders>
                    <w:tl2br w:val="nil"/>
                    <w:tr2bl w:val="nil"/>
                  </w:tcBorders>
                  <w:noWrap w:val="0"/>
                  <w:vAlign w:val="center"/>
                </w:tcPr>
                <w:p w14:paraId="7CF385EC">
                  <w:pPr>
                    <w:pStyle w:val="48"/>
                    <w:keepNext w:val="0"/>
                    <w:keepLines w:val="0"/>
                    <w:pageBreakBefore w:val="0"/>
                    <w:widowControl w:val="0"/>
                    <w:suppressLineNumbers w:val="0"/>
                    <w:kinsoku/>
                    <w:wordWrap/>
                    <w:overflowPunct/>
                    <w:topLinePunct w:val="0"/>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r>
            <w:tr w14:paraId="0078A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419" w:type="dxa"/>
                  <w:tcBorders>
                    <w:tl2br w:val="nil"/>
                    <w:tr2bl w:val="nil"/>
                  </w:tcBorders>
                  <w:noWrap w:val="0"/>
                  <w:vAlign w:val="center"/>
                </w:tcPr>
                <w:p w14:paraId="65016AF6">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1</w:t>
                  </w:r>
                </w:p>
              </w:tc>
              <w:tc>
                <w:tcPr>
                  <w:tcW w:w="513" w:type="dxa"/>
                  <w:tcBorders>
                    <w:tl2br w:val="nil"/>
                    <w:tr2bl w:val="nil"/>
                  </w:tcBorders>
                  <w:noWrap w:val="0"/>
                  <w:vAlign w:val="center"/>
                </w:tcPr>
                <w:p w14:paraId="5E2759CE">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热风炉</w:t>
                  </w:r>
                </w:p>
              </w:tc>
              <w:tc>
                <w:tcPr>
                  <w:tcW w:w="537" w:type="dxa"/>
                  <w:tcBorders>
                    <w:tl2br w:val="nil"/>
                    <w:tr2bl w:val="nil"/>
                  </w:tcBorders>
                  <w:noWrap w:val="0"/>
                  <w:vAlign w:val="center"/>
                </w:tcPr>
                <w:p w14:paraId="017F83E2">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u w:val="none"/>
                    </w:rPr>
                    <w:t>热风炉</w:t>
                  </w:r>
                </w:p>
              </w:tc>
              <w:tc>
                <w:tcPr>
                  <w:tcW w:w="484" w:type="dxa"/>
                  <w:tcBorders>
                    <w:tl2br w:val="nil"/>
                    <w:tr2bl w:val="nil"/>
                  </w:tcBorders>
                  <w:noWrap w:val="0"/>
                  <w:vAlign w:val="center"/>
                </w:tcPr>
                <w:p w14:paraId="38F0307C">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w:t>
                  </w:r>
                </w:p>
              </w:tc>
              <w:tc>
                <w:tcPr>
                  <w:tcW w:w="620" w:type="dxa"/>
                  <w:tcBorders>
                    <w:tl2br w:val="nil"/>
                    <w:tr2bl w:val="nil"/>
                  </w:tcBorders>
                  <w:noWrap w:val="0"/>
                  <w:vAlign w:val="center"/>
                </w:tcPr>
                <w:p w14:paraId="39689CD9">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8</w:t>
                  </w:r>
                  <w:r>
                    <w:rPr>
                      <w:rFonts w:hint="eastAsia" w:ascii="Times New Roman" w:hAnsi="Times New Roman" w:eastAsia="宋体" w:cs="Times New Roman"/>
                      <w:color w:val="auto"/>
                      <w:kern w:val="2"/>
                      <w:sz w:val="21"/>
                      <w:szCs w:val="21"/>
                      <w:highlight w:val="none"/>
                      <w:u w:val="none"/>
                      <w:lang w:val="en-US" w:eastAsia="zh-CN" w:bidi="ar-SA"/>
                    </w:rPr>
                    <w:t>5</w:t>
                  </w:r>
                </w:p>
              </w:tc>
              <w:tc>
                <w:tcPr>
                  <w:tcW w:w="707" w:type="dxa"/>
                  <w:tcBorders>
                    <w:tl2br w:val="nil"/>
                    <w:tr2bl w:val="nil"/>
                  </w:tcBorders>
                  <w:noWrap w:val="0"/>
                  <w:vAlign w:val="center"/>
                </w:tcPr>
                <w:p w14:paraId="703692E0">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基础减振、厂房隔声等</w:t>
                  </w:r>
                </w:p>
              </w:tc>
              <w:tc>
                <w:tcPr>
                  <w:tcW w:w="416" w:type="dxa"/>
                  <w:tcBorders>
                    <w:tl2br w:val="nil"/>
                    <w:tr2bl w:val="nil"/>
                  </w:tcBorders>
                  <w:noWrap w:val="0"/>
                  <w:vAlign w:val="center"/>
                </w:tcPr>
                <w:p w14:paraId="14310E15">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-80</w:t>
                  </w:r>
                </w:p>
              </w:tc>
              <w:tc>
                <w:tcPr>
                  <w:tcW w:w="416" w:type="dxa"/>
                  <w:tcBorders>
                    <w:tl2br w:val="nil"/>
                    <w:tr2bl w:val="nil"/>
                  </w:tcBorders>
                  <w:noWrap w:val="0"/>
                  <w:vAlign w:val="center"/>
                </w:tcPr>
                <w:p w14:paraId="4BB4F026">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-2</w:t>
                  </w:r>
                </w:p>
              </w:tc>
              <w:tc>
                <w:tcPr>
                  <w:tcW w:w="418" w:type="dxa"/>
                  <w:tcBorders>
                    <w:tl2br w:val="nil"/>
                    <w:tr2bl w:val="nil"/>
                  </w:tcBorders>
                  <w:noWrap w:val="0"/>
                  <w:vAlign w:val="center"/>
                </w:tcPr>
                <w:p w14:paraId="462D46CE">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5</w:t>
                  </w:r>
                </w:p>
              </w:tc>
              <w:tc>
                <w:tcPr>
                  <w:tcW w:w="473" w:type="dxa"/>
                  <w:tcBorders>
                    <w:tl2br w:val="nil"/>
                    <w:tr2bl w:val="nil"/>
                  </w:tcBorders>
                  <w:noWrap w:val="0"/>
                  <w:vAlign w:val="center"/>
                </w:tcPr>
                <w:p w14:paraId="6154AA94">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3</w:t>
                  </w:r>
                </w:p>
              </w:tc>
              <w:tc>
                <w:tcPr>
                  <w:tcW w:w="471" w:type="dxa"/>
                  <w:tcBorders>
                    <w:tl2br w:val="nil"/>
                    <w:tr2bl w:val="nil"/>
                  </w:tcBorders>
                  <w:noWrap w:val="0"/>
                  <w:vAlign w:val="center"/>
                </w:tcPr>
                <w:p w14:paraId="202B9EBF">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76</w:t>
                  </w:r>
                </w:p>
              </w:tc>
              <w:tc>
                <w:tcPr>
                  <w:tcW w:w="384" w:type="dxa"/>
                  <w:vMerge w:val="restart"/>
                  <w:tcBorders>
                    <w:tl2br w:val="nil"/>
                    <w:tr2bl w:val="nil"/>
                  </w:tcBorders>
                  <w:noWrap w:val="0"/>
                  <w:vAlign w:val="center"/>
                </w:tcPr>
                <w:p w14:paraId="094B259E">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昼间、夜间</w:t>
                  </w:r>
                </w:p>
              </w:tc>
              <w:tc>
                <w:tcPr>
                  <w:tcW w:w="737" w:type="dxa"/>
                  <w:tcBorders>
                    <w:tl2br w:val="nil"/>
                    <w:tr2bl w:val="nil"/>
                  </w:tcBorders>
                  <w:noWrap w:val="0"/>
                  <w:vAlign w:val="center"/>
                </w:tcPr>
                <w:p w14:paraId="6D378F5D">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20</w:t>
                  </w:r>
                </w:p>
              </w:tc>
              <w:tc>
                <w:tcPr>
                  <w:tcW w:w="625" w:type="dxa"/>
                  <w:tcBorders>
                    <w:tl2br w:val="nil"/>
                    <w:tr2bl w:val="nil"/>
                  </w:tcBorders>
                  <w:noWrap w:val="0"/>
                  <w:vAlign w:val="center"/>
                </w:tcPr>
                <w:p w14:paraId="6A1E5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50</w:t>
                  </w:r>
                </w:p>
              </w:tc>
              <w:tc>
                <w:tcPr>
                  <w:tcW w:w="627" w:type="dxa"/>
                  <w:tcBorders>
                    <w:tl2br w:val="nil"/>
                    <w:tr2bl w:val="nil"/>
                  </w:tcBorders>
                  <w:noWrap w:val="0"/>
                  <w:vAlign w:val="center"/>
                </w:tcPr>
                <w:p w14:paraId="3BC2B657">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1</w:t>
                  </w:r>
                </w:p>
              </w:tc>
            </w:tr>
            <w:tr w14:paraId="6B7E2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19" w:type="dxa"/>
                  <w:tcBorders>
                    <w:tl2br w:val="nil"/>
                    <w:tr2bl w:val="nil"/>
                  </w:tcBorders>
                  <w:noWrap w:val="0"/>
                  <w:vAlign w:val="center"/>
                </w:tcPr>
                <w:p w14:paraId="7A3D1523">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2</w:t>
                  </w:r>
                </w:p>
              </w:tc>
              <w:tc>
                <w:tcPr>
                  <w:tcW w:w="513" w:type="dxa"/>
                  <w:tcBorders>
                    <w:tl2br w:val="nil"/>
                    <w:tr2bl w:val="nil"/>
                  </w:tcBorders>
                  <w:noWrap w:val="0"/>
                  <w:vAlign w:val="center"/>
                </w:tcPr>
                <w:p w14:paraId="21AAEF3F">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热风炉</w:t>
                  </w:r>
                </w:p>
              </w:tc>
              <w:tc>
                <w:tcPr>
                  <w:tcW w:w="537" w:type="dxa"/>
                  <w:tcBorders>
                    <w:tl2br w:val="nil"/>
                    <w:tr2bl w:val="nil"/>
                  </w:tcBorders>
                  <w:noWrap w:val="0"/>
                  <w:vAlign w:val="center"/>
                </w:tcPr>
                <w:p w14:paraId="4A6DA56B">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hAnsi="宋体" w:cs="宋体"/>
                      <w:color w:val="auto"/>
                      <w:kern w:val="0"/>
                      <w:sz w:val="21"/>
                      <w:szCs w:val="21"/>
                      <w:highlight w:val="none"/>
                      <w:lang w:eastAsia="zh-CN" w:bidi="ar"/>
                    </w:rPr>
                    <w:t>风机</w:t>
                  </w:r>
                </w:p>
              </w:tc>
              <w:tc>
                <w:tcPr>
                  <w:tcW w:w="484" w:type="dxa"/>
                  <w:tcBorders>
                    <w:tl2br w:val="nil"/>
                    <w:tr2bl w:val="nil"/>
                  </w:tcBorders>
                  <w:noWrap w:val="0"/>
                  <w:vAlign w:val="center"/>
                </w:tcPr>
                <w:p w14:paraId="1923282A">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w:t>
                  </w:r>
                </w:p>
              </w:tc>
              <w:tc>
                <w:tcPr>
                  <w:tcW w:w="620" w:type="dxa"/>
                  <w:tcBorders>
                    <w:tl2br w:val="nil"/>
                    <w:tr2bl w:val="nil"/>
                  </w:tcBorders>
                  <w:noWrap w:val="0"/>
                  <w:vAlign w:val="center"/>
                </w:tcPr>
                <w:p w14:paraId="4980D6B4">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80</w:t>
                  </w:r>
                </w:p>
              </w:tc>
              <w:tc>
                <w:tcPr>
                  <w:tcW w:w="707" w:type="dxa"/>
                  <w:tcBorders>
                    <w:tl2br w:val="nil"/>
                    <w:tr2bl w:val="nil"/>
                  </w:tcBorders>
                  <w:noWrap w:val="0"/>
                  <w:vAlign w:val="center"/>
                </w:tcPr>
                <w:p w14:paraId="74F8204C">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基础减</w:t>
                  </w:r>
                </w:p>
                <w:p w14:paraId="4B698DD5">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振、厂房隔声等</w:t>
                  </w:r>
                </w:p>
              </w:tc>
              <w:tc>
                <w:tcPr>
                  <w:tcW w:w="416" w:type="dxa"/>
                  <w:tcBorders>
                    <w:tl2br w:val="nil"/>
                    <w:tr2bl w:val="nil"/>
                  </w:tcBorders>
                  <w:noWrap w:val="0"/>
                  <w:vAlign w:val="center"/>
                </w:tcPr>
                <w:p w14:paraId="60502E19">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-80</w:t>
                  </w:r>
                </w:p>
              </w:tc>
              <w:tc>
                <w:tcPr>
                  <w:tcW w:w="416" w:type="dxa"/>
                  <w:tcBorders>
                    <w:tl2br w:val="nil"/>
                    <w:tr2bl w:val="nil"/>
                  </w:tcBorders>
                  <w:noWrap w:val="0"/>
                  <w:vAlign w:val="center"/>
                </w:tcPr>
                <w:p w14:paraId="3B7CDC57">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2</w:t>
                  </w:r>
                </w:p>
              </w:tc>
              <w:tc>
                <w:tcPr>
                  <w:tcW w:w="418" w:type="dxa"/>
                  <w:tcBorders>
                    <w:tl2br w:val="nil"/>
                    <w:tr2bl w:val="nil"/>
                  </w:tcBorders>
                  <w:noWrap w:val="0"/>
                  <w:vAlign w:val="center"/>
                </w:tcPr>
                <w:p w14:paraId="6D7334ED">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2</w:t>
                  </w:r>
                </w:p>
              </w:tc>
              <w:tc>
                <w:tcPr>
                  <w:tcW w:w="473" w:type="dxa"/>
                  <w:tcBorders>
                    <w:tl2br w:val="nil"/>
                    <w:tr2bl w:val="nil"/>
                  </w:tcBorders>
                  <w:noWrap w:val="0"/>
                  <w:vAlign w:val="center"/>
                </w:tcPr>
                <w:p w14:paraId="0BE4F273">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2</w:t>
                  </w:r>
                </w:p>
              </w:tc>
              <w:tc>
                <w:tcPr>
                  <w:tcW w:w="471" w:type="dxa"/>
                  <w:tcBorders>
                    <w:tl2br w:val="nil"/>
                    <w:tr2bl w:val="nil"/>
                  </w:tcBorders>
                  <w:noWrap w:val="0"/>
                  <w:vAlign w:val="center"/>
                </w:tcPr>
                <w:p w14:paraId="6FEB9D0C">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cs="Times New Roman"/>
                      <w:color w:val="auto"/>
                      <w:kern w:val="2"/>
                      <w:sz w:val="21"/>
                      <w:szCs w:val="21"/>
                      <w:highlight w:val="none"/>
                      <w:u w:val="none"/>
                      <w:lang w:val="en-US" w:eastAsia="zh-CN" w:bidi="ar-SA"/>
                    </w:rPr>
                    <w:t>74</w:t>
                  </w:r>
                </w:p>
              </w:tc>
              <w:tc>
                <w:tcPr>
                  <w:tcW w:w="384" w:type="dxa"/>
                  <w:vMerge w:val="continue"/>
                  <w:tcBorders>
                    <w:tl2br w:val="nil"/>
                    <w:tr2bl w:val="nil"/>
                  </w:tcBorders>
                  <w:noWrap w:val="0"/>
                  <w:vAlign w:val="center"/>
                </w:tcPr>
                <w:p w14:paraId="5C855AB5">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737" w:type="dxa"/>
                  <w:tcBorders>
                    <w:tl2br w:val="nil"/>
                    <w:tr2bl w:val="nil"/>
                  </w:tcBorders>
                  <w:noWrap w:val="0"/>
                  <w:vAlign w:val="center"/>
                </w:tcPr>
                <w:p w14:paraId="15508052">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20</w:t>
                  </w:r>
                </w:p>
              </w:tc>
              <w:tc>
                <w:tcPr>
                  <w:tcW w:w="625" w:type="dxa"/>
                  <w:tcBorders>
                    <w:tl2br w:val="nil"/>
                    <w:tr2bl w:val="nil"/>
                  </w:tcBorders>
                  <w:noWrap w:val="0"/>
                  <w:vAlign w:val="center"/>
                </w:tcPr>
                <w:p w14:paraId="21B76A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48</w:t>
                  </w:r>
                </w:p>
              </w:tc>
              <w:tc>
                <w:tcPr>
                  <w:tcW w:w="627" w:type="dxa"/>
                  <w:tcBorders>
                    <w:tl2br w:val="nil"/>
                    <w:tr2bl w:val="nil"/>
                  </w:tcBorders>
                  <w:noWrap w:val="0"/>
                  <w:vAlign w:val="center"/>
                </w:tcPr>
                <w:p w14:paraId="048E3022">
                  <w:pPr>
                    <w:pStyle w:val="4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u w:val="none"/>
                      <w:lang w:val="en-US" w:eastAsia="zh-CN" w:bidi="ar-SA"/>
                    </w:rPr>
                    <w:t>1</w:t>
                  </w:r>
                </w:p>
              </w:tc>
            </w:tr>
          </w:tbl>
          <w:p w14:paraId="343F4C9F">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（二）噪声影响</w:t>
            </w:r>
            <w:r>
              <w:rPr>
                <w:rFonts w:hint="default" w:ascii="Times New Roman" w:hAnsi="Times New Roman" w:eastAsia="宋体" w:cs="Times New Roman"/>
                <w:color w:val="auto"/>
                <w:sz w:val="24"/>
                <w:szCs w:val="24"/>
                <w:highlight w:val="none"/>
                <w:lang w:val="en-US" w:eastAsia="zh-CN"/>
              </w:rPr>
              <w:t>预测</w:t>
            </w:r>
          </w:p>
          <w:p w14:paraId="239EDC2D">
            <w:pPr>
              <w:pStyle w:val="106"/>
              <w:keepNext w:val="0"/>
              <w:keepLines w:val="0"/>
              <w:suppressLineNumbers w:val="0"/>
              <w:adjustRightInd/>
              <w:snapToGrid/>
              <w:spacing w:before="0" w:beforeAutospacing="0" w:after="0" w:afterAutospacing="0"/>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预测模式采用《环境影响评价技术导则-声环境》（HJ2.4-2021）中推荐的预测模式。</w:t>
            </w:r>
          </w:p>
          <w:p w14:paraId="2FCB9FFF">
            <w:pPr>
              <w:pStyle w:val="68"/>
              <w:keepNext w:val="0"/>
              <w:keepLines w:val="0"/>
              <w:suppressLineNumbers w:val="0"/>
              <w:spacing w:before="0" w:beforeAutospacing="0" w:after="0" w:afterAutospacing="0" w:line="360" w:lineRule="auto"/>
              <w:ind w:left="0" w:leftChars="0" w:right="0" w:rightChars="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（1）室内设备噪声影响预测采用室内声场扩散衰减模式，具体如下：</w:t>
            </w:r>
          </w:p>
          <w:p w14:paraId="5556DED5">
            <w:pPr>
              <w:pStyle w:val="68"/>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vertAlign w:val="subscript"/>
              </w:rPr>
            </w:pPr>
            <w:r>
              <w:rPr>
                <w:rFonts w:hint="default" w:ascii="Times New Roman" w:hAnsi="Times New Roman" w:eastAsia="宋体" w:cs="Times New Roman"/>
                <w:color w:val="auto"/>
                <w:sz w:val="24"/>
                <w:szCs w:val="24"/>
                <w:highlight w:val="none"/>
              </w:rPr>
              <w:drawing>
                <wp:anchor distT="0" distB="0" distL="114300" distR="114300" simplePos="0" relativeHeight="251661312" behindDoc="0" locked="0" layoutInCell="1" allowOverlap="1">
                  <wp:simplePos x="0" y="0"/>
                  <wp:positionH relativeFrom="column">
                    <wp:posOffset>1333500</wp:posOffset>
                  </wp:positionH>
                  <wp:positionV relativeFrom="paragraph">
                    <wp:posOffset>227330</wp:posOffset>
                  </wp:positionV>
                  <wp:extent cx="2409825" cy="428625"/>
                  <wp:effectExtent l="0" t="0" r="0" b="3175"/>
                  <wp:wrapSquare wrapText="bothSides"/>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27"/>
                          <a:stretch>
                            <a:fillRect/>
                          </a:stretch>
                        </pic:blipFill>
                        <pic:spPr>
                          <a:xfrm>
                            <a:off x="0" y="0"/>
                            <a:ext cx="2409825" cy="428625"/>
                          </a:xfrm>
                          <a:prstGeom prst="rect">
                            <a:avLst/>
                          </a:prstGeom>
                          <a:noFill/>
                          <a:ln>
                            <a:noFill/>
                          </a:ln>
                        </pic:spPr>
                      </pic:pic>
                    </a:graphicData>
                  </a:graphic>
                </wp:anchor>
              </w:drawing>
            </w:r>
          </w:p>
          <w:p w14:paraId="2D12826C">
            <w:pPr>
              <w:pStyle w:val="68"/>
              <w:keepNext w:val="0"/>
              <w:keepLines w:val="0"/>
              <w:suppressLineNumbers w:val="0"/>
              <w:spacing w:before="0" w:beforeAutospacing="0" w:after="0" w:afterAutospacing="0" w:line="360" w:lineRule="auto"/>
              <w:ind w:left="0" w:leftChars="0" w:right="0" w:right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mc:AlternateContent>
                <mc:Choice Requires="wps">
                  <w:drawing>
                    <wp:anchor distT="0" distB="0" distL="114300" distR="114300" simplePos="0" relativeHeight="251662336" behindDoc="0" locked="0" layoutInCell="1" allowOverlap="1">
                      <wp:simplePos x="0" y="0"/>
                      <wp:positionH relativeFrom="column">
                        <wp:posOffset>3829050</wp:posOffset>
                      </wp:positionH>
                      <wp:positionV relativeFrom="paragraph">
                        <wp:posOffset>144780</wp:posOffset>
                      </wp:positionV>
                      <wp:extent cx="443865" cy="207010"/>
                      <wp:effectExtent l="0" t="0" r="0" b="0"/>
                      <wp:wrapNone/>
                      <wp:docPr id="12" name="文本框 9"/>
                      <wp:cNvGraphicFramePr/>
                      <a:graphic xmlns:a="http://schemas.openxmlformats.org/drawingml/2006/main">
                        <a:graphicData uri="http://schemas.microsoft.com/office/word/2010/wordprocessingShape">
                          <wps:wsp>
                            <wps:cNvSpPr txBox="1">
                              <a:spLocks noChangeArrowheads="1"/>
                            </wps:cNvSpPr>
                            <wps:spPr bwMode="auto">
                              <a:xfrm>
                                <a:off x="0" y="0"/>
                                <a:ext cx="443865" cy="207010"/>
                              </a:xfrm>
                              <a:prstGeom prst="rect">
                                <a:avLst/>
                              </a:prstGeom>
                              <a:noFill/>
                              <a:ln>
                                <a:noFill/>
                              </a:ln>
                              <a:effectLst/>
                            </wps:spPr>
                            <wps:txbx>
                              <w:txbxContent>
                                <w:p w14:paraId="5829391D">
                                  <w:r>
                                    <w:rPr>
                                      <w:rFonts w:hint="eastAsia"/>
                                    </w:rPr>
                                    <w:t>－</w:t>
                                  </w:r>
                                  <w:r>
                                    <w:rPr>
                                      <w:rFonts w:hint="eastAsia"/>
                                      <w:i/>
                                    </w:rPr>
                                    <w:t>L</w:t>
                                  </w:r>
                                  <w:r>
                                    <w:rPr>
                                      <w:rFonts w:hint="eastAsia"/>
                                      <w:i/>
                                      <w:vertAlign w:val="subscript"/>
                                    </w:rPr>
                                    <w:t>TL</w:t>
                                  </w:r>
                                </w:p>
                              </w:txbxContent>
                            </wps:txbx>
                            <wps:bodyPr rot="0" vert="horz" wrap="square" lIns="0" tIns="0" rIns="0" bIns="0" anchor="t" anchorCtr="0" upright="1">
                              <a:noAutofit/>
                            </wps:bodyPr>
                          </wps:wsp>
                        </a:graphicData>
                      </a:graphic>
                    </wp:anchor>
                  </w:drawing>
                </mc:Choice>
                <mc:Fallback>
                  <w:pict>
                    <v:shape id="文本框 9" o:spid="_x0000_s1026" o:spt="202" type="#_x0000_t202" style="position:absolute;left:0pt;margin-left:301.5pt;margin-top:11.4pt;height:16.3pt;width:34.95pt;z-index:251662336;mso-width-relative:page;mso-height-relative:page;" filled="f" stroked="f" coordsize="21600,21600" o:gfxdata="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Pvwoy2QAAAAkBAAAPAAAAAAAA&#10;AAEAIAAAACIAAABkcnMvZG93bnJldi54bWxQSwECFAAUAAAACACHTuJAcmXWyBECAAATBAAADgAA&#10;AAAAAAABACAAAAAoAQAAZHJzL2Uyb0RvYy54bWxQSwUGAAAAAAYABgBZAQAAqwUAAAAA&#10;">
                      <v:fill on="f" focussize="0,0"/>
                      <v:stroke on="f"/>
                      <v:imagedata o:title=""/>
                      <o:lock v:ext="edit" aspectratio="f"/>
                      <v:textbox inset="0mm,0mm,0mm,0mm">
                        <w:txbxContent>
                          <w:p w14:paraId="5829391D">
                            <w:r>
                              <w:rPr>
                                <w:rFonts w:hint="eastAsia"/>
                              </w:rPr>
                              <w:t>－</w:t>
                            </w:r>
                            <w:r>
                              <w:rPr>
                                <w:rFonts w:hint="eastAsia"/>
                                <w:i/>
                              </w:rPr>
                              <w:t>L</w:t>
                            </w:r>
                            <w:r>
                              <w:rPr>
                                <w:rFonts w:hint="eastAsia"/>
                                <w:i/>
                                <w:vertAlign w:val="subscript"/>
                              </w:rPr>
                              <w:t>TL</w:t>
                            </w:r>
                          </w:p>
                        </w:txbxContent>
                      </v:textbox>
                    </v:shape>
                  </w:pict>
                </mc:Fallback>
              </mc:AlternateContent>
            </w:r>
          </w:p>
          <w:p w14:paraId="23D67219">
            <w:pPr>
              <w:pStyle w:val="68"/>
              <w:keepNext w:val="0"/>
              <w:keepLines w:val="0"/>
              <w:suppressLineNumbers w:val="0"/>
              <w:spacing w:before="0" w:beforeAutospacing="0" w:after="0" w:afterAutospacing="0" w:line="360" w:lineRule="auto"/>
              <w:ind w:left="0" w:leftChars="0" w:right="0" w:rightChars="0"/>
              <w:rPr>
                <w:rFonts w:hint="default" w:ascii="Times New Roman" w:hAnsi="Times New Roman" w:eastAsia="宋体" w:cs="Times New Roman"/>
                <w:color w:val="auto"/>
                <w:sz w:val="24"/>
                <w:szCs w:val="24"/>
                <w:highlight w:val="none"/>
              </w:rPr>
            </w:pPr>
          </w:p>
          <w:p w14:paraId="5A2427BB">
            <w:pPr>
              <w:pStyle w:val="68"/>
              <w:keepNext w:val="0"/>
              <w:keepLines w:val="0"/>
              <w:suppressLineNumbers w:val="0"/>
              <w:spacing w:before="0" w:beforeAutospacing="0" w:after="0" w:afterAutospacing="0" w:line="360" w:lineRule="auto"/>
              <w:ind w:left="0" w:leftChars="0" w:right="0" w:right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w:t>
            </w:r>
            <w:r>
              <w:rPr>
                <w:rFonts w:hint="default" w:ascii="Times New Roman" w:hAnsi="Times New Roman" w:eastAsia="宋体" w:cs="Times New Roman"/>
                <w:color w:val="auto"/>
                <w:sz w:val="24"/>
                <w:szCs w:val="24"/>
                <w:highlight w:val="none"/>
                <w:vertAlign w:val="subscript"/>
              </w:rPr>
              <w:t>P</w:t>
            </w:r>
            <w:r>
              <w:rPr>
                <w:rFonts w:hint="default" w:ascii="Times New Roman" w:hAnsi="Times New Roman" w:eastAsia="宋体" w:cs="Times New Roman"/>
                <w:color w:val="auto"/>
                <w:sz w:val="24"/>
                <w:szCs w:val="24"/>
                <w:highlight w:val="none"/>
              </w:rPr>
              <w:t>——预测点的噪声级（dB）；</w:t>
            </w:r>
          </w:p>
          <w:p w14:paraId="5F1B44C0">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Lw——声源声功率级（dB）；</w:t>
            </w:r>
          </w:p>
          <w:p w14:paraId="231A0D24">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Q——室内空间指向因子，（完全自由空间Q=1，半自由空间Q=2，1/4自由空间Q=4，1/8自由空间Q=8）</w:t>
            </w:r>
          </w:p>
          <w:p w14:paraId="4B531F6E">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R——预测点离声源距离（m）；</w:t>
            </w:r>
          </w:p>
          <w:p w14:paraId="3912B10E">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R——室内房间常数（由房间材料决定）；</w:t>
            </w:r>
          </w:p>
          <w:p w14:paraId="65BE5896">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C——空气中的声速（m/s）；</w:t>
            </w:r>
          </w:p>
          <w:p w14:paraId="1175B496">
            <w:pPr>
              <w:pStyle w:val="68"/>
              <w:keepNext w:val="0"/>
              <w:keepLines w:val="0"/>
              <w:suppressLineNumbers w:val="0"/>
              <w:spacing w:before="0" w:beforeAutospacing="0" w:after="0" w:afterAutospacing="0" w:line="360" w:lineRule="auto"/>
              <w:ind w:left="0" w:leftChars="0" w:right="0" w:rightChars="0" w:firstLine="1260" w:firstLineChars="5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TL</w:t>
            </w:r>
            <w:r>
              <w:rPr>
                <w:rFonts w:hint="default" w:ascii="Times New Roman" w:hAnsi="Times New Roman" w:eastAsia="宋体" w:cs="Times New Roman"/>
                <w:color w:val="auto"/>
                <w:sz w:val="24"/>
                <w:szCs w:val="24"/>
                <w:highlight w:val="none"/>
              </w:rPr>
              <w:t>——隔墙的传声损失（dB）。</w:t>
            </w:r>
          </w:p>
          <w:p w14:paraId="72EDE09E">
            <w:pPr>
              <w:pStyle w:val="68"/>
              <w:keepNext w:val="0"/>
              <w:keepLines w:val="0"/>
              <w:suppressLineNumbers w:val="0"/>
              <w:spacing w:before="0" w:beforeAutospacing="0" w:after="0" w:afterAutospacing="0" w:line="360" w:lineRule="auto"/>
              <w:ind w:left="0" w:leftChars="0" w:right="0" w:rightChars="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（2）室外设备噪声影响预测采用室外声场扩散衰减模式，具体如下：</w:t>
            </w:r>
          </w:p>
          <w:p w14:paraId="1C4A662F">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2"/>
                <w:sz w:val="24"/>
                <w:szCs w:val="24"/>
                <w:highlight w:val="none"/>
              </w:rPr>
              <w:object>
                <v:shape id="_x0000_i1026" o:spt="75" type="#_x0000_t75" style="height:22.5pt;width:113.25pt;" o:ole="t" filled="f" o:preferrelative="t" stroked="f" coordsize="21600,21600">
                  <v:path/>
                  <v:fill on="f" focussize="0,0"/>
                  <v:stroke on="f" joinstyle="miter"/>
                  <v:imagedata r:id="rId29" o:title=""/>
                  <o:lock v:ext="edit" aspectratio="t"/>
                  <w10:wrap type="none"/>
                  <w10:anchorlock/>
                </v:shape>
                <o:OLEObject Type="Embed" ProgID="Equation.3" ShapeID="_x0000_i1026" DrawAspect="Content" ObjectID="_1468075726" r:id="rId28">
                  <o:LockedField>false</o:LockedField>
                </o:OLEObject>
              </w:object>
            </w:r>
          </w:p>
          <w:p w14:paraId="70899750">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4"/>
                <w:sz w:val="24"/>
                <w:szCs w:val="24"/>
                <w:highlight w:val="none"/>
              </w:rPr>
              <w:object>
                <v:shape id="_x0000_i1027" o:spt="75" type="#_x0000_t75" style="height:26.25pt;width:218.25pt;" o:ole="t" filled="f" o:preferrelative="t" stroked="f" coordsize="21600,21600">
                  <v:path/>
                  <v:fill on="f" focussize="0,0"/>
                  <v:stroke on="f" joinstyle="miter"/>
                  <v:imagedata r:id="rId31" o:title=""/>
                  <o:lock v:ext="edit" aspectratio="t"/>
                  <w10:wrap type="none"/>
                  <w10:anchorlock/>
                </v:shape>
                <o:OLEObject Type="Embed" ProgID="Equation.3" ShapeID="_x0000_i1027" DrawAspect="Content" ObjectID="_1468075727" r:id="rId30">
                  <o:LockedField>false</o:LockedField>
                </o:OLEObject>
              </w:object>
            </w:r>
          </w:p>
          <w:p w14:paraId="649185A6">
            <w:pPr>
              <w:pStyle w:val="68"/>
              <w:keepNext w:val="0"/>
              <w:keepLines w:val="0"/>
              <w:suppressLineNumbers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w:t>
            </w:r>
            <w:r>
              <w:rPr>
                <w:rFonts w:hint="default" w:ascii="Times New Roman" w:hAnsi="Times New Roman" w:eastAsia="宋体" w:cs="Times New Roman"/>
                <w:color w:val="auto"/>
                <w:sz w:val="24"/>
                <w:szCs w:val="24"/>
                <w:highlight w:val="none"/>
                <w:vertAlign w:val="subscript"/>
              </w:rPr>
              <w:t>A</w:t>
            </w:r>
            <w:r>
              <w:rPr>
                <w:rFonts w:hint="default" w:ascii="Times New Roman" w:hAnsi="Times New Roman" w:eastAsia="宋体" w:cs="Times New Roman"/>
                <w:color w:val="auto"/>
                <w:sz w:val="24"/>
                <w:szCs w:val="24"/>
                <w:highlight w:val="none"/>
              </w:rPr>
              <w:t>（r）——预测点的噪声值，dB；</w:t>
            </w:r>
          </w:p>
          <w:p w14:paraId="0D9A71DC">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A</w:t>
            </w:r>
            <w:r>
              <w:rPr>
                <w:rFonts w:hint="default" w:ascii="Times New Roman" w:hAnsi="Times New Roman" w:eastAsia="宋体" w:cs="Times New Roman"/>
                <w:color w:val="auto"/>
                <w:sz w:val="24"/>
                <w:szCs w:val="24"/>
                <w:highlight w:val="none"/>
              </w:rPr>
              <w:t>（r</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）——参照点的噪声值，dB；</w:t>
            </w:r>
          </w:p>
          <w:p w14:paraId="4BC33159">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r、r</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——预测点、参照点到噪声源处的距离，m；</w:t>
            </w:r>
          </w:p>
          <w:p w14:paraId="3586484D">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A——户外传播引起的衰减值，dB；</w:t>
            </w:r>
          </w:p>
          <w:p w14:paraId="62CAC6A4">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vertAlign w:val="subscript"/>
              </w:rPr>
              <w:t>div</w:t>
            </w:r>
            <w:r>
              <w:rPr>
                <w:rFonts w:hint="default" w:ascii="Times New Roman" w:hAnsi="Times New Roman" w:eastAsia="宋体" w:cs="Times New Roman"/>
                <w:color w:val="auto"/>
                <w:sz w:val="24"/>
                <w:szCs w:val="24"/>
                <w:highlight w:val="none"/>
              </w:rPr>
              <w:t>——几何发散衰减，A</w:t>
            </w:r>
            <w:r>
              <w:rPr>
                <w:rFonts w:hint="default" w:ascii="Times New Roman" w:hAnsi="Times New Roman" w:eastAsia="宋体" w:cs="Times New Roman"/>
                <w:color w:val="auto"/>
                <w:sz w:val="24"/>
                <w:szCs w:val="24"/>
                <w:highlight w:val="none"/>
                <w:vertAlign w:val="subscript"/>
              </w:rPr>
              <w:t>div</w:t>
            </w:r>
            <w:r>
              <w:rPr>
                <w:rFonts w:hint="default" w:ascii="Times New Roman" w:hAnsi="Times New Roman" w:eastAsia="宋体" w:cs="Times New Roman"/>
                <w:color w:val="auto"/>
                <w:sz w:val="24"/>
                <w:szCs w:val="24"/>
                <w:highlight w:val="none"/>
              </w:rPr>
              <w:t>=20lg（r/r</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），dB；</w:t>
            </w:r>
          </w:p>
          <w:p w14:paraId="1603D761">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vertAlign w:val="subscript"/>
              </w:rPr>
              <w:t>atm</w:t>
            </w:r>
            <w:r>
              <w:rPr>
                <w:rFonts w:hint="default" w:ascii="Times New Roman" w:hAnsi="Times New Roman" w:eastAsia="宋体" w:cs="Times New Roman"/>
                <w:color w:val="auto"/>
                <w:sz w:val="24"/>
                <w:szCs w:val="24"/>
                <w:highlight w:val="none"/>
              </w:rPr>
              <w:t>——空气吸收引起的衰减，A</w:t>
            </w:r>
            <w:r>
              <w:rPr>
                <w:rFonts w:hint="default" w:ascii="Times New Roman" w:hAnsi="Times New Roman" w:eastAsia="宋体" w:cs="Times New Roman"/>
                <w:color w:val="auto"/>
                <w:sz w:val="24"/>
                <w:szCs w:val="24"/>
                <w:highlight w:val="none"/>
                <w:vertAlign w:val="subscript"/>
              </w:rPr>
              <w:t>atm</w:t>
            </w:r>
            <w:r>
              <w:rPr>
                <w:rFonts w:hint="default" w:ascii="Times New Roman" w:hAnsi="Times New Roman" w:eastAsia="宋体" w:cs="Times New Roman"/>
                <w:color w:val="auto"/>
                <w:sz w:val="24"/>
                <w:szCs w:val="24"/>
                <w:highlight w:val="none"/>
              </w:rPr>
              <w:t>=a（r-r</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）/1000，dB；</w:t>
            </w:r>
          </w:p>
          <w:p w14:paraId="3FFAA2FE">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vertAlign w:val="subscript"/>
              </w:rPr>
              <w:t>bar</w:t>
            </w:r>
            <w:r>
              <w:rPr>
                <w:rFonts w:hint="default" w:ascii="Times New Roman" w:hAnsi="Times New Roman" w:eastAsia="宋体" w:cs="Times New Roman"/>
                <w:color w:val="auto"/>
                <w:sz w:val="24"/>
                <w:szCs w:val="24"/>
                <w:highlight w:val="none"/>
              </w:rPr>
              <w:t>——屏障引起的衰减，dB；</w:t>
            </w:r>
          </w:p>
          <w:p w14:paraId="6982626F">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vertAlign w:val="subscript"/>
              </w:rPr>
              <w:t>g——</w:t>
            </w:r>
            <w:r>
              <w:rPr>
                <w:rFonts w:hint="default" w:ascii="Times New Roman" w:hAnsi="Times New Roman" w:eastAsia="宋体" w:cs="Times New Roman"/>
                <w:color w:val="auto"/>
                <w:sz w:val="24"/>
                <w:szCs w:val="24"/>
                <w:highlight w:val="none"/>
              </w:rPr>
              <w:t>地面效应衰减，dB（计算了屏障衰减后，不再考虑地面效应衰减）；</w:t>
            </w:r>
          </w:p>
          <w:p w14:paraId="0DC739F7">
            <w:pPr>
              <w:pStyle w:val="68"/>
              <w:keepNext w:val="0"/>
              <w:keepLines w:val="0"/>
              <w:suppressLineNumbers w:val="0"/>
              <w:spacing w:before="0" w:beforeAutospacing="0" w:after="0" w:afterAutospacing="0"/>
              <w:ind w:left="0" w:leftChars="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vertAlign w:val="subscript"/>
              </w:rPr>
              <w:t>misc</w:t>
            </w:r>
            <w:r>
              <w:rPr>
                <w:rFonts w:hint="default" w:ascii="Times New Roman" w:hAnsi="Times New Roman" w:eastAsia="宋体" w:cs="Times New Roman"/>
                <w:color w:val="auto"/>
                <w:sz w:val="24"/>
                <w:szCs w:val="24"/>
                <w:highlight w:val="none"/>
              </w:rPr>
              <w:t>——其他多方面原因引起的衰减，dB（0.025dB/m）。</w:t>
            </w:r>
          </w:p>
          <w:p w14:paraId="11181382">
            <w:pPr>
              <w:pStyle w:val="68"/>
              <w:keepNext w:val="0"/>
              <w:keepLines w:val="0"/>
              <w:suppressLineNumbers w:val="0"/>
              <w:spacing w:before="0" w:beforeAutospacing="0" w:after="0" w:afterAutospacing="0"/>
              <w:ind w:left="0" w:leftChars="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（3）噪声叠加公式：</w:t>
            </w:r>
          </w:p>
          <w:p w14:paraId="594BC595">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30"/>
                <w:sz w:val="24"/>
                <w:szCs w:val="24"/>
                <w:highlight w:val="none"/>
              </w:rPr>
              <w:object>
                <v:shape id="_x0000_i1028" o:spt="75" type="#_x0000_t75" style="height:45pt;width:143.25pt;" o:ole="t" filled="f" o:preferrelative="t" stroked="f" coordsize="21600,21600">
                  <v:path/>
                  <v:fill on="f" focussize="0,0"/>
                  <v:stroke on="f" joinstyle="miter"/>
                  <v:imagedata r:id="rId33" o:title=""/>
                  <o:lock v:ext="edit" aspectratio="t"/>
                  <w10:wrap type="none"/>
                  <w10:anchorlock/>
                </v:shape>
                <o:OLEObject Type="Embed" ProgID="Equation.3" ShapeID="_x0000_i1028" DrawAspect="Content" ObjectID="_1468075728" r:id="rId32">
                  <o:LockedField>false</o:LockedField>
                </o:OLEObject>
              </w:object>
            </w:r>
          </w:p>
          <w:p w14:paraId="5B111D91">
            <w:pPr>
              <w:pStyle w:val="68"/>
              <w:keepNext w:val="0"/>
              <w:keepLines w:val="0"/>
              <w:suppressLineNumbers w:val="0"/>
              <w:spacing w:before="0" w:beforeAutospacing="0" w:after="0" w:afterAutospacing="0" w:line="360" w:lineRule="auto"/>
              <w:ind w:left="0" w:leftChars="0" w:right="0" w:rightChars="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position w:val="-14"/>
                <w:sz w:val="24"/>
                <w:szCs w:val="24"/>
                <w:highlight w:val="none"/>
              </w:rPr>
              <w:object>
                <v:shape id="_x0000_i1029" o:spt="75" type="#_x0000_t75" style="height:19.5pt;width:19.5pt;" o:ole="t" filled="f" o:preferrelative="t" stroked="f" coordsize="21600,21600">
                  <v:path/>
                  <v:fill on="f" focussize="0,0"/>
                  <v:stroke on="f" joinstyle="miter"/>
                  <v:imagedata r:id="rId35" o:title=""/>
                  <o:lock v:ext="edit" aspectratio="t"/>
                  <w10:wrap type="none"/>
                  <w10:anchorlock/>
                </v:shape>
                <o:OLEObject Type="Embed" ProgID="Equation.3" ShapeID="_x0000_i1029" DrawAspect="Content" ObjectID="_1468075729" r:id="rId34">
                  <o:LockedField>false</o:LockedField>
                </o:OLEObject>
              </w:object>
            </w:r>
            <w:r>
              <w:rPr>
                <w:rFonts w:hint="default" w:ascii="Times New Roman" w:hAnsi="Times New Roman" w:eastAsia="宋体" w:cs="Times New Roman"/>
                <w:color w:val="auto"/>
                <w:sz w:val="24"/>
                <w:szCs w:val="24"/>
                <w:highlight w:val="none"/>
              </w:rPr>
              <w:t>——预测点处的等效声级，dB（A）；</w:t>
            </w:r>
          </w:p>
          <w:p w14:paraId="23754E44">
            <w:pPr>
              <w:pStyle w:val="68"/>
              <w:keepNext w:val="0"/>
              <w:keepLines w:val="0"/>
              <w:suppressLineNumbers w:val="0"/>
              <w:spacing w:before="0" w:beforeAutospacing="0" w:after="0" w:afterAutospacing="0" w:line="360" w:lineRule="auto"/>
              <w:ind w:left="0" w:leftChars="0" w:right="0" w:rightChars="0" w:firstLine="1980" w:firstLineChars="82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4"/>
                <w:sz w:val="24"/>
                <w:szCs w:val="24"/>
                <w:highlight w:val="none"/>
              </w:rPr>
              <w:object>
                <v:shape id="_x0000_i1030" o:spt="75" type="#_x0000_t75" style="height:19.5pt;width:19.5pt;" o:ole="t" filled="f" o:preferrelative="t" stroked="f" coordsize="21600,21600">
                  <v:path/>
                  <v:fill on="f" focussize="0,0"/>
                  <v:stroke on="f" joinstyle="miter"/>
                  <v:imagedata r:id="rId37" o:title=""/>
                  <o:lock v:ext="edit" aspectratio="t"/>
                  <w10:wrap type="none"/>
                  <w10:anchorlock/>
                </v:shape>
                <o:OLEObject Type="Embed" ProgID="Equation.3" ShapeID="_x0000_i1030" DrawAspect="Content" ObjectID="_1468075730" r:id="rId36">
                  <o:LockedField>false</o:LockedField>
                </o:OLEObject>
              </w:object>
            </w:r>
            <w:r>
              <w:rPr>
                <w:rFonts w:hint="default" w:ascii="Times New Roman" w:hAnsi="Times New Roman" w:eastAsia="宋体" w:cs="Times New Roman"/>
                <w:color w:val="auto"/>
                <w:sz w:val="24"/>
                <w:szCs w:val="24"/>
                <w:highlight w:val="none"/>
              </w:rPr>
              <w:t>——第</w:t>
            </w:r>
            <w:r>
              <w:rPr>
                <w:rFonts w:hint="default" w:ascii="Times New Roman" w:hAnsi="Times New Roman" w:eastAsia="宋体" w:cs="Times New Roman"/>
                <w:color w:val="auto"/>
                <w:position w:val="-6"/>
                <w:sz w:val="24"/>
                <w:szCs w:val="24"/>
                <w:highlight w:val="none"/>
              </w:rPr>
              <w:object>
                <v:shape id="_x0000_i1031" o:spt="75" type="#_x0000_t75" style="height:12.75pt;width:5.25pt;" o:ole="t" filled="f" o:preferrelative="t" stroked="f" coordsize="21600,21600">
                  <v:path/>
                  <v:fill on="f" focussize="0,0"/>
                  <v:stroke on="f" joinstyle="miter"/>
                  <v:imagedata r:id="rId39" o:title=""/>
                  <o:lock v:ext="edit" aspectratio="t"/>
                  <w10:wrap type="none"/>
                  <w10:anchorlock/>
                </v:shape>
                <o:OLEObject Type="Embed" ProgID="Equation.3" ShapeID="_x0000_i1031" DrawAspect="Content" ObjectID="_1468075731" r:id="rId38">
                  <o:LockedField>false</o:LockedField>
                </o:OLEObject>
              </w:object>
            </w:r>
            <w:r>
              <w:rPr>
                <w:rFonts w:hint="default" w:ascii="Times New Roman" w:hAnsi="Times New Roman" w:eastAsia="宋体" w:cs="Times New Roman"/>
                <w:color w:val="auto"/>
                <w:sz w:val="24"/>
                <w:szCs w:val="24"/>
                <w:highlight w:val="none"/>
              </w:rPr>
              <w:t>个点声源对预测点的等效声级，dB（A）。</w:t>
            </w:r>
          </w:p>
          <w:p w14:paraId="3D0BCFD3">
            <w:pPr>
              <w:pStyle w:val="68"/>
              <w:keepNext w:val="0"/>
              <w:keepLines w:val="0"/>
              <w:suppressLineNumbers w:val="0"/>
              <w:spacing w:before="0" w:beforeAutospacing="0" w:after="0" w:afterAutospacing="0" w:line="360" w:lineRule="auto"/>
              <w:ind w:left="0" w:leftChars="0" w:right="0" w:rightChars="0" w:firstLineChars="200"/>
              <w:rPr>
                <w:rFonts w:hint="default" w:ascii="Times New Roman" w:hAnsi="Times New Roman" w:eastAsia="宋体" w:cs="Times New Roman"/>
                <w:bCs/>
                <w:color w:val="auto"/>
                <w:kern w:val="2"/>
                <w:sz w:val="24"/>
                <w:szCs w:val="24"/>
                <w:highlight w:val="none"/>
              </w:rPr>
            </w:pPr>
            <w:r>
              <w:rPr>
                <w:rFonts w:hint="default" w:ascii="Times New Roman" w:hAnsi="Times New Roman" w:eastAsia="宋体" w:cs="Times New Roman"/>
                <w:color w:val="auto"/>
                <w:kern w:val="2"/>
                <w:sz w:val="24"/>
                <w:szCs w:val="24"/>
                <w:highlight w:val="none"/>
              </w:rPr>
              <w:t>（4）预测结果</w:t>
            </w:r>
          </w:p>
          <w:p w14:paraId="0CEE200F">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本项目采用了噪声治理措施，</w:t>
            </w:r>
            <w:r>
              <w:rPr>
                <w:rFonts w:hint="default" w:ascii="Times New Roman" w:hAnsi="Times New Roman" w:eastAsia="宋体" w:cs="Times New Roman"/>
                <w:color w:val="auto"/>
                <w:sz w:val="24"/>
                <w:szCs w:val="24"/>
                <w:highlight w:val="none"/>
              </w:rPr>
              <w:t>根据项目的机械设备声级、所在位置，利用噪声预测模式和方法，对厂界噪声进行预测计算，得到项目建成后各预测点的昼间和夜间噪声级，</w:t>
            </w:r>
            <w:r>
              <w:rPr>
                <w:rFonts w:hint="eastAsia" w:cs="Times New Roman"/>
                <w:color w:val="auto"/>
                <w:sz w:val="24"/>
                <w:szCs w:val="24"/>
                <w:highlight w:val="none"/>
                <w:lang w:val="en-US" w:eastAsia="zh-CN"/>
              </w:rPr>
              <w:t>本次噪声预测</w:t>
            </w:r>
            <w:r>
              <w:rPr>
                <w:rFonts w:hint="default" w:ascii="Times New Roman" w:hAnsi="Times New Roman" w:eastAsia="宋体" w:cs="Times New Roman"/>
                <w:color w:val="auto"/>
                <w:sz w:val="24"/>
                <w:szCs w:val="24"/>
                <w:highlight w:val="none"/>
              </w:rPr>
              <w:t>以</w:t>
            </w:r>
            <w:r>
              <w:rPr>
                <w:rFonts w:hint="eastAsia" w:cs="Times New Roman"/>
                <w:color w:val="auto"/>
                <w:sz w:val="24"/>
                <w:szCs w:val="24"/>
                <w:highlight w:val="none"/>
                <w:lang w:val="en-US" w:eastAsia="zh-CN"/>
              </w:rPr>
              <w:t>厂区内</w:t>
            </w:r>
            <w:r>
              <w:rPr>
                <w:rFonts w:hint="default" w:ascii="Times New Roman" w:hAnsi="Times New Roman" w:eastAsia="宋体" w:cs="Times New Roman"/>
                <w:color w:val="auto"/>
                <w:sz w:val="24"/>
                <w:szCs w:val="24"/>
                <w:highlight w:val="none"/>
              </w:rPr>
              <w:t>产噪设备进行预测，所以用贡献值达标</w:t>
            </w:r>
            <w:r>
              <w:rPr>
                <w:rFonts w:hint="eastAsia" w:cs="Times New Roman"/>
                <w:color w:val="auto"/>
                <w:sz w:val="24"/>
                <w:szCs w:val="24"/>
                <w:highlight w:val="none"/>
                <w:lang w:val="en-US" w:eastAsia="zh-CN"/>
              </w:rPr>
              <w:t>来</w:t>
            </w:r>
            <w:r>
              <w:rPr>
                <w:rFonts w:hint="default" w:ascii="Times New Roman" w:hAnsi="Times New Roman" w:eastAsia="宋体" w:cs="Times New Roman"/>
                <w:color w:val="auto"/>
                <w:sz w:val="24"/>
                <w:szCs w:val="24"/>
                <w:highlight w:val="none"/>
              </w:rPr>
              <w:t>判断</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噪声影响预测结果见</w:t>
            </w:r>
            <w:r>
              <w:rPr>
                <w:rFonts w:hint="eastAsia"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lang w:val="en-US" w:eastAsia="zh-CN"/>
              </w:rPr>
              <w:t>。</w:t>
            </w:r>
          </w:p>
          <w:p w14:paraId="010ED586">
            <w:pPr>
              <w:pStyle w:val="87"/>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w:t>
            </w:r>
            <w:r>
              <w:rPr>
                <w:rFonts w:hint="default"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噪声预测结果单位：dB(A)</w:t>
            </w:r>
          </w:p>
          <w:tbl>
            <w:tblPr>
              <w:tblStyle w:val="33"/>
              <w:tblW w:w="7937"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84"/>
              <w:gridCol w:w="831"/>
              <w:gridCol w:w="831"/>
              <w:gridCol w:w="831"/>
              <w:gridCol w:w="831"/>
              <w:gridCol w:w="831"/>
              <w:gridCol w:w="733"/>
              <w:gridCol w:w="929"/>
              <w:gridCol w:w="836"/>
            </w:tblGrid>
            <w:tr w14:paraId="2CC0F60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vMerge w:val="restart"/>
                  <w:tcBorders>
                    <w:tl2br w:val="nil"/>
                    <w:tr2bl w:val="nil"/>
                  </w:tcBorders>
                  <w:noWrap w:val="0"/>
                  <w:vAlign w:val="center"/>
                </w:tcPr>
                <w:p w14:paraId="0DF1AA2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1662" w:type="dxa"/>
                  <w:gridSpan w:val="2"/>
                  <w:tcBorders>
                    <w:right w:val="single" w:color="auto" w:sz="4" w:space="0"/>
                    <w:tl2br w:val="nil"/>
                    <w:tr2bl w:val="nil"/>
                  </w:tcBorders>
                  <w:noWrap w:val="0"/>
                  <w:vAlign w:val="center"/>
                </w:tcPr>
                <w:p w14:paraId="07D8136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现状值</w:t>
                  </w:r>
                </w:p>
              </w:tc>
              <w:tc>
                <w:tcPr>
                  <w:tcW w:w="1662" w:type="dxa"/>
                  <w:gridSpan w:val="2"/>
                  <w:tcBorders>
                    <w:left w:val="single" w:color="auto" w:sz="4" w:space="0"/>
                    <w:tl2br w:val="nil"/>
                    <w:tr2bl w:val="nil"/>
                  </w:tcBorders>
                  <w:noWrap w:val="0"/>
                  <w:vAlign w:val="center"/>
                </w:tcPr>
                <w:p w14:paraId="3605C4C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贡献值</w:t>
                  </w:r>
                </w:p>
              </w:tc>
              <w:tc>
                <w:tcPr>
                  <w:tcW w:w="1564" w:type="dxa"/>
                  <w:gridSpan w:val="2"/>
                  <w:tcBorders>
                    <w:tl2br w:val="nil"/>
                    <w:tr2bl w:val="nil"/>
                  </w:tcBorders>
                  <w:noWrap w:val="0"/>
                  <w:vAlign w:val="center"/>
                </w:tcPr>
                <w:p w14:paraId="7B61F3F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预测</w:t>
                  </w:r>
                  <w:r>
                    <w:rPr>
                      <w:rFonts w:hint="default" w:ascii="Times New Roman" w:hAnsi="Times New Roman" w:eastAsia="宋体" w:cs="Times New Roman"/>
                      <w:color w:val="auto"/>
                      <w:sz w:val="21"/>
                      <w:szCs w:val="21"/>
                      <w:highlight w:val="none"/>
                    </w:rPr>
                    <w:t>值</w:t>
                  </w:r>
                </w:p>
              </w:tc>
              <w:tc>
                <w:tcPr>
                  <w:tcW w:w="1765" w:type="dxa"/>
                  <w:gridSpan w:val="2"/>
                  <w:tcBorders>
                    <w:tl2br w:val="nil"/>
                    <w:tr2bl w:val="nil"/>
                  </w:tcBorders>
                  <w:noWrap w:val="0"/>
                  <w:vAlign w:val="center"/>
                </w:tcPr>
                <w:p w14:paraId="165442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超标和达标情况</w:t>
                  </w:r>
                </w:p>
              </w:tc>
            </w:tr>
            <w:tr w14:paraId="5783099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vMerge w:val="continue"/>
                  <w:tcBorders>
                    <w:tl2br w:val="nil"/>
                    <w:tr2bl w:val="nil"/>
                  </w:tcBorders>
                  <w:noWrap w:val="0"/>
                  <w:vAlign w:val="center"/>
                </w:tcPr>
                <w:p w14:paraId="581115F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31" w:type="dxa"/>
                  <w:tcBorders>
                    <w:right w:val="single" w:color="auto" w:sz="4" w:space="0"/>
                    <w:tl2br w:val="nil"/>
                    <w:tr2bl w:val="nil"/>
                  </w:tcBorders>
                  <w:noWrap w:val="0"/>
                  <w:vAlign w:val="center"/>
                </w:tcPr>
                <w:p w14:paraId="59ED31A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31" w:type="dxa"/>
                  <w:tcBorders>
                    <w:left w:val="single" w:color="auto" w:sz="4" w:space="0"/>
                    <w:right w:val="single" w:color="auto" w:sz="4" w:space="0"/>
                    <w:tl2br w:val="nil"/>
                    <w:tr2bl w:val="nil"/>
                  </w:tcBorders>
                  <w:noWrap w:val="0"/>
                  <w:vAlign w:val="center"/>
                </w:tcPr>
                <w:p w14:paraId="6A41BA7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夜间</w:t>
                  </w:r>
                </w:p>
              </w:tc>
              <w:tc>
                <w:tcPr>
                  <w:tcW w:w="831" w:type="dxa"/>
                  <w:tcBorders>
                    <w:left w:val="single" w:color="auto" w:sz="4" w:space="0"/>
                    <w:tl2br w:val="nil"/>
                    <w:tr2bl w:val="nil"/>
                  </w:tcBorders>
                  <w:noWrap w:val="0"/>
                  <w:vAlign w:val="center"/>
                </w:tcPr>
                <w:p w14:paraId="527378A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31" w:type="dxa"/>
                  <w:tcBorders>
                    <w:tl2br w:val="nil"/>
                    <w:tr2bl w:val="nil"/>
                  </w:tcBorders>
                  <w:noWrap w:val="0"/>
                  <w:vAlign w:val="center"/>
                </w:tcPr>
                <w:p w14:paraId="47416F6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831" w:type="dxa"/>
                  <w:tcBorders>
                    <w:tl2br w:val="nil"/>
                    <w:tr2bl w:val="nil"/>
                  </w:tcBorders>
                  <w:noWrap w:val="0"/>
                  <w:vAlign w:val="center"/>
                </w:tcPr>
                <w:p w14:paraId="6AD2528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733" w:type="dxa"/>
                  <w:tcBorders>
                    <w:tl2br w:val="nil"/>
                    <w:tr2bl w:val="nil"/>
                  </w:tcBorders>
                  <w:noWrap w:val="0"/>
                  <w:vAlign w:val="center"/>
                </w:tcPr>
                <w:p w14:paraId="71F30BE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929" w:type="dxa"/>
                  <w:tcBorders>
                    <w:tl2br w:val="nil"/>
                    <w:tr2bl w:val="nil"/>
                  </w:tcBorders>
                  <w:noWrap w:val="0"/>
                  <w:vAlign w:val="center"/>
                </w:tcPr>
                <w:p w14:paraId="039D9FC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36" w:type="dxa"/>
                  <w:tcBorders>
                    <w:tl2br w:val="nil"/>
                    <w:tr2bl w:val="nil"/>
                  </w:tcBorders>
                  <w:noWrap w:val="0"/>
                  <w:vAlign w:val="center"/>
                </w:tcPr>
                <w:p w14:paraId="75FC169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r>
            <w:tr w14:paraId="4A5A763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tcBorders>
                    <w:tl2br w:val="nil"/>
                    <w:tr2bl w:val="nil"/>
                  </w:tcBorders>
                  <w:noWrap w:val="0"/>
                  <w:vAlign w:val="center"/>
                </w:tcPr>
                <w:p w14:paraId="16250B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厂界东侧</w:t>
                  </w:r>
                </w:p>
              </w:tc>
              <w:tc>
                <w:tcPr>
                  <w:tcW w:w="831" w:type="dxa"/>
                  <w:tcBorders>
                    <w:right w:val="single" w:color="auto" w:sz="4" w:space="0"/>
                    <w:tl2br w:val="nil"/>
                    <w:tr2bl w:val="nil"/>
                  </w:tcBorders>
                  <w:noWrap w:val="0"/>
                  <w:vAlign w:val="center"/>
                </w:tcPr>
                <w:p w14:paraId="0CC8CFD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right w:val="single" w:color="auto" w:sz="4" w:space="0"/>
                    <w:tl2br w:val="nil"/>
                    <w:tr2bl w:val="nil"/>
                  </w:tcBorders>
                  <w:noWrap w:val="0"/>
                  <w:vAlign w:val="center"/>
                </w:tcPr>
                <w:p w14:paraId="09E20FA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tl2br w:val="nil"/>
                    <w:tr2bl w:val="nil"/>
                  </w:tcBorders>
                  <w:noWrap w:val="0"/>
                  <w:vAlign w:val="center"/>
                </w:tcPr>
                <w:p w14:paraId="1F11F519">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9</w:t>
                  </w:r>
                </w:p>
              </w:tc>
              <w:tc>
                <w:tcPr>
                  <w:tcW w:w="831" w:type="dxa"/>
                  <w:tcBorders>
                    <w:tl2br w:val="nil"/>
                    <w:tr2bl w:val="nil"/>
                  </w:tcBorders>
                  <w:noWrap w:val="0"/>
                  <w:vAlign w:val="center"/>
                </w:tcPr>
                <w:p w14:paraId="3D3C4C10">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36.9</w:t>
                  </w:r>
                </w:p>
              </w:tc>
              <w:tc>
                <w:tcPr>
                  <w:tcW w:w="831" w:type="dxa"/>
                  <w:tcBorders>
                    <w:tl2br w:val="nil"/>
                    <w:tr2bl w:val="nil"/>
                  </w:tcBorders>
                  <w:noWrap w:val="0"/>
                  <w:vAlign w:val="center"/>
                </w:tcPr>
                <w:p w14:paraId="5AAEEC97">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733" w:type="dxa"/>
                  <w:tcBorders>
                    <w:tl2br w:val="nil"/>
                    <w:tr2bl w:val="nil"/>
                  </w:tcBorders>
                  <w:noWrap w:val="0"/>
                  <w:vAlign w:val="center"/>
                </w:tcPr>
                <w:p w14:paraId="5FEE0AA2">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929" w:type="dxa"/>
                  <w:tcBorders>
                    <w:tl2br w:val="nil"/>
                    <w:tr2bl w:val="nil"/>
                  </w:tcBorders>
                  <w:noWrap w:val="0"/>
                  <w:vAlign w:val="center"/>
                </w:tcPr>
                <w:p w14:paraId="76A5C5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rPr>
                    <w:t>达标</w:t>
                  </w:r>
                </w:p>
              </w:tc>
              <w:tc>
                <w:tcPr>
                  <w:tcW w:w="836" w:type="dxa"/>
                  <w:tcBorders>
                    <w:tl2br w:val="nil"/>
                    <w:tr2bl w:val="nil"/>
                  </w:tcBorders>
                  <w:noWrap w:val="0"/>
                  <w:vAlign w:val="center"/>
                </w:tcPr>
                <w:p w14:paraId="593A20A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452C5C2">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tcBorders>
                    <w:tl2br w:val="nil"/>
                    <w:tr2bl w:val="nil"/>
                  </w:tcBorders>
                  <w:noWrap w:val="0"/>
                  <w:vAlign w:val="center"/>
                </w:tcPr>
                <w:p w14:paraId="4EF3BE8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val="en-US" w:eastAsia="zh-CN"/>
                    </w:rPr>
                    <w:t>北</w:t>
                  </w:r>
                  <w:r>
                    <w:rPr>
                      <w:rFonts w:hint="default" w:ascii="Times New Roman" w:hAnsi="Times New Roman" w:eastAsia="宋体" w:cs="Times New Roman"/>
                      <w:color w:val="auto"/>
                      <w:sz w:val="21"/>
                      <w:szCs w:val="21"/>
                      <w:highlight w:val="none"/>
                    </w:rPr>
                    <w:t>侧</w:t>
                  </w:r>
                </w:p>
              </w:tc>
              <w:tc>
                <w:tcPr>
                  <w:tcW w:w="831" w:type="dxa"/>
                  <w:tcBorders>
                    <w:right w:val="single" w:color="auto" w:sz="4" w:space="0"/>
                    <w:tl2br w:val="nil"/>
                    <w:tr2bl w:val="nil"/>
                  </w:tcBorders>
                  <w:noWrap w:val="0"/>
                  <w:vAlign w:val="center"/>
                </w:tcPr>
                <w:p w14:paraId="4766A58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w:t>
                  </w:r>
                </w:p>
              </w:tc>
              <w:tc>
                <w:tcPr>
                  <w:tcW w:w="831" w:type="dxa"/>
                  <w:tcBorders>
                    <w:left w:val="single" w:color="auto" w:sz="4" w:space="0"/>
                    <w:right w:val="single" w:color="auto" w:sz="4" w:space="0"/>
                    <w:tl2br w:val="nil"/>
                    <w:tr2bl w:val="nil"/>
                  </w:tcBorders>
                  <w:noWrap w:val="0"/>
                  <w:vAlign w:val="center"/>
                </w:tcPr>
                <w:p w14:paraId="438664B3">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831" w:type="dxa"/>
                  <w:tcBorders>
                    <w:left w:val="single" w:color="auto" w:sz="4" w:space="0"/>
                    <w:tl2br w:val="nil"/>
                    <w:tr2bl w:val="nil"/>
                  </w:tcBorders>
                  <w:noWrap w:val="0"/>
                  <w:vAlign w:val="center"/>
                </w:tcPr>
                <w:p w14:paraId="50B2151D">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sz w:val="21"/>
                      <w:szCs w:val="21"/>
                      <w:highlight w:val="none"/>
                      <w:lang w:val="en-US" w:eastAsia="zh-CN"/>
                    </w:rPr>
                    <w:t>39.8</w:t>
                  </w:r>
                </w:p>
              </w:tc>
              <w:tc>
                <w:tcPr>
                  <w:tcW w:w="831" w:type="dxa"/>
                  <w:tcBorders>
                    <w:tl2br w:val="nil"/>
                    <w:tr2bl w:val="nil"/>
                  </w:tcBorders>
                  <w:noWrap w:val="0"/>
                  <w:vAlign w:val="center"/>
                </w:tcPr>
                <w:p w14:paraId="495573D9">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39.8</w:t>
                  </w:r>
                </w:p>
              </w:tc>
              <w:tc>
                <w:tcPr>
                  <w:tcW w:w="831" w:type="dxa"/>
                  <w:tcBorders>
                    <w:tl2br w:val="nil"/>
                    <w:tr2bl w:val="nil"/>
                  </w:tcBorders>
                  <w:noWrap w:val="0"/>
                  <w:vAlign w:val="center"/>
                </w:tcPr>
                <w:p w14:paraId="6DF9B0E0">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733" w:type="dxa"/>
                  <w:tcBorders>
                    <w:tl2br w:val="nil"/>
                    <w:tr2bl w:val="nil"/>
                  </w:tcBorders>
                  <w:noWrap w:val="0"/>
                  <w:vAlign w:val="center"/>
                </w:tcPr>
                <w:p w14:paraId="34631407">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929" w:type="dxa"/>
                  <w:tcBorders>
                    <w:tl2br w:val="nil"/>
                    <w:tr2bl w:val="nil"/>
                  </w:tcBorders>
                  <w:noWrap w:val="0"/>
                  <w:vAlign w:val="center"/>
                </w:tcPr>
                <w:p w14:paraId="73B74E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836" w:type="dxa"/>
                  <w:tcBorders>
                    <w:tl2br w:val="nil"/>
                    <w:tr2bl w:val="nil"/>
                  </w:tcBorders>
                  <w:noWrap w:val="0"/>
                  <w:vAlign w:val="center"/>
                </w:tcPr>
                <w:p w14:paraId="7FD40C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0389E9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tcBorders>
                    <w:tl2br w:val="nil"/>
                    <w:tr2bl w:val="nil"/>
                  </w:tcBorders>
                  <w:noWrap w:val="0"/>
                  <w:vAlign w:val="center"/>
                </w:tcPr>
                <w:p w14:paraId="39E82A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厂界西侧</w:t>
                  </w:r>
                </w:p>
              </w:tc>
              <w:tc>
                <w:tcPr>
                  <w:tcW w:w="831" w:type="dxa"/>
                  <w:tcBorders>
                    <w:right w:val="single" w:color="auto" w:sz="4" w:space="0"/>
                    <w:tl2br w:val="nil"/>
                    <w:tr2bl w:val="nil"/>
                  </w:tcBorders>
                  <w:noWrap w:val="0"/>
                  <w:vAlign w:val="center"/>
                </w:tcPr>
                <w:p w14:paraId="2921274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right w:val="single" w:color="auto" w:sz="4" w:space="0"/>
                    <w:tl2br w:val="nil"/>
                    <w:tr2bl w:val="nil"/>
                  </w:tcBorders>
                  <w:noWrap w:val="0"/>
                  <w:vAlign w:val="center"/>
                </w:tcPr>
                <w:p w14:paraId="5BE0127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tl2br w:val="nil"/>
                    <w:tr2bl w:val="nil"/>
                  </w:tcBorders>
                  <w:noWrap w:val="0"/>
                  <w:vAlign w:val="center"/>
                </w:tcPr>
                <w:p w14:paraId="224E1EB8">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31.6</w:t>
                  </w:r>
                </w:p>
              </w:tc>
              <w:tc>
                <w:tcPr>
                  <w:tcW w:w="831" w:type="dxa"/>
                  <w:tcBorders>
                    <w:tl2br w:val="nil"/>
                    <w:tr2bl w:val="nil"/>
                  </w:tcBorders>
                  <w:noWrap w:val="0"/>
                  <w:vAlign w:val="center"/>
                </w:tcPr>
                <w:p w14:paraId="16EAB71A">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31.6</w:t>
                  </w:r>
                </w:p>
              </w:tc>
              <w:tc>
                <w:tcPr>
                  <w:tcW w:w="831" w:type="dxa"/>
                  <w:tcBorders>
                    <w:tl2br w:val="nil"/>
                    <w:tr2bl w:val="nil"/>
                  </w:tcBorders>
                  <w:noWrap w:val="0"/>
                  <w:vAlign w:val="center"/>
                </w:tcPr>
                <w:p w14:paraId="7A68BC86">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733" w:type="dxa"/>
                  <w:tcBorders>
                    <w:tl2br w:val="nil"/>
                    <w:tr2bl w:val="nil"/>
                  </w:tcBorders>
                  <w:noWrap w:val="0"/>
                  <w:vAlign w:val="center"/>
                </w:tcPr>
                <w:p w14:paraId="75BCE757">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929" w:type="dxa"/>
                  <w:tcBorders>
                    <w:tl2br w:val="nil"/>
                    <w:tr2bl w:val="nil"/>
                  </w:tcBorders>
                  <w:noWrap w:val="0"/>
                  <w:vAlign w:val="center"/>
                </w:tcPr>
                <w:p w14:paraId="5E8EC3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836" w:type="dxa"/>
                  <w:tcBorders>
                    <w:tl2br w:val="nil"/>
                    <w:tr2bl w:val="nil"/>
                  </w:tcBorders>
                  <w:noWrap w:val="0"/>
                  <w:vAlign w:val="center"/>
                </w:tcPr>
                <w:p w14:paraId="7B22F6A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76C64F6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84" w:type="dxa"/>
                  <w:tcBorders>
                    <w:tl2br w:val="nil"/>
                    <w:tr2bl w:val="nil"/>
                  </w:tcBorders>
                  <w:noWrap w:val="0"/>
                  <w:vAlign w:val="center"/>
                </w:tcPr>
                <w:p w14:paraId="2B16D17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r>
                    <w:rPr>
                      <w:rFonts w:hint="default" w:ascii="Times New Roman" w:hAnsi="Times New Roman" w:eastAsia="宋体" w:cs="Times New Roman"/>
                      <w:color w:val="auto"/>
                      <w:sz w:val="21"/>
                      <w:szCs w:val="21"/>
                      <w:highlight w:val="none"/>
                      <w:lang w:val="en-US" w:eastAsia="zh-CN"/>
                    </w:rPr>
                    <w:t>南</w:t>
                  </w:r>
                  <w:r>
                    <w:rPr>
                      <w:rFonts w:hint="default" w:ascii="Times New Roman" w:hAnsi="Times New Roman" w:eastAsia="宋体" w:cs="Times New Roman"/>
                      <w:color w:val="auto"/>
                      <w:sz w:val="21"/>
                      <w:szCs w:val="21"/>
                      <w:highlight w:val="none"/>
                    </w:rPr>
                    <w:t>侧</w:t>
                  </w:r>
                </w:p>
              </w:tc>
              <w:tc>
                <w:tcPr>
                  <w:tcW w:w="831" w:type="dxa"/>
                  <w:tcBorders>
                    <w:right w:val="single" w:color="auto" w:sz="4" w:space="0"/>
                    <w:tl2br w:val="nil"/>
                    <w:tr2bl w:val="nil"/>
                  </w:tcBorders>
                  <w:noWrap w:val="0"/>
                  <w:vAlign w:val="center"/>
                </w:tcPr>
                <w:p w14:paraId="0D70EBC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right w:val="single" w:color="auto" w:sz="4" w:space="0"/>
                    <w:tl2br w:val="nil"/>
                    <w:tr2bl w:val="nil"/>
                  </w:tcBorders>
                  <w:noWrap w:val="0"/>
                  <w:vAlign w:val="center"/>
                </w:tcPr>
                <w:p w14:paraId="08B7A05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1" w:type="dxa"/>
                  <w:tcBorders>
                    <w:left w:val="single" w:color="auto" w:sz="4" w:space="0"/>
                    <w:tl2br w:val="nil"/>
                    <w:tr2bl w:val="nil"/>
                  </w:tcBorders>
                  <w:noWrap w:val="0"/>
                  <w:vAlign w:val="center"/>
                </w:tcPr>
                <w:p w14:paraId="4133E647">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29</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3</w:t>
                  </w:r>
                </w:p>
              </w:tc>
              <w:tc>
                <w:tcPr>
                  <w:tcW w:w="831" w:type="dxa"/>
                  <w:tcBorders>
                    <w:tl2br w:val="nil"/>
                    <w:tr2bl w:val="nil"/>
                  </w:tcBorders>
                  <w:noWrap w:val="0"/>
                  <w:vAlign w:val="center"/>
                </w:tcPr>
                <w:p w14:paraId="5F36B979">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29.3</w:t>
                  </w:r>
                </w:p>
              </w:tc>
              <w:tc>
                <w:tcPr>
                  <w:tcW w:w="831" w:type="dxa"/>
                  <w:tcBorders>
                    <w:tl2br w:val="nil"/>
                    <w:tr2bl w:val="nil"/>
                  </w:tcBorders>
                  <w:noWrap w:val="0"/>
                  <w:vAlign w:val="center"/>
                </w:tcPr>
                <w:p w14:paraId="7C8295A2">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733" w:type="dxa"/>
                  <w:tcBorders>
                    <w:tl2br w:val="nil"/>
                    <w:tr2bl w:val="nil"/>
                  </w:tcBorders>
                  <w:noWrap w:val="0"/>
                  <w:vAlign w:val="center"/>
                </w:tcPr>
                <w:p w14:paraId="4D46530D">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929" w:type="dxa"/>
                  <w:tcBorders>
                    <w:tl2br w:val="nil"/>
                    <w:tr2bl w:val="nil"/>
                  </w:tcBorders>
                  <w:noWrap w:val="0"/>
                  <w:vAlign w:val="center"/>
                </w:tcPr>
                <w:p w14:paraId="3A3D3B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836" w:type="dxa"/>
                  <w:tcBorders>
                    <w:tl2br w:val="nil"/>
                    <w:tr2bl w:val="nil"/>
                  </w:tcBorders>
                  <w:noWrap w:val="0"/>
                  <w:vAlign w:val="center"/>
                </w:tcPr>
                <w:p w14:paraId="5CB1A93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3C8D80D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三</w:t>
            </w:r>
            <w:r>
              <w:rPr>
                <w:rFonts w:hint="default" w:ascii="Times New Roman" w:hAnsi="Times New Roman" w:eastAsia="宋体" w:cs="Times New Roman"/>
                <w:color w:val="auto"/>
                <w:sz w:val="24"/>
                <w:highlight w:val="none"/>
              </w:rPr>
              <w:t>）监测计划</w:t>
            </w:r>
          </w:p>
          <w:p w14:paraId="437929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依据《排污单位自行监测技术指南总则》(HJ819-2017)确定本项目监测计划，具体见下表</w:t>
            </w:r>
            <w:r>
              <w:rPr>
                <w:rFonts w:hint="default" w:ascii="Times New Roman" w:hAnsi="Times New Roman" w:eastAsia="宋体" w:cs="Times New Roman"/>
                <w:color w:val="auto"/>
                <w:sz w:val="24"/>
                <w:highlight w:val="none"/>
                <w:lang w:eastAsia="zh-CN"/>
              </w:rPr>
              <w:t>。</w:t>
            </w:r>
          </w:p>
          <w:p w14:paraId="6DDBB27D">
            <w:pPr>
              <w:keepNext/>
              <w:keepLines w:val="0"/>
              <w:widowControl/>
              <w:suppressLineNumbers w:val="0"/>
              <w:spacing w:before="0" w:beforeAutospacing="0" w:after="0" w:afterAutospacing="0" w:line="360" w:lineRule="auto"/>
              <w:ind w:left="482" w:right="0" w:firstLine="20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表4-</w:t>
            </w:r>
            <w:r>
              <w:rPr>
                <w:rFonts w:hint="eastAsia" w:cs="Times New Roman"/>
                <w:b/>
                <w:color w:val="auto"/>
                <w:sz w:val="21"/>
                <w:szCs w:val="21"/>
                <w:highlight w:val="none"/>
                <w:lang w:val="en-US" w:eastAsia="zh-CN"/>
              </w:rPr>
              <w:t>10</w:t>
            </w:r>
            <w:r>
              <w:rPr>
                <w:rFonts w:hint="default" w:ascii="Times New Roman" w:hAnsi="Times New Roman" w:eastAsia="宋体" w:cs="Times New Roman"/>
                <w:b/>
                <w:color w:val="auto"/>
                <w:sz w:val="21"/>
                <w:szCs w:val="21"/>
                <w:highlight w:val="none"/>
              </w:rPr>
              <w:t>本项目污染源监测计划</w:t>
            </w:r>
          </w:p>
          <w:tbl>
            <w:tblPr>
              <w:tblStyle w:val="33"/>
              <w:tblW w:w="789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531"/>
              <w:gridCol w:w="1015"/>
              <w:gridCol w:w="1756"/>
              <w:gridCol w:w="1047"/>
              <w:gridCol w:w="2545"/>
            </w:tblGrid>
            <w:tr w14:paraId="2D9B2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31" w:type="dxa"/>
                  <w:tcBorders>
                    <w:tl2br w:val="nil"/>
                    <w:tr2bl w:val="nil"/>
                  </w:tcBorders>
                  <w:vAlign w:val="center"/>
                </w:tcPr>
                <w:p w14:paraId="0FAFC97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监测项目</w:t>
                  </w:r>
                </w:p>
              </w:tc>
              <w:tc>
                <w:tcPr>
                  <w:tcW w:w="1015" w:type="dxa"/>
                  <w:tcBorders>
                    <w:tl2br w:val="nil"/>
                    <w:tr2bl w:val="nil"/>
                  </w:tcBorders>
                  <w:vAlign w:val="center"/>
                </w:tcPr>
                <w:p w14:paraId="2245D8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监测指标</w:t>
                  </w:r>
                </w:p>
              </w:tc>
              <w:tc>
                <w:tcPr>
                  <w:tcW w:w="1756" w:type="dxa"/>
                  <w:tcBorders>
                    <w:tl2br w:val="nil"/>
                    <w:tr2bl w:val="nil"/>
                  </w:tcBorders>
                  <w:vAlign w:val="center"/>
                </w:tcPr>
                <w:p w14:paraId="4E0CD20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监测点位置</w:t>
                  </w:r>
                </w:p>
              </w:tc>
              <w:tc>
                <w:tcPr>
                  <w:tcW w:w="1047" w:type="dxa"/>
                  <w:tcBorders>
                    <w:tl2br w:val="nil"/>
                    <w:tr2bl w:val="nil"/>
                  </w:tcBorders>
                  <w:vAlign w:val="center"/>
                </w:tcPr>
                <w:p w14:paraId="564C8CD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最低监测频率</w:t>
                  </w:r>
                </w:p>
              </w:tc>
              <w:tc>
                <w:tcPr>
                  <w:tcW w:w="2545" w:type="dxa"/>
                  <w:tcBorders>
                    <w:tl2br w:val="nil"/>
                    <w:tr2bl w:val="nil"/>
                  </w:tcBorders>
                  <w:vAlign w:val="center"/>
                </w:tcPr>
                <w:p w14:paraId="27E54C8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r>
            <w:tr w14:paraId="7CC61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31" w:type="dxa"/>
                  <w:tcBorders>
                    <w:tl2br w:val="nil"/>
                    <w:tr2bl w:val="nil"/>
                  </w:tcBorders>
                  <w:vAlign w:val="center"/>
                </w:tcPr>
                <w:p w14:paraId="6DCC105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厂界噪声</w:t>
                  </w:r>
                </w:p>
              </w:tc>
              <w:tc>
                <w:tcPr>
                  <w:tcW w:w="1015" w:type="dxa"/>
                  <w:tcBorders>
                    <w:tl2br w:val="nil"/>
                    <w:tr2bl w:val="nil"/>
                  </w:tcBorders>
                  <w:vAlign w:val="center"/>
                </w:tcPr>
                <w:p w14:paraId="4F3DD2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等效声级和最大声级</w:t>
                  </w:r>
                </w:p>
              </w:tc>
              <w:tc>
                <w:tcPr>
                  <w:tcW w:w="1756" w:type="dxa"/>
                  <w:tcBorders>
                    <w:tl2br w:val="nil"/>
                    <w:tr2bl w:val="nil"/>
                  </w:tcBorders>
                  <w:vAlign w:val="center"/>
                </w:tcPr>
                <w:p w14:paraId="27169A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p>
              </w:tc>
              <w:tc>
                <w:tcPr>
                  <w:tcW w:w="1047" w:type="dxa"/>
                  <w:tcBorders>
                    <w:tl2br w:val="nil"/>
                    <w:tr2bl w:val="nil"/>
                  </w:tcBorders>
                  <w:vAlign w:val="center"/>
                </w:tcPr>
                <w:p w14:paraId="6DCBCB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1次/季度</w:t>
                  </w:r>
                </w:p>
              </w:tc>
              <w:tc>
                <w:tcPr>
                  <w:tcW w:w="2545" w:type="dxa"/>
                  <w:tcBorders>
                    <w:tl2br w:val="nil"/>
                    <w:tr2bl w:val="nil"/>
                  </w:tcBorders>
                  <w:vAlign w:val="center"/>
                </w:tcPr>
                <w:p w14:paraId="75592D4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《工业企业厂界环境噪声排放标准》（GB12348-2008）2类标准</w:t>
                  </w:r>
                </w:p>
              </w:tc>
            </w:tr>
          </w:tbl>
          <w:p w14:paraId="4576D6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四</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bidi="ar"/>
              </w:rPr>
              <w:t>污染防治措施及环境影响分析</w:t>
            </w:r>
          </w:p>
          <w:p w14:paraId="31C2C5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选用低噪声设备：在满足项目生产工艺的前提下选择低噪声设备，从源头上降低噪声。</w:t>
            </w:r>
          </w:p>
          <w:p w14:paraId="23A8E3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合理布局：在满足生产的前提下综合考虑，设备布置时考虑声源方向性和车间噪声强弱等因素，进行合理布局，进一步降低厂界噪声，将</w:t>
            </w:r>
            <w:r>
              <w:rPr>
                <w:rFonts w:hint="default" w:ascii="Times New Roman" w:hAnsi="Times New Roman" w:eastAsia="宋体" w:cs="Times New Roman"/>
                <w:color w:val="auto"/>
                <w:sz w:val="24"/>
                <w:highlight w:val="none"/>
                <w:lang w:val="en-US" w:eastAsia="zh-CN"/>
              </w:rPr>
              <w:t>高噪声</w:t>
            </w:r>
            <w:r>
              <w:rPr>
                <w:rFonts w:hint="default" w:ascii="Times New Roman" w:hAnsi="Times New Roman" w:eastAsia="宋体" w:cs="Times New Roman"/>
                <w:color w:val="auto"/>
                <w:sz w:val="24"/>
                <w:highlight w:val="none"/>
              </w:rPr>
              <w:t>设备安置在</w:t>
            </w:r>
            <w:r>
              <w:rPr>
                <w:rFonts w:hint="default" w:ascii="Times New Roman" w:hAnsi="Times New Roman" w:eastAsia="宋体" w:cs="Times New Roman"/>
                <w:color w:val="auto"/>
                <w:sz w:val="24"/>
                <w:highlight w:val="none"/>
                <w:lang w:val="en-US" w:eastAsia="zh-CN"/>
              </w:rPr>
              <w:t>建筑物</w:t>
            </w:r>
            <w:r>
              <w:rPr>
                <w:rFonts w:hint="default" w:ascii="Times New Roman" w:hAnsi="Times New Roman" w:eastAsia="宋体" w:cs="Times New Roman"/>
                <w:color w:val="auto"/>
                <w:sz w:val="24"/>
                <w:highlight w:val="none"/>
              </w:rPr>
              <w:t>中部及远离厂界的位置，充分利用厂内建筑物的隔声作用，减轻各类声源对周围环境的影响。</w:t>
            </w:r>
          </w:p>
          <w:p w14:paraId="7E93E8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加强设备的维护，确保设备处于良好的运转状态，杜绝因设备不正常运转时产生的高噪声现象。</w:t>
            </w:r>
          </w:p>
          <w:p w14:paraId="4C890B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对</w:t>
            </w:r>
            <w:r>
              <w:rPr>
                <w:rFonts w:hint="default" w:ascii="Times New Roman" w:hAnsi="Times New Roman" w:eastAsia="宋体" w:cs="Times New Roman"/>
                <w:color w:val="auto"/>
                <w:sz w:val="24"/>
                <w:highlight w:val="none"/>
                <w:lang w:val="en-US" w:eastAsia="zh-CN"/>
              </w:rPr>
              <w:t>烘干塔</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风</w:t>
            </w:r>
            <w:r>
              <w:rPr>
                <w:rFonts w:hint="default" w:ascii="Times New Roman" w:hAnsi="Times New Roman" w:eastAsia="宋体" w:cs="Times New Roman"/>
                <w:color w:val="auto"/>
                <w:sz w:val="24"/>
                <w:highlight w:val="none"/>
              </w:rPr>
              <w:t>机</w:t>
            </w:r>
            <w:r>
              <w:rPr>
                <w:rFonts w:hint="default" w:ascii="Times New Roman" w:hAnsi="Times New Roman" w:eastAsia="宋体" w:cs="Times New Roman"/>
                <w:color w:val="auto"/>
                <w:sz w:val="24"/>
                <w:highlight w:val="none"/>
                <w:lang w:val="en-US" w:eastAsia="zh-CN"/>
              </w:rPr>
              <w:t>等</w:t>
            </w:r>
            <w:r>
              <w:rPr>
                <w:rFonts w:hint="default" w:ascii="Times New Roman" w:hAnsi="Times New Roman" w:eastAsia="宋体" w:cs="Times New Roman"/>
                <w:color w:val="auto"/>
                <w:sz w:val="24"/>
                <w:highlight w:val="none"/>
              </w:rPr>
              <w:t>高噪声设备加装减振基础</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安装减振垫，风机设置减振底座，加装隔声罩，并在</w:t>
            </w:r>
            <w:r>
              <w:rPr>
                <w:rFonts w:hint="default" w:ascii="Times New Roman" w:hAnsi="Times New Roman" w:eastAsia="宋体" w:cs="Times New Roman"/>
                <w:color w:val="auto"/>
                <w:sz w:val="24"/>
                <w:highlight w:val="none"/>
              </w:rPr>
              <w:t>风机进、出风口装设消音器。</w:t>
            </w:r>
          </w:p>
          <w:p w14:paraId="423AE36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维护路面，使路面状况良好，低速运行，禁止鸣笛，文明驾驶。</w:t>
            </w:r>
          </w:p>
          <w:p w14:paraId="47D72C03">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通过采取</w:t>
            </w:r>
            <w:r>
              <w:rPr>
                <w:rFonts w:hint="default" w:ascii="Times New Roman" w:hAnsi="Times New Roman" w:eastAsia="宋体" w:cs="Times New Roman"/>
                <w:color w:val="auto"/>
                <w:szCs w:val="21"/>
                <w:highlight w:val="none"/>
                <w:lang w:val="en-US" w:eastAsia="zh-CN"/>
              </w:rPr>
              <w:t>以上</w:t>
            </w:r>
            <w:r>
              <w:rPr>
                <w:rFonts w:hint="default" w:ascii="Times New Roman" w:hAnsi="Times New Roman" w:eastAsia="宋体" w:cs="Times New Roman"/>
                <w:color w:val="auto"/>
                <w:szCs w:val="21"/>
                <w:highlight w:val="none"/>
              </w:rPr>
              <w:t>措施</w:t>
            </w:r>
            <w:r>
              <w:rPr>
                <w:rFonts w:hint="default" w:ascii="Times New Roman" w:hAnsi="Times New Roman" w:eastAsia="宋体" w:cs="Times New Roman"/>
                <w:color w:val="auto"/>
                <w:highlight w:val="none"/>
              </w:rPr>
              <w:t>，可使厂界噪声满足《工业企业厂界环境噪声排放标准》（GB12348-2008）</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类标准</w:t>
            </w:r>
            <w:r>
              <w:rPr>
                <w:rFonts w:hint="default" w:ascii="Times New Roman" w:hAnsi="Times New Roman" w:eastAsia="宋体" w:cs="Times New Roman"/>
                <w:color w:val="auto"/>
                <w:szCs w:val="24"/>
                <w:highlight w:val="none"/>
              </w:rPr>
              <w:t>要求</w:t>
            </w:r>
            <w:r>
              <w:rPr>
                <w:rFonts w:hint="default" w:ascii="Times New Roman" w:hAnsi="Times New Roman" w:eastAsia="宋体" w:cs="Times New Roman"/>
                <w:color w:val="auto"/>
                <w:szCs w:val="24"/>
                <w:highlight w:val="none"/>
                <w:lang w:eastAsia="zh-CN"/>
              </w:rPr>
              <w:t>，</w:t>
            </w:r>
            <w:r>
              <w:rPr>
                <w:rFonts w:hint="default" w:ascii="Times New Roman" w:hAnsi="Times New Roman" w:eastAsia="宋体" w:cs="Times New Roman"/>
                <w:color w:val="auto"/>
                <w:highlight w:val="none"/>
              </w:rPr>
              <w:t>本项目对周围声环境影响较小</w:t>
            </w:r>
            <w:r>
              <w:rPr>
                <w:rFonts w:hint="eastAsia" w:cs="Times New Roman"/>
                <w:color w:val="auto"/>
                <w:highlight w:val="none"/>
                <w:lang w:eastAsia="zh-CN"/>
              </w:rPr>
              <w:t>，</w:t>
            </w:r>
            <w:r>
              <w:rPr>
                <w:rFonts w:hint="default" w:ascii="Times New Roman" w:hAnsi="Times New Roman" w:eastAsia="宋体" w:cs="Times New Roman"/>
                <w:color w:val="auto"/>
                <w:highlight w:val="none"/>
              </w:rPr>
              <w:t>本项目建设是可行的。</w:t>
            </w:r>
          </w:p>
          <w:p w14:paraId="10EC05C1">
            <w:pPr>
              <w:pStyle w:val="56"/>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4、固体废物</w:t>
            </w:r>
          </w:p>
          <w:p w14:paraId="62FCEF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（一）主要污染物及源强</w:t>
            </w:r>
          </w:p>
          <w:p w14:paraId="6827483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本项目固体废物主要为一般工业固体废物。筛分工序中产生的杂质（土石颗粒），除尘系统收尘和热风炉灰渣，废布袋。</w:t>
            </w:r>
          </w:p>
          <w:p w14:paraId="5CC4EE5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（1）杂质</w:t>
            </w:r>
          </w:p>
          <w:p w14:paraId="2EFC93C4">
            <w:pPr>
              <w:pStyle w:val="2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类比现有工程</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原粮</w:t>
            </w:r>
            <w:r>
              <w:rPr>
                <w:rFonts w:hint="default" w:ascii="Times New Roman" w:hAnsi="Times New Roman" w:eastAsia="宋体" w:cs="Times New Roman"/>
                <w:color w:val="auto"/>
                <w:sz w:val="24"/>
                <w:szCs w:val="24"/>
                <w:highlight w:val="none"/>
                <w:lang w:eastAsia="zh-CN"/>
              </w:rPr>
              <w:t>杂</w:t>
            </w:r>
            <w:r>
              <w:rPr>
                <w:rFonts w:hint="default" w:ascii="Times New Roman" w:hAnsi="Times New Roman" w:eastAsia="宋体" w:cs="Times New Roman"/>
                <w:color w:val="auto"/>
                <w:sz w:val="24"/>
                <w:szCs w:val="24"/>
                <w:highlight w:val="none"/>
                <w:lang w:val="en-US" w:eastAsia="zh-CN"/>
              </w:rPr>
              <w:t>质产生量约为原料烘干量的0.1%，</w:t>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highlight w:val="none"/>
                <w:lang w:val="en-US" w:eastAsia="zh-CN"/>
              </w:rPr>
              <w:t>年烘干粮食</w:t>
            </w:r>
            <w:r>
              <w:rPr>
                <w:rFonts w:hint="eastAsia" w:cs="Times New Roman"/>
                <w:color w:val="auto"/>
                <w:sz w:val="24"/>
                <w:highlight w:val="none"/>
                <w:lang w:val="en-US" w:eastAsia="zh-CN"/>
              </w:rPr>
              <w:t>600</w:t>
            </w:r>
            <w:r>
              <w:rPr>
                <w:rFonts w:hint="default" w:ascii="Times New Roman" w:hAnsi="Times New Roman" w:eastAsia="宋体" w:cs="Times New Roman"/>
                <w:color w:val="auto"/>
                <w:sz w:val="24"/>
                <w:highlight w:val="none"/>
                <w:lang w:val="en-US" w:eastAsia="zh-CN"/>
              </w:rPr>
              <w:t>00t，则</w:t>
            </w:r>
            <w:r>
              <w:rPr>
                <w:rFonts w:hint="default" w:ascii="Times New Roman" w:hAnsi="Times New Roman" w:eastAsia="宋体" w:cs="Times New Roman"/>
                <w:color w:val="auto"/>
                <w:sz w:val="24"/>
                <w:szCs w:val="24"/>
                <w:highlight w:val="none"/>
              </w:rPr>
              <w:t>原粮筛分除杂工序中产生的</w:t>
            </w:r>
            <w:r>
              <w:rPr>
                <w:rFonts w:hint="default" w:ascii="Times New Roman" w:hAnsi="Times New Roman" w:eastAsia="宋体" w:cs="Times New Roman"/>
                <w:color w:val="auto"/>
                <w:sz w:val="24"/>
                <w:szCs w:val="24"/>
                <w:highlight w:val="none"/>
                <w:lang w:val="en-US" w:eastAsia="zh-CN"/>
              </w:rPr>
              <w:t>杂质</w:t>
            </w:r>
            <w:r>
              <w:rPr>
                <w:rFonts w:hint="default" w:ascii="Times New Roman" w:hAnsi="Times New Roman" w:eastAsia="宋体" w:cs="Times New Roman"/>
                <w:color w:val="auto"/>
                <w:sz w:val="24"/>
                <w:szCs w:val="24"/>
                <w:highlight w:val="none"/>
              </w:rPr>
              <w:t>量约为</w:t>
            </w:r>
            <w:r>
              <w:rPr>
                <w:rFonts w:hint="eastAsia"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rPr>
              <w:t>t/a，对照</w:t>
            </w:r>
            <w:r>
              <w:rPr>
                <w:rFonts w:hint="default" w:ascii="Times New Roman" w:hAnsi="Times New Roman" w:eastAsia="宋体" w:cs="Times New Roman"/>
                <w:color w:val="auto"/>
                <w:sz w:val="24"/>
                <w:highlight w:val="none"/>
              </w:rPr>
              <w:t>《固体废物分类与代码目录》（2024</w:t>
            </w:r>
            <w:r>
              <w:rPr>
                <w:rFonts w:hint="default" w:ascii="Times New Roman" w:hAnsi="Times New Roman" w:eastAsia="宋体" w:cs="Times New Roman"/>
                <w:color w:val="auto"/>
                <w:sz w:val="24"/>
                <w:highlight w:val="none"/>
                <w:lang w:val="en-US" w:eastAsia="zh-CN"/>
              </w:rPr>
              <w:t>版</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原粮杂质</w:t>
            </w:r>
            <w:r>
              <w:rPr>
                <w:rFonts w:hint="default" w:ascii="Times New Roman" w:hAnsi="Times New Roman" w:eastAsia="宋体" w:cs="Times New Roman"/>
                <w:color w:val="auto"/>
                <w:sz w:val="24"/>
                <w:szCs w:val="24"/>
                <w:highlight w:val="none"/>
              </w:rPr>
              <w:t>分类代码为“900-099-S</w:t>
            </w:r>
            <w:r>
              <w:rPr>
                <w:rFonts w:hint="eastAsia" w:cs="Times New Roman"/>
                <w:color w:val="auto"/>
                <w:sz w:val="24"/>
                <w:szCs w:val="24"/>
                <w:highlight w:val="none"/>
                <w:lang w:val="en-US" w:eastAsia="zh-CN"/>
              </w:rPr>
              <w:t>59</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用编织袋装袋</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外售</w:t>
            </w:r>
            <w:r>
              <w:rPr>
                <w:rFonts w:hint="default" w:ascii="Times New Roman" w:hAnsi="Times New Roman" w:eastAsia="宋体" w:cs="Times New Roman"/>
                <w:color w:val="auto"/>
                <w:szCs w:val="21"/>
                <w:highlight w:val="none"/>
              </w:rPr>
              <w:t>综合利用</w:t>
            </w:r>
            <w:r>
              <w:rPr>
                <w:rFonts w:hint="default" w:ascii="Times New Roman" w:hAnsi="Times New Roman" w:eastAsia="宋体" w:cs="Times New Roman"/>
                <w:color w:val="auto"/>
                <w:sz w:val="24"/>
                <w:szCs w:val="24"/>
                <w:highlight w:val="none"/>
                <w:lang w:val="en-US" w:eastAsia="zh-CN"/>
              </w:rPr>
              <w:t>。</w:t>
            </w:r>
          </w:p>
          <w:p w14:paraId="3C34AA8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eastAsia="zh-CN"/>
              </w:rPr>
              <w:t>炉</w:t>
            </w:r>
            <w:r>
              <w:rPr>
                <w:rFonts w:hint="default" w:ascii="Times New Roman" w:hAnsi="Times New Roman" w:eastAsia="宋体" w:cs="Times New Roman"/>
                <w:color w:val="auto"/>
                <w:sz w:val="24"/>
                <w:highlight w:val="none"/>
              </w:rPr>
              <w:t>渣</w:t>
            </w:r>
          </w:p>
          <w:p w14:paraId="1557DBD9">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rPr>
              <w:t>本项目生物质燃料使用量共计</w:t>
            </w:r>
            <w:r>
              <w:rPr>
                <w:rFonts w:hint="eastAsia" w:cs="Times New Roman"/>
                <w:color w:val="auto"/>
                <w:kern w:val="2"/>
                <w:sz w:val="24"/>
                <w:szCs w:val="24"/>
                <w:highlight w:val="none"/>
                <w:lang w:val="en-US" w:eastAsia="zh-CN"/>
              </w:rPr>
              <w:t>3187</w:t>
            </w:r>
            <w:r>
              <w:rPr>
                <w:rFonts w:hint="default" w:ascii="Times New Roman" w:hAnsi="Times New Roman" w:eastAsia="宋体" w:cs="Times New Roman"/>
                <w:color w:val="auto"/>
                <w:kern w:val="2"/>
                <w:sz w:val="24"/>
                <w:szCs w:val="24"/>
                <w:highlight w:val="none"/>
              </w:rPr>
              <w:t>t，</w:t>
            </w:r>
            <w:r>
              <w:rPr>
                <w:rFonts w:hint="default" w:ascii="Times New Roman" w:hAnsi="Times New Roman" w:eastAsia="宋体" w:cs="Times New Roman"/>
                <w:color w:val="auto"/>
                <w:sz w:val="24"/>
                <w:szCs w:val="24"/>
                <w:highlight w:val="none"/>
              </w:rPr>
              <w:t>根据《污染源源强核算技术指南准则》（HJ884-2018）及《污染源源强核算技术指南锅炉》（HJ991-2018），本项目</w:t>
            </w:r>
            <w:r>
              <w:rPr>
                <w:rFonts w:hint="eastAsia" w:cs="Times New Roman"/>
                <w:color w:val="auto"/>
                <w:sz w:val="24"/>
                <w:szCs w:val="24"/>
                <w:highlight w:val="none"/>
                <w:lang w:eastAsia="zh-CN"/>
              </w:rPr>
              <w:t>生物质热风炉</w:t>
            </w:r>
            <w:r>
              <w:rPr>
                <w:rFonts w:hint="default" w:ascii="Times New Roman" w:hAnsi="Times New Roman" w:eastAsia="宋体" w:cs="Times New Roman"/>
                <w:color w:val="auto"/>
                <w:sz w:val="24"/>
                <w:szCs w:val="24"/>
                <w:highlight w:val="none"/>
              </w:rPr>
              <w:t>炉渣污染物采取物料衡算法计算。</w:t>
            </w:r>
          </w:p>
          <w:p w14:paraId="2EDFFAFC">
            <w:pPr>
              <w:keepNext w:val="0"/>
              <w:keepLines w:val="0"/>
              <w:suppressLineNumbers w:val="0"/>
              <w:adjustRightInd w:val="0"/>
              <w:snapToGrid w:val="0"/>
              <w:spacing w:before="0" w:beforeAutospacing="0" w:after="0" w:afterAutospacing="0" w:line="240" w:lineRule="auto"/>
              <w:ind w:left="0" w:right="0" w:firstLine="420" w:firstLineChars="200"/>
              <w:jc w:val="center"/>
              <w:rPr>
                <w:rFonts w:hint="default" w:ascii="Times New Roman" w:hAnsi="Times New Roman" w:eastAsia="宋体" w:cs="Times New Roman"/>
                <w:color w:val="auto"/>
                <w:sz w:val="24"/>
                <w:highlight w:val="none"/>
              </w:rPr>
            </w:pPr>
            <w:r>
              <w:rPr>
                <w:rFonts w:hint="default"/>
                <w:color w:val="auto"/>
                <w:position w:val="-28"/>
                <w:sz w:val="21"/>
                <w:szCs w:val="21"/>
                <w:highlight w:val="none"/>
              </w:rPr>
              <w:object>
                <v:shape id="_x0000_i1032" o:spt="75" type="#_x0000_t75" style="height:42.95pt;width:182.1pt;" o:ole="t" filled="f" o:preferrelative="t" stroked="f" coordsize="21600,21600">
                  <v:path/>
                  <v:fill on="f" focussize="0,0"/>
                  <v:stroke on="f"/>
                  <v:imagedata r:id="rId41" o:title=""/>
                  <o:lock v:ext="edit" aspectratio="t"/>
                  <w10:wrap type="none"/>
                  <w10:anchorlock/>
                </v:shape>
                <o:OLEObject Type="Embed" ProgID="Equation.3" ShapeID="_x0000_i1032" DrawAspect="Content" ObjectID="_1468075732" r:id="rId40">
                  <o:LockedField>false</o:LockedField>
                </o:OLEObject>
              </w:object>
            </w:r>
          </w:p>
          <w:p w14:paraId="03129A6B">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i/>
                <w:iCs/>
                <w:color w:val="auto"/>
                <w:sz w:val="24"/>
                <w:highlight w:val="none"/>
              </w:rPr>
              <w:t>E</w:t>
            </w:r>
            <w:r>
              <w:rPr>
                <w:rFonts w:hint="default" w:ascii="Times New Roman" w:hAnsi="Times New Roman" w:eastAsia="宋体" w:cs="Times New Roman"/>
                <w:i/>
                <w:iCs/>
                <w:color w:val="auto"/>
                <w:sz w:val="24"/>
                <w:highlight w:val="none"/>
                <w:vertAlign w:val="subscript"/>
              </w:rPr>
              <w:t>hs</w:t>
            </w:r>
            <w:r>
              <w:rPr>
                <w:rFonts w:hint="default" w:ascii="Times New Roman" w:hAnsi="Times New Roman" w:eastAsia="宋体" w:cs="Times New Roman"/>
                <w:color w:val="auto"/>
                <w:sz w:val="24"/>
                <w:highlight w:val="none"/>
              </w:rPr>
              <w:t>——核算时段内灰渣产生量，t；</w:t>
            </w:r>
          </w:p>
          <w:p w14:paraId="0FB534E3">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i/>
                <w:iCs/>
                <w:color w:val="auto"/>
                <w:sz w:val="24"/>
                <w:highlight w:val="none"/>
              </w:rPr>
              <w:t>R</w:t>
            </w:r>
            <w:r>
              <w:rPr>
                <w:rFonts w:hint="default" w:ascii="Times New Roman" w:hAnsi="Times New Roman" w:eastAsia="宋体" w:cs="Times New Roman"/>
                <w:color w:val="auto"/>
                <w:sz w:val="24"/>
                <w:highlight w:val="none"/>
              </w:rPr>
              <w:t>——核算时段内锅炉燃料耗量，t</w:t>
            </w:r>
            <w:r>
              <w:rPr>
                <w:rStyle w:val="71"/>
                <w:rFonts w:hint="default" w:ascii="Times New Roman" w:hAnsi="Times New Roman" w:eastAsia="宋体" w:cs="Times New Roman"/>
                <w:color w:val="auto"/>
                <w:highlight w:val="none"/>
              </w:rPr>
              <w:t>，</w:t>
            </w:r>
            <w:r>
              <w:rPr>
                <w:rStyle w:val="71"/>
                <w:rFonts w:hint="eastAsia" w:cs="Times New Roman"/>
                <w:color w:val="auto"/>
                <w:highlight w:val="none"/>
                <w:lang w:val="en-US" w:eastAsia="zh-CN"/>
              </w:rPr>
              <w:t>3187</w:t>
            </w:r>
            <w:r>
              <w:rPr>
                <w:rStyle w:val="71"/>
                <w:rFonts w:hint="default" w:ascii="Times New Roman" w:hAnsi="Times New Roman" w:eastAsia="宋体" w:cs="Times New Roman"/>
                <w:color w:val="auto"/>
                <w:highlight w:val="none"/>
              </w:rPr>
              <w:t>；</w:t>
            </w:r>
          </w:p>
          <w:p w14:paraId="1FA14B5A">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i/>
                <w:iCs/>
                <w:color w:val="auto"/>
                <w:sz w:val="24"/>
                <w:highlight w:val="none"/>
              </w:rPr>
              <w:t>A</w:t>
            </w:r>
            <w:r>
              <w:rPr>
                <w:rFonts w:hint="default" w:ascii="Times New Roman" w:hAnsi="Times New Roman" w:eastAsia="宋体" w:cs="Times New Roman"/>
                <w:i/>
                <w:iCs/>
                <w:color w:val="auto"/>
                <w:sz w:val="24"/>
                <w:highlight w:val="none"/>
                <w:vertAlign w:val="subscript"/>
              </w:rPr>
              <w:t>ar</w:t>
            </w:r>
            <w:r>
              <w:rPr>
                <w:rFonts w:hint="default" w:ascii="Times New Roman" w:hAnsi="Times New Roman" w:eastAsia="宋体" w:cs="Times New Roman"/>
                <w:color w:val="auto"/>
                <w:sz w:val="24"/>
                <w:highlight w:val="none"/>
              </w:rPr>
              <w:t>——收到基灰分的质量分数，%，本项目</w:t>
            </w:r>
            <w:r>
              <w:rPr>
                <w:rFonts w:hint="default" w:ascii="Times New Roman" w:hAnsi="Times New Roman" w:eastAsia="宋体" w:cs="Times New Roman"/>
                <w:i/>
                <w:color w:val="auto"/>
                <w:sz w:val="24"/>
                <w:highlight w:val="none"/>
              </w:rPr>
              <w:t>A</w:t>
            </w:r>
            <w:r>
              <w:rPr>
                <w:rFonts w:hint="default" w:ascii="Times New Roman" w:hAnsi="Times New Roman" w:eastAsia="宋体" w:cs="Times New Roman"/>
                <w:i/>
                <w:color w:val="auto"/>
                <w:sz w:val="24"/>
                <w:highlight w:val="none"/>
                <w:vertAlign w:val="subscript"/>
              </w:rPr>
              <w:t>ar</w:t>
            </w:r>
            <w:r>
              <w:rPr>
                <w:rFonts w:hint="default" w:ascii="Times New Roman" w:hAnsi="Times New Roman" w:eastAsia="宋体" w:cs="Times New Roman"/>
                <w:iCs/>
                <w:color w:val="auto"/>
                <w:sz w:val="24"/>
                <w:highlight w:val="none"/>
              </w:rPr>
              <w:t>取值</w:t>
            </w:r>
            <w:r>
              <w:rPr>
                <w:rFonts w:hint="eastAsia" w:cs="Times New Roman"/>
                <w:iCs/>
                <w:color w:val="auto"/>
                <w:sz w:val="24"/>
                <w:highlight w:val="none"/>
                <w:lang w:val="en-US" w:eastAsia="zh-CN"/>
              </w:rPr>
              <w:t>4.65</w:t>
            </w:r>
            <w:r>
              <w:rPr>
                <w:rFonts w:hint="default" w:ascii="Times New Roman" w:hAnsi="Times New Roman" w:eastAsia="宋体" w:cs="Times New Roman"/>
                <w:color w:val="auto"/>
                <w:sz w:val="24"/>
                <w:highlight w:val="none"/>
              </w:rPr>
              <w:t>；</w:t>
            </w:r>
          </w:p>
          <w:p w14:paraId="3E424BF6">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i/>
                <w:iCs/>
                <w:color w:val="auto"/>
                <w:sz w:val="24"/>
                <w:highlight w:val="none"/>
              </w:rPr>
              <w:t>q</w:t>
            </w:r>
            <w:r>
              <w:rPr>
                <w:rFonts w:hint="default" w:ascii="Times New Roman" w:hAnsi="Times New Roman" w:eastAsia="宋体" w:cs="Times New Roman"/>
                <w:i/>
                <w:iCs/>
                <w:color w:val="auto"/>
                <w:sz w:val="24"/>
                <w:highlight w:val="none"/>
                <w:vertAlign w:val="subscript"/>
              </w:rPr>
              <w:t>4</w:t>
            </w:r>
            <w:r>
              <w:rPr>
                <w:rFonts w:hint="default" w:ascii="Times New Roman" w:hAnsi="Times New Roman" w:eastAsia="宋体" w:cs="Times New Roman"/>
                <w:color w:val="auto"/>
                <w:sz w:val="24"/>
                <w:highlight w:val="none"/>
              </w:rPr>
              <w:t>——锅炉机械不完全燃烧热损失，%，本项目取</w:t>
            </w:r>
            <w:r>
              <w:rPr>
                <w:rFonts w:hint="eastAsia" w:cs="Times New Roman"/>
                <w:color w:val="auto"/>
                <w:sz w:val="24"/>
                <w:highlight w:val="none"/>
                <w:lang w:val="en-US" w:eastAsia="zh-CN"/>
              </w:rPr>
              <w:t>15</w:t>
            </w:r>
            <w:r>
              <w:rPr>
                <w:rFonts w:hint="default" w:ascii="Times New Roman" w:hAnsi="Times New Roman" w:eastAsia="宋体" w:cs="Times New Roman"/>
                <w:color w:val="auto"/>
                <w:sz w:val="24"/>
                <w:highlight w:val="none"/>
              </w:rPr>
              <w:t>；</w:t>
            </w:r>
          </w:p>
          <w:p w14:paraId="708A5F7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i/>
                <w:iCs/>
                <w:color w:val="auto"/>
                <w:sz w:val="24"/>
                <w:highlight w:val="none"/>
              </w:rPr>
              <w:t>Q</w:t>
            </w:r>
            <w:r>
              <w:rPr>
                <w:rFonts w:hint="default" w:ascii="Times New Roman" w:hAnsi="Times New Roman" w:eastAsia="宋体" w:cs="Times New Roman"/>
                <w:i/>
                <w:iCs/>
                <w:color w:val="auto"/>
                <w:sz w:val="24"/>
                <w:highlight w:val="none"/>
                <w:vertAlign w:val="subscript"/>
              </w:rPr>
              <w:t>net，ar</w:t>
            </w:r>
            <w:r>
              <w:rPr>
                <w:rFonts w:hint="default" w:ascii="Times New Roman" w:hAnsi="Times New Roman" w:eastAsia="宋体" w:cs="Times New Roman"/>
                <w:color w:val="auto"/>
                <w:sz w:val="24"/>
                <w:highlight w:val="none"/>
              </w:rPr>
              <w:t>——收到基低位发热量，kJ/kg，根据附件4，取</w:t>
            </w:r>
            <w:r>
              <w:rPr>
                <w:rFonts w:hint="eastAsia" w:cs="Times New Roman"/>
                <w:color w:val="auto"/>
                <w:sz w:val="24"/>
                <w:highlight w:val="none"/>
                <w:lang w:val="en-US" w:eastAsia="zh-CN"/>
              </w:rPr>
              <w:t>14.4</w:t>
            </w:r>
            <w:r>
              <w:rPr>
                <w:rFonts w:hint="default" w:ascii="Times New Roman" w:hAnsi="Times New Roman" w:eastAsia="宋体" w:cs="Times New Roman"/>
                <w:color w:val="auto"/>
                <w:sz w:val="24"/>
                <w:highlight w:val="none"/>
                <w:lang w:val="en-US" w:eastAsia="zh-CN"/>
              </w:rPr>
              <w:t>。</w:t>
            </w:r>
          </w:p>
          <w:p w14:paraId="53166C75">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计算得到灰渣量为</w:t>
            </w:r>
            <w:r>
              <w:rPr>
                <w:rFonts w:hint="eastAsia" w:ascii="Times New Roman" w:hAnsi="Times New Roman" w:cs="Times New Roman"/>
                <w:color w:val="auto"/>
                <w:kern w:val="2"/>
                <w:szCs w:val="24"/>
                <w:highlight w:val="none"/>
                <w:lang w:val="en-US" w:eastAsia="zh-CN"/>
              </w:rPr>
              <w:t>148.4</w:t>
            </w:r>
            <w:r>
              <w:rPr>
                <w:rFonts w:hint="default" w:ascii="Times New Roman" w:hAnsi="Times New Roman" w:eastAsia="宋体" w:cs="Times New Roman"/>
                <w:color w:val="auto"/>
                <w:kern w:val="2"/>
                <w:szCs w:val="24"/>
                <w:highlight w:val="none"/>
              </w:rPr>
              <w:t>t/a</w:t>
            </w:r>
            <w:r>
              <w:rPr>
                <w:rFonts w:hint="eastAsia" w:cs="Times New Roman"/>
                <w:color w:val="auto"/>
                <w:kern w:val="2"/>
                <w:szCs w:val="24"/>
                <w:highlight w:val="none"/>
                <w:lang w:eastAsia="zh-CN"/>
              </w:rPr>
              <w:t>，</w:t>
            </w:r>
            <w:r>
              <w:rPr>
                <w:rFonts w:hint="default" w:ascii="Times New Roman" w:hAnsi="Times New Roman" w:eastAsia="宋体" w:cs="Times New Roman"/>
                <w:color w:val="auto"/>
                <w:sz w:val="24"/>
                <w:szCs w:val="22"/>
                <w:highlight w:val="none"/>
                <w:lang w:val="en-US" w:eastAsia="zh-CN"/>
              </w:rPr>
              <w:t>其中飞灰量（即热风炉烟气中颗粒物产生量）为</w:t>
            </w:r>
            <w:r>
              <w:rPr>
                <w:rFonts w:hint="eastAsia" w:ascii="Times New Roman" w:hAnsi="Times New Roman" w:cs="Times New Roman"/>
                <w:color w:val="auto"/>
                <w:sz w:val="24"/>
                <w:szCs w:val="22"/>
                <w:highlight w:val="none"/>
                <w:lang w:val="en-US" w:eastAsia="zh-CN"/>
              </w:rPr>
              <w:t>75.8</w:t>
            </w:r>
            <w:r>
              <w:rPr>
                <w:rFonts w:hint="default" w:ascii="Times New Roman" w:hAnsi="Times New Roman" w:eastAsia="宋体" w:cs="Times New Roman"/>
                <w:color w:val="auto"/>
                <w:sz w:val="24"/>
                <w:szCs w:val="22"/>
                <w:highlight w:val="none"/>
                <w:lang w:val="en-US" w:eastAsia="zh-CN"/>
              </w:rPr>
              <w:t>t/a</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则热风炉炉底灰渣产生量为</w:t>
            </w:r>
            <w:r>
              <w:rPr>
                <w:rFonts w:hint="eastAsia" w:ascii="Times New Roman" w:hAnsi="Times New Roman" w:cs="Times New Roman"/>
                <w:color w:val="auto"/>
                <w:sz w:val="24"/>
                <w:szCs w:val="22"/>
                <w:highlight w:val="none"/>
                <w:lang w:val="en-US" w:eastAsia="zh-CN"/>
              </w:rPr>
              <w:t>72.6</w:t>
            </w:r>
            <w:r>
              <w:rPr>
                <w:rFonts w:hint="default" w:ascii="Times New Roman" w:hAnsi="Times New Roman" w:eastAsia="宋体" w:cs="Times New Roman"/>
                <w:color w:val="auto"/>
                <w:sz w:val="24"/>
                <w:szCs w:val="22"/>
                <w:highlight w:val="none"/>
                <w:lang w:val="en-US" w:eastAsia="zh-CN"/>
              </w:rPr>
              <w:t>t/a。</w:t>
            </w:r>
            <w:r>
              <w:rPr>
                <w:rFonts w:hint="default" w:ascii="Times New Roman" w:hAnsi="Times New Roman" w:eastAsia="宋体" w:cs="Times New Roman"/>
                <w:color w:val="auto"/>
                <w:kern w:val="2"/>
                <w:szCs w:val="24"/>
                <w:highlight w:val="none"/>
                <w:lang w:val="en-US" w:eastAsia="zh-CN"/>
              </w:rPr>
              <w:t>根</w:t>
            </w:r>
            <w:r>
              <w:rPr>
                <w:rFonts w:hint="default" w:ascii="Times New Roman" w:hAnsi="Times New Roman" w:eastAsia="宋体" w:cs="Times New Roman"/>
                <w:color w:val="auto"/>
                <w:kern w:val="2"/>
                <w:szCs w:val="24"/>
                <w:highlight w:val="none"/>
              </w:rPr>
              <w:t>灰渣分类代码为“</w:t>
            </w:r>
            <w:r>
              <w:rPr>
                <w:rFonts w:hint="default" w:ascii="Times New Roman" w:hAnsi="Times New Roman" w:eastAsia="宋体" w:cs="Times New Roman"/>
                <w:color w:val="auto"/>
                <w:kern w:val="2"/>
                <w:szCs w:val="24"/>
                <w:highlight w:val="none"/>
                <w:lang w:val="en-US" w:eastAsia="zh-CN"/>
              </w:rPr>
              <w:t>900-099-S03</w:t>
            </w:r>
            <w:r>
              <w:rPr>
                <w:rFonts w:hint="default" w:ascii="Times New Roman" w:hAnsi="Times New Roman" w:eastAsia="宋体" w:cs="Times New Roman"/>
                <w:color w:val="auto"/>
                <w:kern w:val="2"/>
                <w:szCs w:val="24"/>
                <w:highlight w:val="none"/>
              </w:rPr>
              <w:t>”，热风炉除尘系统收尘和热风炉灰渣其成分属于草木灰，草木灰是由植物燃烧后的残余物形成的，主要成分是</w:t>
            </w:r>
            <w:r>
              <w:rPr>
                <w:rFonts w:hint="default" w:ascii="Times New Roman" w:hAnsi="Times New Roman" w:eastAsia="宋体" w:cs="Times New Roman"/>
                <w:color w:val="auto"/>
                <w:kern w:val="2"/>
                <w:szCs w:val="24"/>
                <w:highlight w:val="none"/>
                <w:lang w:eastAsia="zh-CN"/>
              </w:rPr>
              <w:t>、</w:t>
            </w:r>
            <w:r>
              <w:rPr>
                <w:rFonts w:hint="default" w:ascii="Times New Roman" w:hAnsi="Times New Roman" w:eastAsia="宋体" w:cs="Times New Roman"/>
                <w:color w:val="auto"/>
                <w:kern w:val="2"/>
                <w:szCs w:val="24"/>
                <w:highlight w:val="none"/>
                <w:lang w:val="en-US" w:eastAsia="zh-CN"/>
              </w:rPr>
              <w:t>硅酸盐、钙盐、以及钾的化合物</w:t>
            </w:r>
            <w:r>
              <w:rPr>
                <w:rFonts w:hint="default" w:ascii="Times New Roman" w:hAnsi="Times New Roman" w:eastAsia="宋体" w:cs="Times New Roman"/>
                <w:color w:val="auto"/>
                <w:kern w:val="2"/>
                <w:szCs w:val="24"/>
                <w:highlight w:val="none"/>
                <w:lang w:eastAsia="zh-CN"/>
              </w:rPr>
              <w:t>，</w:t>
            </w:r>
            <w:r>
              <w:rPr>
                <w:rFonts w:hint="default" w:ascii="Times New Roman" w:hAnsi="Times New Roman" w:eastAsia="宋体" w:cs="Times New Roman"/>
                <w:color w:val="auto"/>
                <w:kern w:val="2"/>
                <w:szCs w:val="24"/>
                <w:highlight w:val="none"/>
                <w:lang w:val="en-US" w:eastAsia="zh-CN"/>
              </w:rPr>
              <w:t>是制砖铺路的原材料，</w:t>
            </w:r>
            <w:r>
              <w:rPr>
                <w:rFonts w:hint="default" w:ascii="Times New Roman" w:hAnsi="Times New Roman" w:eastAsia="宋体" w:cs="Times New Roman"/>
                <w:color w:val="auto"/>
                <w:kern w:val="2"/>
                <w:szCs w:val="24"/>
                <w:highlight w:val="none"/>
              </w:rPr>
              <w:t>热风炉除尘系统收尘和热风炉灰渣统一收集暂存于</w:t>
            </w:r>
            <w:r>
              <w:rPr>
                <w:rFonts w:hint="eastAsia" w:cs="Times New Roman"/>
                <w:color w:val="auto"/>
                <w:kern w:val="2"/>
                <w:szCs w:val="24"/>
                <w:highlight w:val="none"/>
                <w:lang w:eastAsia="zh-CN"/>
              </w:rPr>
              <w:t>灰渣间</w:t>
            </w:r>
            <w:r>
              <w:rPr>
                <w:rFonts w:hint="default" w:ascii="Times New Roman" w:hAnsi="Times New Roman" w:eastAsia="宋体" w:cs="Times New Roman"/>
                <w:color w:val="auto"/>
                <w:kern w:val="2"/>
                <w:szCs w:val="24"/>
                <w:highlight w:val="none"/>
              </w:rPr>
              <w:t>中，</w:t>
            </w:r>
            <w:r>
              <w:rPr>
                <w:rFonts w:hint="default" w:ascii="Times New Roman" w:hAnsi="Times New Roman" w:eastAsia="宋体" w:cs="Times New Roman"/>
                <w:color w:val="auto"/>
                <w:sz w:val="24"/>
                <w:szCs w:val="24"/>
                <w:highlight w:val="none"/>
                <w:lang w:val="en-US" w:eastAsia="zh-CN"/>
              </w:rPr>
              <w:t>用编织袋装袋，外售</w:t>
            </w:r>
            <w:r>
              <w:rPr>
                <w:rFonts w:hint="default" w:ascii="Times New Roman" w:hAnsi="Times New Roman" w:eastAsia="宋体" w:cs="Times New Roman"/>
                <w:color w:val="auto"/>
                <w:szCs w:val="21"/>
                <w:highlight w:val="none"/>
              </w:rPr>
              <w:t>综合利用</w:t>
            </w:r>
            <w:r>
              <w:rPr>
                <w:rFonts w:hint="default" w:ascii="Times New Roman" w:hAnsi="Times New Roman" w:eastAsia="宋体" w:cs="Times New Roman"/>
                <w:color w:val="auto"/>
                <w:sz w:val="24"/>
                <w:szCs w:val="24"/>
                <w:highlight w:val="none"/>
                <w:lang w:val="en-US" w:eastAsia="zh-CN"/>
              </w:rPr>
              <w:t>。</w:t>
            </w:r>
          </w:p>
          <w:p w14:paraId="71C872F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除尘系统收尘</w:t>
            </w:r>
          </w:p>
          <w:p w14:paraId="289A681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lang w:eastAsia="zh-CN"/>
              </w:rPr>
            </w:pPr>
            <w:r>
              <w:rPr>
                <w:rFonts w:hint="default" w:ascii="Times New Roman" w:hAnsi="Times New Roman" w:eastAsia="宋体" w:cs="Times New Roman"/>
                <w:color w:val="auto"/>
                <w:kern w:val="2"/>
                <w:szCs w:val="24"/>
                <w:highlight w:val="none"/>
              </w:rPr>
              <w:t>热风炉除尘系统收尘量为</w:t>
            </w:r>
            <w:r>
              <w:rPr>
                <w:rFonts w:hint="eastAsia" w:cs="Times New Roman"/>
                <w:color w:val="auto"/>
                <w:kern w:val="2"/>
                <w:szCs w:val="24"/>
                <w:highlight w:val="none"/>
                <w:lang w:val="en-US" w:eastAsia="zh-CN"/>
              </w:rPr>
              <w:t>75.421</w:t>
            </w:r>
            <w:r>
              <w:rPr>
                <w:rFonts w:hint="default" w:ascii="Times New Roman" w:hAnsi="Times New Roman" w:eastAsia="宋体" w:cs="Times New Roman"/>
                <w:color w:val="auto"/>
                <w:kern w:val="2"/>
                <w:szCs w:val="24"/>
                <w:highlight w:val="none"/>
              </w:rPr>
              <w:t>t/a。对照</w:t>
            </w:r>
            <w:r>
              <w:rPr>
                <w:rFonts w:hint="default" w:ascii="Times New Roman" w:hAnsi="Times New Roman" w:eastAsia="宋体" w:cs="Times New Roman"/>
                <w:color w:val="auto"/>
                <w:sz w:val="24"/>
                <w:highlight w:val="none"/>
              </w:rPr>
              <w:t>《固体废物分类与代码目录》（2024</w:t>
            </w:r>
            <w:r>
              <w:rPr>
                <w:rFonts w:hint="default" w:ascii="Times New Roman" w:hAnsi="Times New Roman" w:eastAsia="宋体" w:cs="Times New Roman"/>
                <w:color w:val="auto"/>
                <w:sz w:val="24"/>
                <w:highlight w:val="none"/>
                <w:lang w:val="en-US" w:eastAsia="zh-CN"/>
              </w:rPr>
              <w:t>版</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kern w:val="2"/>
                <w:szCs w:val="24"/>
                <w:highlight w:val="none"/>
              </w:rPr>
              <w:t>，</w:t>
            </w:r>
            <w:r>
              <w:rPr>
                <w:rFonts w:hint="default" w:ascii="Times New Roman" w:hAnsi="Times New Roman" w:eastAsia="宋体" w:cs="Times New Roman"/>
                <w:color w:val="auto"/>
                <w:szCs w:val="24"/>
                <w:highlight w:val="none"/>
              </w:rPr>
              <w:t>除尘系统收尘</w:t>
            </w:r>
            <w:r>
              <w:rPr>
                <w:rFonts w:hint="default" w:ascii="Times New Roman" w:hAnsi="Times New Roman" w:eastAsia="宋体" w:cs="Times New Roman"/>
                <w:color w:val="auto"/>
                <w:kern w:val="2"/>
                <w:szCs w:val="24"/>
                <w:highlight w:val="none"/>
              </w:rPr>
              <w:t>分类代码为“</w:t>
            </w:r>
            <w:r>
              <w:rPr>
                <w:rFonts w:hint="default" w:ascii="Times New Roman" w:hAnsi="Times New Roman" w:eastAsia="宋体" w:cs="Times New Roman"/>
                <w:color w:val="auto"/>
                <w:kern w:val="2"/>
                <w:szCs w:val="24"/>
                <w:highlight w:val="none"/>
                <w:lang w:val="en-US" w:eastAsia="zh-CN"/>
              </w:rPr>
              <w:t>900-099-S</w:t>
            </w:r>
            <w:r>
              <w:rPr>
                <w:rFonts w:hint="eastAsia" w:cs="Times New Roman"/>
                <w:color w:val="auto"/>
                <w:kern w:val="2"/>
                <w:szCs w:val="24"/>
                <w:highlight w:val="none"/>
                <w:lang w:val="en-US" w:eastAsia="zh-CN"/>
              </w:rPr>
              <w:t>59</w:t>
            </w:r>
            <w:r>
              <w:rPr>
                <w:rFonts w:hint="default" w:ascii="Times New Roman" w:hAnsi="Times New Roman" w:eastAsia="宋体" w:cs="Times New Roman"/>
                <w:color w:val="auto"/>
                <w:kern w:val="2"/>
                <w:szCs w:val="24"/>
                <w:highlight w:val="none"/>
              </w:rPr>
              <w:t>”</w:t>
            </w:r>
            <w:r>
              <w:rPr>
                <w:rFonts w:hint="eastAsia" w:cs="Times New Roman"/>
                <w:color w:val="auto"/>
                <w:kern w:val="2"/>
                <w:szCs w:val="24"/>
                <w:highlight w:val="none"/>
                <w:lang w:eastAsia="zh-CN"/>
              </w:rPr>
              <w:t>。</w:t>
            </w:r>
            <w:r>
              <w:rPr>
                <w:rFonts w:hint="eastAsia" w:cs="Times New Roman"/>
                <w:color w:val="auto"/>
                <w:kern w:val="2"/>
                <w:szCs w:val="24"/>
                <w:highlight w:val="none"/>
                <w:lang w:val="en-US" w:eastAsia="zh-CN"/>
              </w:rPr>
              <w:t>集中收集后，</w:t>
            </w:r>
            <w:r>
              <w:rPr>
                <w:rFonts w:hint="default" w:ascii="Times New Roman" w:hAnsi="Times New Roman" w:eastAsia="宋体" w:cs="Times New Roman"/>
                <w:color w:val="auto"/>
                <w:sz w:val="24"/>
                <w:szCs w:val="24"/>
                <w:highlight w:val="none"/>
                <w:lang w:val="en-US" w:eastAsia="zh-CN"/>
              </w:rPr>
              <w:t>外售</w:t>
            </w:r>
            <w:r>
              <w:rPr>
                <w:rFonts w:hint="default" w:ascii="Times New Roman" w:hAnsi="Times New Roman" w:eastAsia="宋体" w:cs="Times New Roman"/>
                <w:color w:val="auto"/>
                <w:szCs w:val="21"/>
                <w:highlight w:val="none"/>
              </w:rPr>
              <w:t>综合利用</w:t>
            </w:r>
            <w:r>
              <w:rPr>
                <w:rFonts w:hint="default" w:ascii="Times New Roman" w:hAnsi="Times New Roman" w:eastAsia="宋体" w:cs="Times New Roman"/>
                <w:color w:val="auto"/>
                <w:kern w:val="2"/>
                <w:szCs w:val="24"/>
                <w:highlight w:val="none"/>
                <w:lang w:eastAsia="zh-CN"/>
              </w:rPr>
              <w:t>。</w:t>
            </w:r>
          </w:p>
          <w:p w14:paraId="4A90759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lang w:eastAsia="zh-CN"/>
              </w:rPr>
            </w:pPr>
            <w:r>
              <w:rPr>
                <w:rFonts w:hint="default" w:ascii="Times New Roman" w:hAnsi="Times New Roman" w:eastAsia="宋体" w:cs="Times New Roman"/>
                <w:color w:val="auto"/>
                <w:kern w:val="2"/>
                <w:szCs w:val="24"/>
                <w:highlight w:val="none"/>
                <w:lang w:eastAsia="zh-CN"/>
              </w:rPr>
              <w:t>（</w:t>
            </w:r>
            <w:r>
              <w:rPr>
                <w:rFonts w:hint="default" w:ascii="Times New Roman" w:hAnsi="Times New Roman" w:eastAsia="宋体" w:cs="Times New Roman"/>
                <w:color w:val="auto"/>
                <w:kern w:val="2"/>
                <w:szCs w:val="24"/>
                <w:highlight w:val="none"/>
                <w:lang w:val="en-US" w:eastAsia="zh-CN"/>
              </w:rPr>
              <w:t>4</w:t>
            </w:r>
            <w:r>
              <w:rPr>
                <w:rFonts w:hint="default" w:ascii="Times New Roman" w:hAnsi="Times New Roman" w:eastAsia="宋体" w:cs="Times New Roman"/>
                <w:color w:val="auto"/>
                <w:kern w:val="2"/>
                <w:szCs w:val="24"/>
                <w:highlight w:val="none"/>
                <w:lang w:eastAsia="zh-CN"/>
              </w:rPr>
              <w:t>）烘干塔及筛分粉尘</w:t>
            </w:r>
          </w:p>
          <w:p w14:paraId="52999CD1">
            <w:pPr>
              <w:pStyle w:val="56"/>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rPr>
              <w:t>烘干塔除尘系统收尘量为</w:t>
            </w:r>
            <w:r>
              <w:rPr>
                <w:rFonts w:hint="eastAsia" w:cs="Times New Roman"/>
                <w:color w:val="auto"/>
                <w:kern w:val="2"/>
                <w:szCs w:val="24"/>
                <w:highlight w:val="none"/>
                <w:lang w:val="en-US" w:eastAsia="zh-CN"/>
              </w:rPr>
              <w:t>4.2</w:t>
            </w:r>
            <w:r>
              <w:rPr>
                <w:rFonts w:hint="default" w:ascii="Times New Roman" w:hAnsi="Times New Roman" w:eastAsia="宋体" w:cs="Times New Roman"/>
                <w:color w:val="auto"/>
                <w:kern w:val="2"/>
                <w:szCs w:val="24"/>
                <w:highlight w:val="none"/>
              </w:rPr>
              <w:t>t/a，筛分工序除尘系统收尘量为</w:t>
            </w:r>
            <w:r>
              <w:rPr>
                <w:rFonts w:hint="eastAsia" w:cs="Times New Roman"/>
                <w:color w:val="auto"/>
                <w:kern w:val="2"/>
                <w:szCs w:val="24"/>
                <w:highlight w:val="none"/>
                <w:lang w:val="en-US" w:eastAsia="zh-CN"/>
              </w:rPr>
              <w:t>5.4</w:t>
            </w:r>
            <w:r>
              <w:rPr>
                <w:rFonts w:hint="default" w:ascii="Times New Roman" w:hAnsi="Times New Roman" w:eastAsia="宋体" w:cs="Times New Roman"/>
                <w:color w:val="auto"/>
                <w:kern w:val="2"/>
                <w:szCs w:val="24"/>
                <w:highlight w:val="none"/>
              </w:rPr>
              <w:t>t/a，</w:t>
            </w:r>
            <w:r>
              <w:rPr>
                <w:rFonts w:hint="eastAsia" w:cs="Times New Roman"/>
                <w:color w:val="auto"/>
                <w:kern w:val="2"/>
                <w:szCs w:val="24"/>
                <w:highlight w:val="none"/>
                <w:lang w:val="en-US" w:eastAsia="zh-CN"/>
              </w:rPr>
              <w:t>原料堆场除尘系统</w:t>
            </w:r>
            <w:r>
              <w:rPr>
                <w:rFonts w:hint="default" w:ascii="Times New Roman" w:hAnsi="Times New Roman" w:eastAsia="宋体" w:cs="Times New Roman"/>
                <w:color w:val="auto"/>
                <w:kern w:val="2"/>
                <w:szCs w:val="24"/>
                <w:highlight w:val="none"/>
              </w:rPr>
              <w:t>收尘量为</w:t>
            </w:r>
            <w:r>
              <w:rPr>
                <w:rFonts w:hint="eastAsia" w:cs="Times New Roman"/>
                <w:color w:val="auto"/>
                <w:kern w:val="2"/>
                <w:szCs w:val="24"/>
                <w:highlight w:val="none"/>
                <w:lang w:val="en-US" w:eastAsia="zh-CN"/>
              </w:rPr>
              <w:t>3.6</w:t>
            </w:r>
            <w:r>
              <w:rPr>
                <w:rFonts w:hint="default" w:ascii="Times New Roman" w:hAnsi="Times New Roman" w:eastAsia="宋体" w:cs="Times New Roman"/>
                <w:color w:val="auto"/>
                <w:kern w:val="2"/>
                <w:szCs w:val="24"/>
                <w:highlight w:val="none"/>
              </w:rPr>
              <w:t>t/a</w:t>
            </w:r>
            <w:r>
              <w:rPr>
                <w:rFonts w:hint="eastAsia" w:cs="Times New Roman"/>
                <w:color w:val="auto"/>
                <w:kern w:val="2"/>
                <w:szCs w:val="24"/>
                <w:highlight w:val="none"/>
                <w:lang w:eastAsia="zh-CN"/>
              </w:rPr>
              <w:t>。</w:t>
            </w:r>
          </w:p>
          <w:p w14:paraId="711C03D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筛分工序</w:t>
            </w:r>
            <w:r>
              <w:rPr>
                <w:rFonts w:hint="eastAsia" w:cs="Times New Roman"/>
                <w:color w:val="auto"/>
                <w:kern w:val="2"/>
                <w:szCs w:val="24"/>
                <w:highlight w:val="none"/>
                <w:lang w:eastAsia="zh-CN"/>
              </w:rPr>
              <w:t>、</w:t>
            </w:r>
            <w:r>
              <w:rPr>
                <w:rFonts w:hint="default" w:ascii="Times New Roman" w:hAnsi="Times New Roman" w:eastAsia="宋体" w:cs="Times New Roman"/>
                <w:color w:val="auto"/>
                <w:kern w:val="2"/>
                <w:szCs w:val="24"/>
                <w:highlight w:val="none"/>
              </w:rPr>
              <w:t>烘干塔除尘系统</w:t>
            </w:r>
            <w:r>
              <w:rPr>
                <w:rFonts w:hint="eastAsia" w:cs="Times New Roman"/>
                <w:color w:val="auto"/>
                <w:kern w:val="2"/>
                <w:szCs w:val="24"/>
                <w:highlight w:val="none"/>
                <w:lang w:val="en-US" w:eastAsia="zh-CN"/>
              </w:rPr>
              <w:t>和原料堆场</w:t>
            </w:r>
            <w:r>
              <w:rPr>
                <w:rFonts w:hint="default" w:ascii="Times New Roman" w:hAnsi="Times New Roman" w:eastAsia="宋体" w:cs="Times New Roman"/>
                <w:color w:val="auto"/>
                <w:kern w:val="2"/>
                <w:szCs w:val="24"/>
                <w:highlight w:val="none"/>
              </w:rPr>
              <w:t>收尘</w:t>
            </w:r>
            <w:r>
              <w:rPr>
                <w:rFonts w:hint="default" w:ascii="Times New Roman" w:hAnsi="Times New Roman" w:eastAsia="宋体" w:cs="Times New Roman"/>
                <w:color w:val="auto"/>
                <w:szCs w:val="24"/>
                <w:highlight w:val="none"/>
              </w:rPr>
              <w:t>集中收集后</w:t>
            </w:r>
            <w:r>
              <w:rPr>
                <w:rFonts w:hint="default" w:ascii="Times New Roman" w:hAnsi="Times New Roman" w:eastAsia="宋体" w:cs="Times New Roman"/>
                <w:color w:val="auto"/>
                <w:sz w:val="24"/>
                <w:szCs w:val="24"/>
                <w:highlight w:val="none"/>
                <w:lang w:val="en-US" w:eastAsia="zh-CN"/>
              </w:rPr>
              <w:t>用编织袋装袋，外售</w:t>
            </w:r>
            <w:r>
              <w:rPr>
                <w:rFonts w:hint="default" w:ascii="Times New Roman" w:hAnsi="Times New Roman" w:eastAsia="宋体" w:cs="Times New Roman"/>
                <w:color w:val="auto"/>
                <w:szCs w:val="21"/>
                <w:highlight w:val="none"/>
              </w:rPr>
              <w:t>综合利用</w:t>
            </w:r>
            <w:r>
              <w:rPr>
                <w:rFonts w:hint="default" w:ascii="Times New Roman" w:hAnsi="Times New Roman" w:eastAsia="宋体" w:cs="Times New Roman"/>
                <w:color w:val="auto"/>
                <w:kern w:val="2"/>
                <w:szCs w:val="24"/>
                <w:highlight w:val="none"/>
              </w:rPr>
              <w:t>。</w:t>
            </w:r>
          </w:p>
          <w:p w14:paraId="5A97277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5</w:t>
            </w:r>
            <w:r>
              <w:rPr>
                <w:rFonts w:hint="default" w:ascii="Times New Roman" w:hAnsi="Times New Roman" w:eastAsia="宋体" w:cs="Times New Roman"/>
                <w:color w:val="auto"/>
                <w:szCs w:val="24"/>
                <w:highlight w:val="none"/>
              </w:rPr>
              <w:t>）废布袋</w:t>
            </w:r>
          </w:p>
          <w:p w14:paraId="4D6B0633">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本项目除尘系统所用布袋需要定期更换，</w:t>
            </w:r>
            <w:r>
              <w:rPr>
                <w:rFonts w:hint="default" w:ascii="Times New Roman" w:hAnsi="Times New Roman" w:eastAsia="宋体" w:cs="Times New Roman"/>
                <w:color w:val="auto"/>
                <w:kern w:val="2"/>
                <w:szCs w:val="24"/>
                <w:highlight w:val="none"/>
                <w:lang w:val="en-US" w:eastAsia="zh-CN"/>
              </w:rPr>
              <w:t>类比现有工程，</w:t>
            </w:r>
            <w:r>
              <w:rPr>
                <w:rFonts w:hint="default" w:ascii="Times New Roman" w:hAnsi="Times New Roman" w:eastAsia="宋体" w:cs="Times New Roman"/>
                <w:color w:val="auto"/>
                <w:kern w:val="2"/>
                <w:szCs w:val="24"/>
                <w:highlight w:val="none"/>
              </w:rPr>
              <w:t>每年更换一次，一次产生量</w:t>
            </w:r>
            <w:r>
              <w:rPr>
                <w:rFonts w:hint="default" w:ascii="Times New Roman" w:hAnsi="Times New Roman" w:eastAsia="宋体" w:cs="Times New Roman"/>
                <w:color w:val="auto"/>
                <w:kern w:val="2"/>
                <w:szCs w:val="24"/>
                <w:highlight w:val="none"/>
                <w:lang w:val="en-US" w:eastAsia="zh-CN"/>
              </w:rPr>
              <w:t>约</w:t>
            </w:r>
            <w:r>
              <w:rPr>
                <w:rFonts w:hint="default" w:ascii="Times New Roman" w:hAnsi="Times New Roman" w:eastAsia="宋体" w:cs="Times New Roman"/>
                <w:color w:val="auto"/>
                <w:kern w:val="2"/>
                <w:szCs w:val="24"/>
                <w:highlight w:val="none"/>
              </w:rPr>
              <w:t>为0.</w:t>
            </w:r>
            <w:r>
              <w:rPr>
                <w:rFonts w:hint="default" w:ascii="Times New Roman" w:hAnsi="Times New Roman" w:eastAsia="宋体" w:cs="Times New Roman"/>
                <w:color w:val="auto"/>
                <w:kern w:val="2"/>
                <w:szCs w:val="24"/>
                <w:highlight w:val="none"/>
                <w:lang w:val="en-US" w:eastAsia="zh-CN"/>
              </w:rPr>
              <w:t>1</w:t>
            </w:r>
            <w:r>
              <w:rPr>
                <w:rFonts w:hint="default" w:ascii="Times New Roman" w:hAnsi="Times New Roman" w:eastAsia="宋体" w:cs="Times New Roman"/>
                <w:color w:val="auto"/>
                <w:kern w:val="2"/>
                <w:szCs w:val="24"/>
                <w:highlight w:val="none"/>
              </w:rPr>
              <w:t>t</w:t>
            </w:r>
            <w:r>
              <w:rPr>
                <w:rFonts w:hint="default" w:ascii="Times New Roman" w:hAnsi="Times New Roman" w:eastAsia="宋体" w:cs="Times New Roman"/>
                <w:color w:val="auto"/>
                <w:kern w:val="2"/>
                <w:szCs w:val="24"/>
                <w:highlight w:val="none"/>
                <w:lang w:val="en-US" w:eastAsia="zh-CN"/>
              </w:rPr>
              <w:t>/a</w:t>
            </w:r>
            <w:r>
              <w:rPr>
                <w:rFonts w:hint="default" w:ascii="Times New Roman" w:hAnsi="Times New Roman" w:eastAsia="宋体" w:cs="Times New Roman"/>
                <w:color w:val="auto"/>
                <w:kern w:val="2"/>
                <w:szCs w:val="24"/>
                <w:highlight w:val="none"/>
              </w:rPr>
              <w:t>，</w:t>
            </w:r>
            <w:r>
              <w:rPr>
                <w:rFonts w:hint="default" w:ascii="Times New Roman" w:hAnsi="Times New Roman" w:eastAsia="宋体" w:cs="Times New Roman"/>
                <w:color w:val="auto"/>
                <w:szCs w:val="24"/>
                <w:highlight w:val="none"/>
              </w:rPr>
              <w:t>对照</w:t>
            </w:r>
            <w:r>
              <w:rPr>
                <w:rFonts w:hint="default" w:ascii="Times New Roman" w:hAnsi="Times New Roman" w:eastAsia="宋体" w:cs="Times New Roman"/>
                <w:color w:val="auto"/>
                <w:sz w:val="24"/>
                <w:highlight w:val="none"/>
              </w:rPr>
              <w:t>《固体废物分类与代码目录》（2024</w:t>
            </w:r>
            <w:r>
              <w:rPr>
                <w:rFonts w:hint="default" w:ascii="Times New Roman" w:hAnsi="Times New Roman" w:eastAsia="宋体" w:cs="Times New Roman"/>
                <w:color w:val="auto"/>
                <w:sz w:val="24"/>
                <w:highlight w:val="none"/>
                <w:lang w:val="en-US" w:eastAsia="zh-CN"/>
              </w:rPr>
              <w:t>版</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kern w:val="2"/>
                <w:szCs w:val="24"/>
                <w:highlight w:val="none"/>
              </w:rPr>
              <w:t>废布袋分类代码为“900-099-S59”，</w:t>
            </w:r>
            <w:r>
              <w:rPr>
                <w:rFonts w:hint="eastAsia" w:cs="Times New Roman"/>
                <w:color w:val="auto"/>
                <w:szCs w:val="24"/>
                <w:highlight w:val="none"/>
                <w:lang w:val="en-US" w:eastAsia="zh-CN"/>
              </w:rPr>
              <w:t>集中收集后由厂家回收</w:t>
            </w:r>
            <w:r>
              <w:rPr>
                <w:rFonts w:hint="default" w:ascii="Times New Roman" w:hAnsi="Times New Roman" w:eastAsia="宋体" w:cs="Times New Roman"/>
                <w:color w:val="auto"/>
                <w:kern w:val="2"/>
                <w:szCs w:val="24"/>
                <w:highlight w:val="none"/>
              </w:rPr>
              <w:t>。</w:t>
            </w:r>
          </w:p>
          <w:p w14:paraId="5977FE1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lang w:val="en-US" w:eastAsia="zh-CN"/>
              </w:rPr>
              <w:t>（6））</w:t>
            </w:r>
            <w:r>
              <w:rPr>
                <w:rFonts w:hint="default" w:ascii="Times New Roman" w:hAnsi="Times New Roman" w:eastAsia="宋体" w:cs="Times New Roman"/>
                <w:color w:val="auto"/>
                <w:szCs w:val="24"/>
                <w:highlight w:val="none"/>
              </w:rPr>
              <w:t>生活垃圾</w:t>
            </w:r>
          </w:p>
          <w:p w14:paraId="24A2790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运营期劳动定员为</w:t>
            </w:r>
            <w:r>
              <w:rPr>
                <w:rFonts w:hint="eastAsia" w:cs="Times New Roman"/>
                <w:color w:val="auto"/>
                <w:szCs w:val="24"/>
                <w:highlight w:val="none"/>
                <w:lang w:val="en-US" w:eastAsia="zh-CN"/>
              </w:rPr>
              <w:t>5</w:t>
            </w:r>
            <w:r>
              <w:rPr>
                <w:rFonts w:hint="default" w:ascii="Times New Roman" w:hAnsi="Times New Roman" w:eastAsia="宋体" w:cs="Times New Roman"/>
                <w:color w:val="auto"/>
                <w:szCs w:val="24"/>
                <w:highlight w:val="none"/>
              </w:rPr>
              <w:t>人，生活垃圾产生量约为每人0.5kg/d，生活垃圾产生量为0.</w:t>
            </w:r>
            <w:r>
              <w:rPr>
                <w:rFonts w:hint="eastAsia" w:cs="Times New Roman"/>
                <w:color w:val="auto"/>
                <w:szCs w:val="24"/>
                <w:highlight w:val="none"/>
                <w:lang w:val="en-US" w:eastAsia="zh-CN"/>
              </w:rPr>
              <w:t>1875</w:t>
            </w:r>
            <w:r>
              <w:rPr>
                <w:rFonts w:hint="default" w:ascii="Times New Roman" w:hAnsi="Times New Roman" w:eastAsia="宋体" w:cs="Times New Roman"/>
                <w:color w:val="auto"/>
                <w:szCs w:val="24"/>
                <w:highlight w:val="none"/>
              </w:rPr>
              <w:t>t/a，对照</w:t>
            </w:r>
            <w:r>
              <w:rPr>
                <w:rFonts w:hint="default" w:ascii="Times New Roman" w:hAnsi="Times New Roman" w:eastAsia="宋体" w:cs="Times New Roman"/>
                <w:color w:val="auto"/>
                <w:sz w:val="24"/>
                <w:highlight w:val="none"/>
              </w:rPr>
              <w:t>《固体废物分类与代码目录》（2024</w:t>
            </w:r>
            <w:r>
              <w:rPr>
                <w:rFonts w:hint="default" w:ascii="Times New Roman" w:hAnsi="Times New Roman" w:eastAsia="宋体" w:cs="Times New Roman"/>
                <w:color w:val="auto"/>
                <w:sz w:val="24"/>
                <w:highlight w:val="none"/>
                <w:lang w:val="en-US" w:eastAsia="zh-CN"/>
              </w:rPr>
              <w:t>版</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kern w:val="2"/>
                <w:szCs w:val="24"/>
                <w:highlight w:val="none"/>
              </w:rPr>
              <w:t>生活垃圾分类代码为“900-099-S64”</w:t>
            </w:r>
            <w:r>
              <w:rPr>
                <w:rFonts w:hint="eastAsia" w:ascii="Times New Roman" w:hAnsi="Times New Roman" w:eastAsia="宋体" w:cs="Times New Roman"/>
                <w:color w:val="auto"/>
                <w:kern w:val="2"/>
                <w:szCs w:val="24"/>
                <w:highlight w:val="none"/>
                <w:lang w:eastAsia="zh-CN"/>
              </w:rPr>
              <w:t>，</w:t>
            </w:r>
            <w:r>
              <w:rPr>
                <w:rFonts w:hint="default" w:ascii="Times New Roman" w:hAnsi="Times New Roman" w:eastAsia="宋体" w:cs="Times New Roman"/>
                <w:color w:val="auto"/>
                <w:szCs w:val="24"/>
                <w:highlight w:val="none"/>
              </w:rPr>
              <w:t>生活垃圾分类收集，由市政统一收集处理。</w:t>
            </w:r>
          </w:p>
          <w:p w14:paraId="6844C59E">
            <w:pPr>
              <w:keepNext w:val="0"/>
              <w:keepLines w:val="0"/>
              <w:numPr>
                <w:ilvl w:val="0"/>
                <w:numId w:val="0"/>
              </w:numPr>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bidi="ar-SA"/>
              </w:rPr>
            </w:pPr>
            <w:r>
              <w:rPr>
                <w:rFonts w:hint="eastAsia" w:cs="Times New Roman"/>
                <w:color w:val="auto"/>
                <w:sz w:val="24"/>
                <w:szCs w:val="32"/>
                <w:highlight w:val="none"/>
                <w:lang w:eastAsia="zh-CN"/>
              </w:rPr>
              <w:t>（</w:t>
            </w:r>
            <w:r>
              <w:rPr>
                <w:rFonts w:hint="eastAsia" w:cs="Times New Roman"/>
                <w:color w:val="auto"/>
                <w:sz w:val="24"/>
                <w:szCs w:val="32"/>
                <w:highlight w:val="none"/>
                <w:lang w:val="en-US" w:eastAsia="zh-CN"/>
              </w:rPr>
              <w:t>7）</w:t>
            </w:r>
            <w:r>
              <w:rPr>
                <w:rFonts w:hint="eastAsia" w:ascii="Times New Roman" w:hAnsi="Times New Roman" w:eastAsia="宋体" w:cs="Times New Roman"/>
                <w:color w:val="auto"/>
                <w:kern w:val="0"/>
                <w:sz w:val="24"/>
                <w:szCs w:val="24"/>
                <w:highlight w:val="none"/>
                <w:lang w:val="en-US" w:eastAsia="zh-CN" w:bidi="ar-SA"/>
              </w:rPr>
              <w:t>含油手套和抹布、废润滑油及废润滑油油桶</w:t>
            </w:r>
          </w:p>
          <w:p w14:paraId="46BDBC07">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kern w:val="0"/>
                <w:sz w:val="24"/>
                <w:szCs w:val="24"/>
                <w:highlight w:val="none"/>
                <w:lang w:val="en-US" w:eastAsia="zh-CN" w:bidi="ar-SA"/>
              </w:rPr>
              <w:t>本项目设备维修保养过程中会产生废润滑油，根据《国家危险废物名录（2025年版）》，</w:t>
            </w:r>
            <w:r>
              <w:rPr>
                <w:rFonts w:hint="eastAsia" w:cs="Times New Roman"/>
                <w:color w:val="auto"/>
                <w:kern w:val="0"/>
                <w:sz w:val="24"/>
                <w:szCs w:val="24"/>
                <w:highlight w:val="none"/>
                <w:lang w:val="en-US" w:eastAsia="zh-CN" w:bidi="ar-SA"/>
              </w:rPr>
              <w:t>废矿物油</w:t>
            </w:r>
            <w:r>
              <w:rPr>
                <w:rFonts w:hint="default" w:ascii="Times New Roman" w:hAnsi="Times New Roman" w:eastAsia="宋体" w:cs="Times New Roman"/>
                <w:color w:val="auto"/>
                <w:kern w:val="0"/>
                <w:sz w:val="24"/>
                <w:szCs w:val="24"/>
                <w:highlight w:val="none"/>
                <w:lang w:val="en-US" w:eastAsia="zh-CN" w:bidi="ar-SA"/>
              </w:rPr>
              <w:t>属于危险废物，废物类别“HW08废矿物油与含矿物油废物”，废物代号900-214-08，根据企业提供资料，产生量为0.</w:t>
            </w:r>
            <w:r>
              <w:rPr>
                <w:rFonts w:hint="eastAsia" w:ascii="Times New Roman" w:hAnsi="Times New Roman" w:eastAsia="宋体" w:cs="Times New Roman"/>
                <w:color w:val="auto"/>
                <w:kern w:val="0"/>
                <w:sz w:val="24"/>
                <w:szCs w:val="24"/>
                <w:highlight w:val="none"/>
                <w:lang w:val="en-US" w:eastAsia="zh-CN" w:bidi="ar-SA"/>
              </w:rPr>
              <w:t>01</w:t>
            </w:r>
            <w:r>
              <w:rPr>
                <w:rFonts w:hint="default" w:ascii="Times New Roman" w:hAnsi="Times New Roman" w:eastAsia="宋体" w:cs="Times New Roman"/>
                <w:color w:val="auto"/>
                <w:kern w:val="0"/>
                <w:sz w:val="24"/>
                <w:szCs w:val="24"/>
                <w:highlight w:val="none"/>
                <w:lang w:val="en-US" w:eastAsia="zh-CN" w:bidi="ar-SA"/>
              </w:rPr>
              <w:t>t/a，废润滑油油桶0.0</w:t>
            </w:r>
            <w:r>
              <w:rPr>
                <w:rFonts w:hint="eastAsia" w:ascii="Times New Roman" w:hAnsi="Times New Roman" w:eastAsia="宋体" w:cs="Times New Roman"/>
                <w:color w:val="auto"/>
                <w:kern w:val="0"/>
                <w:sz w:val="24"/>
                <w:szCs w:val="24"/>
                <w:highlight w:val="none"/>
                <w:lang w:val="en-US" w:eastAsia="zh-CN" w:bidi="ar-SA"/>
              </w:rPr>
              <w:t>05</w:t>
            </w:r>
            <w:r>
              <w:rPr>
                <w:rFonts w:hint="default" w:ascii="Times New Roman" w:hAnsi="Times New Roman" w:eastAsia="宋体" w:cs="Times New Roman"/>
                <w:color w:val="auto"/>
                <w:kern w:val="0"/>
                <w:sz w:val="24"/>
                <w:szCs w:val="24"/>
                <w:highlight w:val="none"/>
                <w:lang w:val="en-US" w:eastAsia="zh-CN" w:bidi="ar-SA"/>
              </w:rPr>
              <w:t>t/a</w:t>
            </w:r>
            <w:r>
              <w:rPr>
                <w:rFonts w:hint="eastAsia" w:ascii="Times New Roman" w:hAnsi="Times New Roman" w:eastAsia="宋体" w:cs="Times New Roman"/>
                <w:color w:val="auto"/>
                <w:kern w:val="0"/>
                <w:sz w:val="24"/>
                <w:szCs w:val="24"/>
                <w:highlight w:val="none"/>
                <w:lang w:val="en-US" w:eastAsia="zh-CN" w:bidi="ar-SA"/>
              </w:rPr>
              <w:t>，含</w:t>
            </w:r>
            <w:r>
              <w:rPr>
                <w:rFonts w:hint="default" w:ascii="Times New Roman" w:hAnsi="Times New Roman" w:eastAsia="宋体" w:cs="Times New Roman"/>
                <w:color w:val="auto"/>
                <w:kern w:val="0"/>
                <w:sz w:val="24"/>
                <w:szCs w:val="24"/>
                <w:highlight w:val="none"/>
                <w:lang w:val="en-US" w:eastAsia="zh-CN" w:bidi="ar-SA"/>
              </w:rPr>
              <w:t>油废抹布</w:t>
            </w:r>
            <w:r>
              <w:rPr>
                <w:rFonts w:hint="eastAsia" w:ascii="Times New Roman" w:hAnsi="Times New Roman" w:eastAsia="宋体" w:cs="Times New Roman"/>
                <w:color w:val="auto"/>
                <w:kern w:val="0"/>
                <w:sz w:val="24"/>
                <w:szCs w:val="24"/>
                <w:highlight w:val="none"/>
                <w:lang w:val="en-US" w:eastAsia="zh-CN" w:bidi="ar-SA"/>
              </w:rPr>
              <w:t>和</w:t>
            </w:r>
            <w:r>
              <w:rPr>
                <w:rFonts w:hint="default" w:ascii="Times New Roman" w:hAnsi="Times New Roman" w:eastAsia="宋体" w:cs="Times New Roman"/>
                <w:color w:val="auto"/>
                <w:kern w:val="0"/>
                <w:sz w:val="24"/>
                <w:szCs w:val="24"/>
                <w:highlight w:val="none"/>
                <w:lang w:val="en-US" w:eastAsia="zh-CN" w:bidi="ar-SA"/>
              </w:rPr>
              <w:t>手套约0.0</w:t>
            </w:r>
            <w:r>
              <w:rPr>
                <w:rFonts w:hint="eastAsia" w:ascii="Times New Roman" w:hAnsi="Times New Roman" w:eastAsia="宋体" w:cs="Times New Roman"/>
                <w:color w:val="auto"/>
                <w:kern w:val="0"/>
                <w:sz w:val="24"/>
                <w:szCs w:val="24"/>
                <w:highlight w:val="none"/>
                <w:lang w:val="en-US" w:eastAsia="zh-CN" w:bidi="ar-SA"/>
              </w:rPr>
              <w:t>05</w:t>
            </w:r>
            <w:r>
              <w:rPr>
                <w:rFonts w:hint="default" w:ascii="Times New Roman" w:hAnsi="Times New Roman" w:eastAsia="宋体" w:cs="Times New Roman"/>
                <w:color w:val="auto"/>
                <w:kern w:val="0"/>
                <w:sz w:val="24"/>
                <w:szCs w:val="24"/>
                <w:highlight w:val="none"/>
                <w:lang w:val="en-US" w:eastAsia="zh-CN" w:bidi="ar-SA"/>
              </w:rPr>
              <w:t>t/a。</w:t>
            </w:r>
            <w:r>
              <w:rPr>
                <w:rFonts w:hint="default" w:ascii="Times New Roman" w:hAnsi="Times New Roman" w:eastAsia="宋体" w:cs="Times New Roman"/>
                <w:color w:val="auto"/>
                <w:szCs w:val="24"/>
                <w:highlight w:val="none"/>
                <w:lang w:val="en-US" w:eastAsia="zh-CN"/>
              </w:rPr>
              <w:t>暂存在</w:t>
            </w:r>
            <w:r>
              <w:rPr>
                <w:rFonts w:hint="eastAsia" w:cs="Times New Roman"/>
                <w:color w:val="auto"/>
                <w:szCs w:val="24"/>
                <w:highlight w:val="none"/>
                <w:lang w:val="en-US" w:eastAsia="zh-CN"/>
              </w:rPr>
              <w:t>危险废物贮存库</w:t>
            </w:r>
            <w:r>
              <w:rPr>
                <w:rFonts w:hint="default" w:ascii="Times New Roman" w:hAnsi="Times New Roman" w:eastAsia="宋体" w:cs="Times New Roman"/>
                <w:color w:val="auto"/>
                <w:szCs w:val="24"/>
                <w:highlight w:val="none"/>
                <w:lang w:val="en-US" w:eastAsia="zh-CN"/>
              </w:rPr>
              <w:t>，委托有资质公司处理</w:t>
            </w:r>
            <w:r>
              <w:rPr>
                <w:rFonts w:hint="eastAsia" w:ascii="Times New Roman" w:hAnsi="Times New Roman" w:eastAsia="宋体" w:cs="Times New Roman"/>
                <w:color w:val="auto"/>
                <w:szCs w:val="24"/>
                <w:highlight w:val="none"/>
                <w:lang w:val="en-US" w:eastAsia="zh-CN"/>
              </w:rPr>
              <w:t>。</w:t>
            </w:r>
          </w:p>
          <w:p w14:paraId="25E4F87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szCs w:val="24"/>
                <w:highlight w:val="none"/>
              </w:rPr>
              <w:t>综上所述，本项目固体废物处置率100%</w:t>
            </w:r>
            <w:r>
              <w:rPr>
                <w:rFonts w:hint="default" w:ascii="Times New Roman" w:hAnsi="Times New Roman" w:eastAsia="宋体" w:cs="Times New Roman"/>
                <w:color w:val="auto"/>
                <w:kern w:val="2"/>
                <w:szCs w:val="24"/>
                <w:highlight w:val="none"/>
              </w:rPr>
              <w:t>。</w:t>
            </w:r>
          </w:p>
          <w:p w14:paraId="35A3177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（二）、环境管理要求</w:t>
            </w:r>
          </w:p>
          <w:p w14:paraId="42CC3FC0">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szCs w:val="22"/>
                <w:highlight w:val="none"/>
                <w:u w:val="none" w:color="auto"/>
              </w:rPr>
            </w:pPr>
            <w:r>
              <w:rPr>
                <w:rFonts w:hint="default" w:ascii="Times New Roman" w:hAnsi="Times New Roman" w:cs="Times New Roman"/>
                <w:color w:val="auto"/>
                <w:sz w:val="24"/>
                <w:szCs w:val="22"/>
                <w:highlight w:val="none"/>
                <w:u w:val="none" w:color="auto"/>
              </w:rPr>
              <w:t>（</w:t>
            </w:r>
            <w:r>
              <w:rPr>
                <w:rFonts w:hint="default" w:ascii="Times New Roman" w:hAnsi="Times New Roman" w:cs="Times New Roman"/>
                <w:color w:val="auto"/>
                <w:sz w:val="24"/>
                <w:szCs w:val="22"/>
                <w:highlight w:val="none"/>
                <w:u w:val="none" w:color="auto"/>
                <w:lang w:val="en-US" w:eastAsia="zh-CN"/>
              </w:rPr>
              <w:t>1</w:t>
            </w:r>
            <w:r>
              <w:rPr>
                <w:rFonts w:hint="default" w:ascii="Times New Roman" w:hAnsi="Times New Roman" w:cs="Times New Roman"/>
                <w:color w:val="auto"/>
                <w:sz w:val="24"/>
                <w:szCs w:val="22"/>
                <w:highlight w:val="none"/>
                <w:u w:val="none" w:color="auto"/>
              </w:rPr>
              <w:t>）一般工业固体废物</w:t>
            </w:r>
            <w:r>
              <w:rPr>
                <w:rFonts w:hint="default" w:ascii="Times New Roman" w:hAnsi="Times New Roman" w:cs="Times New Roman"/>
                <w:color w:val="auto"/>
                <w:sz w:val="24"/>
                <w:szCs w:val="22"/>
                <w:highlight w:val="none"/>
                <w:u w:val="none" w:color="auto"/>
                <w:lang w:val="en-US" w:eastAsia="zh-CN"/>
              </w:rPr>
              <w:t>的</w:t>
            </w:r>
            <w:r>
              <w:rPr>
                <w:rFonts w:hint="default" w:ascii="Times New Roman" w:hAnsi="Times New Roman" w:cs="Times New Roman"/>
                <w:color w:val="auto"/>
                <w:sz w:val="24"/>
                <w:szCs w:val="22"/>
                <w:highlight w:val="none"/>
                <w:u w:val="none" w:color="auto"/>
              </w:rPr>
              <w:t>环境管理</w:t>
            </w:r>
          </w:p>
          <w:p w14:paraId="0CC454B8">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szCs w:val="22"/>
                <w:highlight w:val="none"/>
                <w:u w:val="none" w:color="auto"/>
              </w:rPr>
            </w:pPr>
            <w:r>
              <w:rPr>
                <w:rFonts w:hint="default" w:ascii="Times New Roman" w:hAnsi="Times New Roman" w:cs="Times New Roman"/>
                <w:color w:val="auto"/>
                <w:sz w:val="24"/>
                <w:szCs w:val="22"/>
                <w:highlight w:val="none"/>
                <w:u w:val="none" w:color="auto"/>
              </w:rPr>
              <w:fldChar w:fldCharType="begin"/>
            </w:r>
            <w:r>
              <w:rPr>
                <w:rFonts w:hint="default" w:ascii="Times New Roman" w:hAnsi="Times New Roman" w:cs="Times New Roman"/>
                <w:color w:val="auto"/>
                <w:sz w:val="24"/>
                <w:szCs w:val="22"/>
                <w:highlight w:val="none"/>
                <w:u w:val="none" w:color="auto"/>
              </w:rPr>
              <w:instrText xml:space="preserve">= 1 \* GB3</w:instrText>
            </w:r>
            <w:r>
              <w:rPr>
                <w:rFonts w:hint="default" w:ascii="Times New Roman" w:hAnsi="Times New Roman" w:cs="Times New Roman"/>
                <w:color w:val="auto"/>
                <w:sz w:val="24"/>
                <w:szCs w:val="22"/>
                <w:highlight w:val="none"/>
                <w:u w:val="none" w:color="auto"/>
              </w:rPr>
              <w:fldChar w:fldCharType="separate"/>
            </w:r>
            <w:r>
              <w:rPr>
                <w:rFonts w:hint="default" w:ascii="Times New Roman" w:hAnsi="Times New Roman" w:cs="Times New Roman"/>
                <w:color w:val="auto"/>
                <w:sz w:val="24"/>
                <w:szCs w:val="22"/>
                <w:highlight w:val="none"/>
                <w:u w:val="none" w:color="auto"/>
              </w:rPr>
              <w:t>①</w:t>
            </w:r>
            <w:r>
              <w:rPr>
                <w:rFonts w:hint="default" w:ascii="Times New Roman" w:hAnsi="Times New Roman" w:cs="Times New Roman"/>
                <w:color w:val="auto"/>
                <w:sz w:val="24"/>
                <w:szCs w:val="22"/>
                <w:highlight w:val="none"/>
                <w:u w:val="none" w:color="auto"/>
              </w:rPr>
              <w:fldChar w:fldCharType="end"/>
            </w:r>
            <w:r>
              <w:rPr>
                <w:rFonts w:hint="default" w:ascii="Times New Roman" w:hAnsi="Times New Roman" w:cs="Times New Roman"/>
                <w:color w:val="auto"/>
                <w:sz w:val="24"/>
                <w:szCs w:val="22"/>
                <w:highlight w:val="none"/>
                <w:u w:val="none" w:color="auto"/>
              </w:rPr>
              <w:t>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5A71ADF5">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szCs w:val="22"/>
                <w:highlight w:val="none"/>
                <w:u w:val="none" w:color="auto"/>
              </w:rPr>
            </w:pPr>
            <w:r>
              <w:rPr>
                <w:rFonts w:hint="default" w:ascii="Times New Roman" w:hAnsi="Times New Roman" w:cs="Times New Roman"/>
                <w:color w:val="auto"/>
                <w:sz w:val="24"/>
                <w:szCs w:val="22"/>
                <w:highlight w:val="none"/>
                <w:u w:val="none" w:color="auto"/>
              </w:rPr>
              <w:fldChar w:fldCharType="begin"/>
            </w:r>
            <w:r>
              <w:rPr>
                <w:rFonts w:hint="default" w:ascii="Times New Roman" w:hAnsi="Times New Roman" w:cs="Times New Roman"/>
                <w:color w:val="auto"/>
                <w:sz w:val="24"/>
                <w:szCs w:val="22"/>
                <w:highlight w:val="none"/>
                <w:u w:val="none" w:color="auto"/>
              </w:rPr>
              <w:instrText xml:space="preserve">= 2 \* GB3</w:instrText>
            </w:r>
            <w:r>
              <w:rPr>
                <w:rFonts w:hint="default" w:ascii="Times New Roman" w:hAnsi="Times New Roman" w:cs="Times New Roman"/>
                <w:color w:val="auto"/>
                <w:sz w:val="24"/>
                <w:szCs w:val="22"/>
                <w:highlight w:val="none"/>
                <w:u w:val="none" w:color="auto"/>
              </w:rPr>
              <w:fldChar w:fldCharType="separate"/>
            </w:r>
            <w:r>
              <w:rPr>
                <w:rFonts w:hint="default" w:ascii="Times New Roman" w:hAnsi="Times New Roman" w:cs="Times New Roman"/>
                <w:color w:val="auto"/>
                <w:sz w:val="24"/>
                <w:szCs w:val="22"/>
                <w:highlight w:val="none"/>
                <w:u w:val="none" w:color="auto"/>
              </w:rPr>
              <w:t>②</w:t>
            </w:r>
            <w:r>
              <w:rPr>
                <w:rFonts w:hint="default" w:ascii="Times New Roman" w:hAnsi="Times New Roman" w:cs="Times New Roman"/>
                <w:color w:val="auto"/>
                <w:sz w:val="24"/>
                <w:szCs w:val="22"/>
                <w:highlight w:val="none"/>
                <w:u w:val="none" w:color="auto"/>
              </w:rPr>
              <w:fldChar w:fldCharType="end"/>
            </w:r>
            <w:r>
              <w:rPr>
                <w:rFonts w:hint="default" w:ascii="Times New Roman" w:hAnsi="Times New Roman" w:cs="Times New Roman"/>
                <w:color w:val="auto"/>
                <w:sz w:val="24"/>
                <w:szCs w:val="22"/>
                <w:highlight w:val="none"/>
                <w:u w:val="none" w:color="auto"/>
              </w:rPr>
              <w:t>禁止向生活垃圾收集设施中投放工业固体废物。</w:t>
            </w:r>
          </w:p>
          <w:p w14:paraId="4811AB59">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2"/>
                <w:highlight w:val="none"/>
                <w:u w:val="none" w:color="auto"/>
              </w:rPr>
            </w:pPr>
            <w:r>
              <w:rPr>
                <w:rFonts w:hint="default" w:ascii="Times New Roman" w:hAnsi="Times New Roman" w:cs="Times New Roman"/>
                <w:color w:val="auto"/>
                <w:sz w:val="24"/>
                <w:szCs w:val="22"/>
                <w:highlight w:val="none"/>
                <w:u w:val="none" w:color="auto"/>
              </w:rPr>
              <w:fldChar w:fldCharType="begin"/>
            </w:r>
            <w:r>
              <w:rPr>
                <w:rFonts w:hint="default" w:ascii="Times New Roman" w:hAnsi="Times New Roman" w:cs="Times New Roman"/>
                <w:color w:val="auto"/>
                <w:sz w:val="24"/>
                <w:szCs w:val="22"/>
                <w:highlight w:val="none"/>
                <w:u w:val="none" w:color="auto"/>
              </w:rPr>
              <w:instrText xml:space="preserve">= 3 \* GB3</w:instrText>
            </w:r>
            <w:r>
              <w:rPr>
                <w:rFonts w:hint="default" w:ascii="Times New Roman" w:hAnsi="Times New Roman" w:cs="Times New Roman"/>
                <w:color w:val="auto"/>
                <w:sz w:val="24"/>
                <w:szCs w:val="22"/>
                <w:highlight w:val="none"/>
                <w:u w:val="none" w:color="auto"/>
              </w:rPr>
              <w:fldChar w:fldCharType="separate"/>
            </w:r>
            <w:r>
              <w:rPr>
                <w:rFonts w:hint="default" w:ascii="Times New Roman" w:hAnsi="Times New Roman" w:cs="Times New Roman"/>
                <w:color w:val="auto"/>
                <w:sz w:val="24"/>
                <w:szCs w:val="22"/>
                <w:highlight w:val="none"/>
                <w:u w:val="none" w:color="auto"/>
              </w:rPr>
              <w:t>③</w:t>
            </w:r>
            <w:r>
              <w:rPr>
                <w:rFonts w:hint="default" w:ascii="Times New Roman" w:hAnsi="Times New Roman" w:cs="Times New Roman"/>
                <w:color w:val="auto"/>
                <w:sz w:val="24"/>
                <w:szCs w:val="22"/>
                <w:highlight w:val="none"/>
                <w:u w:val="none" w:color="auto"/>
              </w:rPr>
              <w:fldChar w:fldCharType="end"/>
            </w:r>
            <w:r>
              <w:rPr>
                <w:rFonts w:hint="default" w:ascii="Times New Roman" w:hAnsi="Times New Roman" w:cs="Times New Roman"/>
                <w:color w:val="auto"/>
                <w:sz w:val="24"/>
                <w:szCs w:val="22"/>
                <w:highlight w:val="none"/>
                <w:u w:val="none" w:color="auto"/>
              </w:rPr>
              <w:t>产生工业固体废物的单位委托他人运输、利用、处置工业固体废物的，应当对受托方的主体资格和技术能力进行核实，依法签订书面合同，在合同中约定污染防治要求。受托方运输、利用、处置工业固体废物，应当依照有关法</w:t>
            </w:r>
            <w:r>
              <w:rPr>
                <w:rFonts w:hint="default" w:ascii="Times New Roman" w:hAnsi="Times New Roman" w:eastAsia="宋体" w:cs="Times New Roman"/>
                <w:color w:val="auto"/>
                <w:sz w:val="24"/>
                <w:szCs w:val="22"/>
                <w:highlight w:val="none"/>
                <w:u w:val="none" w:color="auto"/>
              </w:rPr>
              <w:t>律法规的规定和合同约定履行污染防治要求，并将运输、利用、处置情况告知产生工业固体废物的单位。</w:t>
            </w:r>
          </w:p>
          <w:p w14:paraId="5DEC57CB">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2"/>
                <w:highlight w:val="none"/>
                <w:u w:val="none" w:color="auto"/>
              </w:rPr>
            </w:pPr>
            <w:r>
              <w:rPr>
                <w:rFonts w:hint="default" w:ascii="Times New Roman" w:hAnsi="Times New Roman" w:eastAsia="宋体" w:cs="Times New Roman"/>
                <w:color w:val="auto"/>
                <w:sz w:val="24"/>
                <w:szCs w:val="22"/>
                <w:highlight w:val="none"/>
                <w:u w:val="none" w:color="auto"/>
              </w:rPr>
              <w:t>④</w:t>
            </w:r>
            <w:r>
              <w:rPr>
                <w:rFonts w:hint="default" w:ascii="Times New Roman" w:hAnsi="Times New Roman" w:eastAsia="宋体" w:cs="Times New Roman"/>
                <w:color w:val="auto"/>
                <w:sz w:val="24"/>
                <w:szCs w:val="24"/>
                <w:highlight w:val="none"/>
                <w:u w:val="none" w:color="auto"/>
              </w:rPr>
              <w:t>未接触试剂的</w:t>
            </w:r>
            <w:r>
              <w:rPr>
                <w:rFonts w:hint="eastAsia" w:ascii="Times New Roman" w:hAnsi="Times New Roman" w:eastAsia="宋体" w:cs="Times New Roman"/>
                <w:color w:val="auto"/>
                <w:sz w:val="24"/>
                <w:szCs w:val="24"/>
                <w:highlight w:val="none"/>
                <w:u w:val="none" w:color="auto"/>
                <w:lang w:val="en-US" w:eastAsia="zh-CN"/>
              </w:rPr>
              <w:t>废土样</w:t>
            </w:r>
            <w:r>
              <w:rPr>
                <w:rFonts w:hint="default" w:ascii="Times New Roman" w:hAnsi="Times New Roman" w:eastAsia="宋体" w:cs="Times New Roman"/>
                <w:color w:val="auto"/>
                <w:sz w:val="24"/>
                <w:szCs w:val="24"/>
                <w:highlight w:val="none"/>
                <w:u w:val="none" w:color="auto"/>
              </w:rPr>
              <w:t>暂存于按照防渗漏、防雨淋、防扬尘等环境保护要求建设的一般工业固体废物暂存区内，</w:t>
            </w:r>
            <w:r>
              <w:rPr>
                <w:rFonts w:hint="default" w:ascii="Times New Roman" w:hAnsi="Times New Roman" w:eastAsia="宋体" w:cs="Times New Roman"/>
                <w:color w:val="auto"/>
                <w:sz w:val="24"/>
                <w:szCs w:val="24"/>
                <w:highlight w:val="none"/>
                <w:u w:val="none" w:color="auto"/>
                <w:lang w:val="en-US" w:eastAsia="zh-CN"/>
              </w:rPr>
              <w:t>采用袋装暂存，</w:t>
            </w:r>
            <w:r>
              <w:rPr>
                <w:rFonts w:hint="default" w:ascii="Times New Roman" w:hAnsi="Times New Roman" w:eastAsia="宋体" w:cs="Times New Roman"/>
                <w:color w:val="auto"/>
                <w:sz w:val="24"/>
                <w:szCs w:val="24"/>
                <w:highlight w:val="none"/>
                <w:u w:val="none" w:color="auto"/>
              </w:rPr>
              <w:t>按照一般工业固体废物处置</w:t>
            </w:r>
            <w:r>
              <w:rPr>
                <w:rFonts w:hint="default" w:ascii="Times New Roman" w:hAnsi="Times New Roman" w:eastAsia="宋体" w:cs="Times New Roman"/>
                <w:color w:val="auto"/>
                <w:sz w:val="24"/>
                <w:szCs w:val="24"/>
                <w:highlight w:val="none"/>
                <w:u w:val="none" w:color="auto"/>
                <w:lang w:eastAsia="zh-CN"/>
              </w:rPr>
              <w:t>，交由市政部门处置</w:t>
            </w:r>
            <w:r>
              <w:rPr>
                <w:rFonts w:hint="default" w:ascii="Times New Roman" w:hAnsi="Times New Roman" w:eastAsia="宋体" w:cs="Times New Roman"/>
                <w:color w:val="auto"/>
                <w:sz w:val="24"/>
                <w:szCs w:val="24"/>
                <w:highlight w:val="none"/>
                <w:u w:val="none" w:color="auto"/>
              </w:rPr>
              <w:t>。</w:t>
            </w:r>
          </w:p>
          <w:p w14:paraId="47B327B6">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sz w:val="24"/>
                <w:szCs w:val="22"/>
                <w:highlight w:val="none"/>
                <w:u w:val="none" w:color="auto"/>
              </w:rPr>
              <w:t>⑤一般固体废物储存处按《环境保护图形标志》（GB15562-1995）的相关规定要求设置环境保护图形标志。同时，一般固体废物储存处按《一般工业固体废物贮存和填埋污染控制标准》（GB18599-2020）要求的相关规定要求，采取相应的防渗漏措施。</w:t>
            </w:r>
          </w:p>
          <w:p w14:paraId="7E57CFA5">
            <w:pPr>
              <w:pStyle w:val="31"/>
              <w:keepNext w:val="0"/>
              <w:keepLines w:val="0"/>
              <w:suppressLineNumbers w:val="0"/>
              <w:spacing w:before="0" w:beforeAutospacing="0" w:afterAutospacing="0"/>
              <w:ind w:left="0" w:right="0"/>
              <w:rPr>
                <w:rFonts w:hint="default" w:eastAsia="宋体"/>
                <w:color w:val="auto"/>
                <w:highlight w:val="none"/>
                <w:lang w:val="en-US" w:eastAsia="zh-CN"/>
              </w:rPr>
            </w:pPr>
            <w:r>
              <w:rPr>
                <w:rFonts w:hint="eastAsia" w:cs="Times New Roman"/>
                <w:color w:val="auto"/>
                <w:sz w:val="24"/>
                <w:szCs w:val="22"/>
                <w:highlight w:val="none"/>
                <w:u w:val="none" w:color="auto"/>
                <w:lang w:eastAsia="zh-CN"/>
              </w:rPr>
              <w:t>（</w:t>
            </w:r>
            <w:r>
              <w:rPr>
                <w:rFonts w:hint="eastAsia" w:cs="Times New Roman"/>
                <w:color w:val="auto"/>
                <w:sz w:val="24"/>
                <w:szCs w:val="22"/>
                <w:highlight w:val="none"/>
                <w:u w:val="none" w:color="auto"/>
                <w:lang w:val="en-US" w:eastAsia="zh-CN"/>
              </w:rPr>
              <w:t>2）危险废物环境管理要求</w:t>
            </w:r>
          </w:p>
          <w:p w14:paraId="7E09693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建设项目危险废物采用专用的车辆，密闭运输，严格禁止抛酒滴漏，杜绝在运输过程中造成环境的二次污染。在危险废物的运输中执行《危险废物转移联单管理办法》中有关的规定和要求。根据《危险废物贮存污染控制标准》(GB18597-2023)要求，企业不属于危险废物重点监管单位，因此仅需设置贮存库。本次设置一间危险废物贮存库，项目危险废物的最大储存能力为0.</w:t>
            </w:r>
            <w:r>
              <w:rPr>
                <w:rFonts w:hint="default" w:ascii="Times New Roman" w:hAnsi="Times New Roman" w:cs="Times New Roman"/>
                <w:color w:val="auto"/>
                <w:szCs w:val="24"/>
                <w:highlight w:val="none"/>
                <w:lang w:val="en-US" w:eastAsia="zh-CN"/>
              </w:rPr>
              <w:t>1</w:t>
            </w:r>
            <w:r>
              <w:rPr>
                <w:rFonts w:hint="default" w:ascii="Times New Roman" w:hAnsi="Times New Roman" w:eastAsia="宋体" w:cs="Times New Roman"/>
                <w:color w:val="auto"/>
                <w:szCs w:val="24"/>
                <w:highlight w:val="none"/>
              </w:rPr>
              <w:t>t，能够满足项目储存危废需求。根据《危险废物贮存污染控制标准》(GB18597-2023)中贮存库污染控制要求，“贮存易产生粉尘、VOCs、酸雾、有毒有害大气污染物和刺激性气味气体的危险废物贮存库，应设置气体收集装置和气体净化设施”。本项目危险废物为含油手套和抹布、废润滑油及废润滑油油桶</w:t>
            </w:r>
            <w:r>
              <w:rPr>
                <w:rFonts w:hint="default" w:ascii="Times New Roman" w:hAnsi="Times New Roman" w:cs="Times New Roman"/>
                <w:color w:val="auto"/>
                <w:szCs w:val="24"/>
                <w:highlight w:val="none"/>
                <w:lang w:eastAsia="zh-CN"/>
              </w:rPr>
              <w:t>。</w:t>
            </w:r>
            <w:r>
              <w:rPr>
                <w:rFonts w:hint="default" w:ascii="Times New Roman" w:hAnsi="Times New Roman" w:eastAsia="宋体" w:cs="Times New Roman"/>
                <w:color w:val="auto"/>
                <w:szCs w:val="24"/>
                <w:highlight w:val="none"/>
              </w:rPr>
              <w:t>由于废润滑油全部盛装于密封完好油桶内，拧紧密封；含油手套和抹布统一存放在密封完好塑料桶内；废润滑油油桶倒扣密闭存放，全程无漏天、敞口贮存</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危险废物</w:t>
            </w:r>
            <w:r>
              <w:rPr>
                <w:rFonts w:hint="default" w:ascii="Times New Roman" w:hAnsi="Times New Roman" w:eastAsia="宋体" w:cs="Times New Roman"/>
                <w:color w:val="auto"/>
                <w:szCs w:val="24"/>
                <w:highlight w:val="none"/>
              </w:rPr>
              <w:t>本身不属于易挥发性物质，项目危险废物分类密闭储存于密封桶内，贮存于危险废物贮存库，故项目危险废物不易产生粉尘、VOCs、酸雾、有毒有害废气、</w:t>
            </w:r>
            <w:r>
              <w:rPr>
                <w:rFonts w:hint="default" w:ascii="Times New Roman" w:hAnsi="Times New Roman" w:cs="Times New Roman"/>
                <w:color w:val="auto"/>
                <w:szCs w:val="24"/>
                <w:highlight w:val="none"/>
                <w:lang w:eastAsia="zh-CN"/>
              </w:rPr>
              <w:t>刺激性气味</w:t>
            </w:r>
            <w:r>
              <w:rPr>
                <w:rFonts w:hint="default" w:ascii="Times New Roman" w:hAnsi="Times New Roman" w:cs="Times New Roman"/>
                <w:color w:val="auto"/>
                <w:szCs w:val="24"/>
                <w:highlight w:val="none"/>
                <w:lang w:val="en-US" w:eastAsia="zh-CN"/>
              </w:rPr>
              <w:t>等</w:t>
            </w:r>
            <w:r>
              <w:rPr>
                <w:rFonts w:hint="default" w:ascii="Times New Roman" w:hAnsi="Times New Roman" w:eastAsia="宋体" w:cs="Times New Roman"/>
                <w:color w:val="auto"/>
                <w:szCs w:val="24"/>
                <w:highlight w:val="none"/>
              </w:rPr>
              <w:t>，无需设置气体收集装置和气体净化设施。</w:t>
            </w:r>
          </w:p>
          <w:p w14:paraId="3B50BA67">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按照《危险废物收集、贮存、运输技术规范》(HJ2025-2012)以及《危险废物贮存污染控制标准》(GB18597-2023)中的相关要求进行建设，并进行规范化管理。根据危险废物产生量、贮存期限等分析，项目危险废物贮存场所的能力能够满足贮存要求，危险废物贮存库设置合理。</w:t>
            </w:r>
          </w:p>
          <w:p w14:paraId="043A6EE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贮存设施污染控制要求：</w:t>
            </w:r>
          </w:p>
          <w:p w14:paraId="766DEC2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1）一般规定</w:t>
            </w:r>
          </w:p>
          <w:p w14:paraId="2C0C8208">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①贮存设施应根据危险废物的形态、物理化学性质、包装形式和污染物迁移途径，采取必要的防风、防晒、防雨、防漏、防渗、防腐以及其他环境污染防治措施，不应露天堆放危险废物。</w:t>
            </w:r>
          </w:p>
          <w:p w14:paraId="006E158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②贮存设施应根据危险废物的类别、数量、形态、物理化学性质和污染防治等要求设置必要的贮存分区，避免不相容的危险废物接触、混合。</w:t>
            </w:r>
          </w:p>
          <w:p w14:paraId="5473F858">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③贮存设施或贮存分区内地面、墙面裙脚、堵截泄漏的围堰、接触危险废物的隔板和墙体等应采用坚固的材料建造，表面无裂缝。</w:t>
            </w:r>
          </w:p>
          <w:p w14:paraId="27345FE4">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auto"/>
                <w:szCs w:val="24"/>
                <w:highlight w:val="none"/>
                <w:vertAlign w:val="superscript"/>
              </w:rPr>
              <w:t>-7</w:t>
            </w:r>
            <w:r>
              <w:rPr>
                <w:rFonts w:hint="default" w:ascii="Times New Roman" w:hAnsi="Times New Roman" w:eastAsia="宋体" w:cs="Times New Roman"/>
                <w:color w:val="auto"/>
                <w:szCs w:val="24"/>
                <w:highlight w:val="none"/>
              </w:rPr>
              <w:t>cm/s），或至少2mm厚高密度聚乙烯膜等人工防渗材料（渗透系数不大于10</w:t>
            </w:r>
            <w:r>
              <w:rPr>
                <w:rFonts w:hint="default" w:ascii="Times New Roman" w:hAnsi="Times New Roman" w:eastAsia="宋体" w:cs="Times New Roman"/>
                <w:color w:val="auto"/>
                <w:szCs w:val="24"/>
                <w:highlight w:val="none"/>
                <w:vertAlign w:val="superscript"/>
              </w:rPr>
              <w:t>-10</w:t>
            </w:r>
            <w:r>
              <w:rPr>
                <w:rFonts w:hint="default" w:ascii="Times New Roman" w:hAnsi="Times New Roman" w:eastAsia="宋体" w:cs="Times New Roman"/>
                <w:color w:val="auto"/>
                <w:szCs w:val="24"/>
                <w:highlight w:val="none"/>
              </w:rPr>
              <w:t>cm/s），或其他防渗性能等效的材料。</w:t>
            </w:r>
          </w:p>
          <w:p w14:paraId="5E19E9B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容器和包装物污染控制要求：</w:t>
            </w:r>
          </w:p>
          <w:p w14:paraId="5859A5F3">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①容器和包装物材质、内衬应与盛装的危险废物相容。</w:t>
            </w:r>
          </w:p>
          <w:p w14:paraId="501986F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②针对不同类别、形态、物理化学性质的危险废物，其容器和包装物应满足相应的防渗、防漏、防腐和强度等要求。</w:t>
            </w:r>
          </w:p>
          <w:p w14:paraId="7C328CD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③硬质容器和包装物及其支护结构堆叠码放时不应有明显变形，无破损泄漏。</w:t>
            </w:r>
          </w:p>
          <w:p w14:paraId="7C5BFCC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④柔性容器和包装物堆叠码放时应封口严密，无破损泄漏。</w:t>
            </w:r>
          </w:p>
          <w:p w14:paraId="2D5877A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⑤使用容器盛装液态、半固态危险废物时，容器内部应留有适当的空间，以适应因温度变化等可能引发的收缩和膨胀，防止其导致容器渗漏或永久变形。</w:t>
            </w:r>
          </w:p>
          <w:p w14:paraId="3E9F0A73">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⑥容器和包装物外表面应保持清洁。</w:t>
            </w:r>
          </w:p>
          <w:p w14:paraId="484AF80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贮存过程污染控制要求：</w:t>
            </w:r>
          </w:p>
          <w:p w14:paraId="581D4C4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1）一般规定</w:t>
            </w:r>
          </w:p>
          <w:p w14:paraId="68EEA9D6">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①在常温常压下不易水解、不易挥发的固态危险废物可分类堆放贮存，其他固态危险废物应装入容器或包装物内贮存。</w:t>
            </w:r>
          </w:p>
          <w:p w14:paraId="4CD0AFA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②液态危险废物应装入容器内贮存，或直接采用贮存池、贮存罐区贮存。</w:t>
            </w:r>
          </w:p>
          <w:p w14:paraId="6342144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③半固态危险废物应装入容器或包装袋内贮存，或直接采用贮存池贮存。</w:t>
            </w:r>
          </w:p>
          <w:p w14:paraId="03997AD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④具有热塑性的危险废物应装入容器或包装袋内进行贮存。</w:t>
            </w:r>
          </w:p>
          <w:p w14:paraId="393C35B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⑤易产生粉尘、VOCs、酸雾、有毒有害大气污染物和刺激性气味气体的危险废物应装入闭口容器或包装物内贮存。</w:t>
            </w:r>
          </w:p>
          <w:p w14:paraId="462F6F2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⑥危险废物贮存过程中易产生粉尘等无组织排放的，应采取抑尘等有效措施。</w:t>
            </w:r>
          </w:p>
          <w:p w14:paraId="4FD147B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2）贮存设施运行环境管理要求</w:t>
            </w:r>
          </w:p>
          <w:p w14:paraId="7133CAC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①危险废物存入贮存设施前应对危险废物类别和特性与危险废物标签等危险废物识别标志的一致性进行核验，不一致的或类别、特性不明的不应存入。</w:t>
            </w:r>
          </w:p>
          <w:p w14:paraId="23B018E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②应定期检查危险废物的贮存状况，及时清理贮存设施地面，更换破损泄漏的危险废物贮存容器和包装物，保证堆存危险废物的防雨、防风、防扬尘等设施功能完好。</w:t>
            </w:r>
          </w:p>
          <w:p w14:paraId="121FA72B">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③作业设备及车辆等结束作业离开贮存设施时，应对其残留的危险废物进行清理，清理的废物或清洗废水应收集处理。</w:t>
            </w:r>
          </w:p>
          <w:p w14:paraId="01DA090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④贮存设施运行期间，应按国家有关标准和规定建立危险废物管理台账并保存。</w:t>
            </w:r>
          </w:p>
          <w:p w14:paraId="3B31B76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⑤贮存设施所有者或运营者应建立贮存设施环境管理制度、管理人员岗位职责制度、设施运行操作制度、人员岗位培训制度等。</w:t>
            </w:r>
          </w:p>
          <w:p w14:paraId="14666D0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⑥贮存设施所有者或运营者应依据国家土壤和地下水污染防治的有关规定，结合贮存设施特点建立土壤和地下水污染隐患排查制度，并定期开展隐患排查；发现隐患应及时采取措施消除隐患，并建立档案。</w:t>
            </w:r>
          </w:p>
          <w:p w14:paraId="0D334D5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⑦贮存设施所有者或运营者应建立贮存设施全部档案，包括设计、施工、验收、运行、监测和环境应急等，应按国家有关档案管理的法律法规进行整理和归档。</w:t>
            </w:r>
          </w:p>
          <w:p w14:paraId="50B098A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3）危险废物贮存库环境管理要求</w:t>
            </w:r>
          </w:p>
          <w:p w14:paraId="4C1BE94B">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①危险废物存入贮存设施前应对危险废物类别和特性与危险废物标签等危险废物识别标志的一致性进行核验，不一致的或类别、特性不明的不应存入。</w:t>
            </w:r>
          </w:p>
          <w:p w14:paraId="7516DB46">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②应定期检查危险废物的贮存状况，及时清理贮存设施地面，更换破损泄漏的危险废物贮存容器和包装物，保证堆存危险废物的防雨、防风、防扬尘等设施功能完好。</w:t>
            </w:r>
          </w:p>
          <w:p w14:paraId="5E0B9CC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③作业设备及车辆等结束作业离开贮存设施时，应对其残留的危险废物进行清理，清理的废物或清洗废水应收集处理。</w:t>
            </w:r>
          </w:p>
          <w:p w14:paraId="235F47C6">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④贮存设施运行期间，应按国家有关标准和规定建立危险废物管理台账并保存。</w:t>
            </w:r>
          </w:p>
          <w:p w14:paraId="6C6D4D0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⑤贮存设施所有者或运营者应建立贮存设施环境管理制度、管理人员岗位职责制度、设施运行操作制度、人员岗位培训制度等。</w:t>
            </w:r>
          </w:p>
          <w:p w14:paraId="3D652A73">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⑥贮存设施所有者或运营者应依据国家土壤和地下水污染防治的有关规定，结合贮存设施特点建立土壤和地下水污染隐患排查制度，并定期开展隐患排查；发现隐患应及时采取措施消除隐患，并建立档案。</w:t>
            </w:r>
          </w:p>
          <w:p w14:paraId="517B069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⑦贮存设施所有者或运营者应建立贮存设施全部档案，包括设计、施工、验收、运行、监测和环境应急等，应按国家有关档案管理的法律法规进行整理和归档。</w:t>
            </w:r>
          </w:p>
          <w:p w14:paraId="37F1B757">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危废转移管理要求</w:t>
            </w:r>
          </w:p>
          <w:p w14:paraId="34AA225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根据《危险废物转移管理办法》（2022年1月1日起施行），危险废物移出人应按照以下规定进行：</w:t>
            </w:r>
          </w:p>
          <w:p w14:paraId="31BDDAF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转移危险废物的，应当执行危险废物转移联单制度；转移危险废物的，应当通过国家危险废物信息管理系统（以下简称信息系统）填写、运行危险废物电子转移联单，并依照国家有关规定公开危险废物转移相关污染环境防治信息。</w:t>
            </w:r>
          </w:p>
          <w:p w14:paraId="12D76910">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危险废物移出人、危险废物承运人、危险废物接受人（以下分别简称移出人、承运人和接受人）在危险废物转移过程中应当采取防扬散、防流失、防渗漏或者其他防止污染环境的措施，不得擅自倾倒、堆放、丢弃、遗撒危险废物，并对所造成的环境污染及生态破坏依法承担责任。</w:t>
            </w:r>
          </w:p>
          <w:p w14:paraId="6DB6FDB8">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移出人、承运人、接受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p w14:paraId="2C38481A">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4）移出人（建设单位）对承运人或者接受人的主体资格和技术能力进行核实，依法签订书面合同，并在合同中约定运输、贮存、利用、处置危险废物的污染防治要求及相关责任；</w:t>
            </w:r>
          </w:p>
          <w:p w14:paraId="64F8B92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5）制定危险废物管理计划，明确拟转移危险废物的种类、重量（数量）和流向等信息；</w:t>
            </w:r>
          </w:p>
          <w:p w14:paraId="61054E1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6）建立危险废物管理台账，对转移的危险废物进行计量称重，如实记录、妥善保管转移危险废物的种类、重量（数量）和接收人等相关信息；</w:t>
            </w:r>
          </w:p>
          <w:p w14:paraId="49002A6D">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7）填写、运行危险废物转移联单，在危险废物转移联单中如实填写移出人、承运人、接受人信息，转移危险废物的种类、重量（数量）、危险特性等信息，以及突发环境事件的防范措施等；</w:t>
            </w:r>
          </w:p>
          <w:p w14:paraId="6CAC1521">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8）及时核实接收人贮存、利用或者处置相关危险废物情况。项目产生的危险废物等均由建设单位自行委托有资质单位处置，严格按照上述移出人管理要求进行，危险废物的运输与处置责任均由承运人、接受人承担。由上述分析可知，项目产生的固体废物得到有效的处理处置，对外环境影响较小</w:t>
            </w:r>
          </w:p>
          <w:p w14:paraId="2F3A7B1E">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本项目危险废物贮存库应采取如下控制及管理措施：</w:t>
            </w:r>
          </w:p>
          <w:p w14:paraId="2EB30EA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①危险废物的盛装容器建议严格执行国家标准；</w:t>
            </w:r>
          </w:p>
          <w:p w14:paraId="78FDA15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②贮存容器应具有耐腐蚀、耐压、密封和不与所贮存的废物发生反应等特性；</w:t>
            </w:r>
          </w:p>
          <w:p w14:paraId="1A15880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③贮存容器保证完好无损并具有明显标志；</w:t>
            </w:r>
          </w:p>
          <w:p w14:paraId="5C992388">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④不相容的危险废物应分开存放，并设有隔离间隔断；</w:t>
            </w:r>
          </w:p>
          <w:p w14:paraId="02ECBCC6">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⑤危险废物暂存场所需要设有符合《环境保护图形标志---固体废物贮存（处置）场》（GB15562.2-1995）的专用标志；</w:t>
            </w:r>
          </w:p>
          <w:p w14:paraId="2A8E165C">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⑥设有专人专职对本项目产生的危险废物的收集、暂存和保管进行管理。经采取上述控制与管理措施后，本项目危险废物的收集、暂存和保管能够符合《危险废物贮存污染控制标准》(GB18597-2023）中相关要求。</w:t>
            </w:r>
          </w:p>
          <w:p w14:paraId="73DF5B0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危险废物的堆放：</w:t>
            </w:r>
          </w:p>
          <w:p w14:paraId="65E55174">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①堆放危险废物的高度根据地面承载能力确定；</w:t>
            </w:r>
          </w:p>
          <w:p w14:paraId="55361C2A">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②衬里放在一个基础或底座上；</w:t>
            </w:r>
          </w:p>
          <w:p w14:paraId="5556877F">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③衬里要能够覆盖危险废物或其溶出物可能涉及到的范围；</w:t>
            </w:r>
          </w:p>
          <w:p w14:paraId="274074F6">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④衬里材料与堆放危险废物相容；</w:t>
            </w:r>
          </w:p>
          <w:p w14:paraId="35E90929">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⑤危险废物堆要防风、防雨、防晒、防渗漏；</w:t>
            </w:r>
          </w:p>
          <w:p w14:paraId="73C04944">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⑥不相容的危险废物不能堆放在一起。</w:t>
            </w:r>
          </w:p>
          <w:p w14:paraId="589D84BA">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经采取上述控制与管理措施后，本项目危险废物的收集、暂存和保管能够符合《危险废物贮存污染控制标准》(GB18597-2023）中相关要求。</w:t>
            </w:r>
          </w:p>
          <w:p w14:paraId="03C3B638">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综上所述，采取上述措施后，本项目固体废物均可得到妥善地处理，不排放至外环境，对周围环境造成的影响较小。</w:t>
            </w:r>
          </w:p>
          <w:p w14:paraId="7D97F30B">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项目固废产生情况详见表4-</w:t>
            </w:r>
            <w:r>
              <w:rPr>
                <w:rFonts w:hint="eastAsia" w:cs="Times New Roman"/>
                <w:color w:val="auto"/>
                <w:szCs w:val="24"/>
                <w:highlight w:val="none"/>
                <w:lang w:val="en-US" w:eastAsia="zh-CN"/>
              </w:rPr>
              <w:t>11</w:t>
            </w:r>
            <w:r>
              <w:rPr>
                <w:rFonts w:hint="default" w:ascii="Times New Roman" w:hAnsi="Times New Roman" w:eastAsia="宋体" w:cs="Times New Roman"/>
                <w:color w:val="auto"/>
                <w:szCs w:val="24"/>
                <w:highlight w:val="none"/>
              </w:rPr>
              <w:t>。</w:t>
            </w:r>
          </w:p>
          <w:p w14:paraId="34854705">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表4-</w:t>
            </w:r>
            <w:r>
              <w:rPr>
                <w:rFonts w:hint="eastAsia" w:cs="Times New Roman"/>
                <w:b/>
                <w:color w:val="auto"/>
                <w:szCs w:val="21"/>
                <w:highlight w:val="none"/>
                <w:lang w:val="en-US" w:eastAsia="zh-CN"/>
              </w:rPr>
              <w:t>11</w:t>
            </w:r>
            <w:r>
              <w:rPr>
                <w:rFonts w:hint="default" w:ascii="Times New Roman" w:hAnsi="Times New Roman" w:eastAsia="宋体" w:cs="Times New Roman"/>
                <w:b/>
                <w:color w:val="auto"/>
                <w:szCs w:val="21"/>
                <w:highlight w:val="none"/>
              </w:rPr>
              <w:t>固体废物污染源源强核算结果及相关参数一览表</w:t>
            </w:r>
          </w:p>
          <w:tbl>
            <w:tblPr>
              <w:tblStyle w:val="33"/>
              <w:tblW w:w="80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7"/>
              <w:gridCol w:w="618"/>
              <w:gridCol w:w="888"/>
              <w:gridCol w:w="1073"/>
              <w:gridCol w:w="808"/>
              <w:gridCol w:w="938"/>
              <w:gridCol w:w="409"/>
              <w:gridCol w:w="907"/>
              <w:gridCol w:w="1900"/>
            </w:tblGrid>
            <w:tr w14:paraId="633C9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7" w:type="dxa"/>
                  <w:vMerge w:val="restart"/>
                  <w:vAlign w:val="center"/>
                </w:tcPr>
                <w:p w14:paraId="5A0038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来源</w:t>
                  </w:r>
                </w:p>
              </w:tc>
              <w:tc>
                <w:tcPr>
                  <w:tcW w:w="618" w:type="dxa"/>
                  <w:vMerge w:val="restart"/>
                  <w:vAlign w:val="center"/>
                </w:tcPr>
                <w:p w14:paraId="09EE79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种类</w:t>
                  </w:r>
                </w:p>
              </w:tc>
              <w:tc>
                <w:tcPr>
                  <w:tcW w:w="888" w:type="dxa"/>
                  <w:vMerge w:val="restart"/>
                  <w:vAlign w:val="center"/>
                </w:tcPr>
                <w:p w14:paraId="17585B73">
                  <w:pPr>
                    <w:keepNext w:val="0"/>
                    <w:keepLines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固废属性</w:t>
                  </w:r>
                </w:p>
              </w:tc>
              <w:tc>
                <w:tcPr>
                  <w:tcW w:w="1073" w:type="dxa"/>
                  <w:vMerge w:val="restart"/>
                  <w:vAlign w:val="center"/>
                </w:tcPr>
                <w:p w14:paraId="6501B1FC">
                  <w:pPr>
                    <w:keepNext w:val="0"/>
                    <w:keepLines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代码</w:t>
                  </w:r>
                </w:p>
              </w:tc>
              <w:tc>
                <w:tcPr>
                  <w:tcW w:w="1746" w:type="dxa"/>
                  <w:gridSpan w:val="2"/>
                  <w:vAlign w:val="center"/>
                </w:tcPr>
                <w:p w14:paraId="0712BB9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产生量</w:t>
                  </w:r>
                </w:p>
              </w:tc>
              <w:tc>
                <w:tcPr>
                  <w:tcW w:w="1316" w:type="dxa"/>
                  <w:gridSpan w:val="2"/>
                  <w:vAlign w:val="center"/>
                </w:tcPr>
                <w:p w14:paraId="65BD1D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处置措施</w:t>
                  </w:r>
                </w:p>
              </w:tc>
              <w:tc>
                <w:tcPr>
                  <w:tcW w:w="1900" w:type="dxa"/>
                  <w:vMerge w:val="restart"/>
                  <w:vAlign w:val="center"/>
                </w:tcPr>
                <w:p w14:paraId="38BD03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最终去向</w:t>
                  </w:r>
                </w:p>
              </w:tc>
            </w:tr>
            <w:tr w14:paraId="6B7C9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97" w:type="dxa"/>
                  <w:vMerge w:val="continue"/>
                  <w:vAlign w:val="center"/>
                </w:tcPr>
                <w:p w14:paraId="75876E5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618" w:type="dxa"/>
                  <w:vMerge w:val="continue"/>
                  <w:vAlign w:val="center"/>
                </w:tcPr>
                <w:p w14:paraId="49BB27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88" w:type="dxa"/>
                  <w:vMerge w:val="continue"/>
                  <w:vAlign w:val="center"/>
                </w:tcPr>
                <w:p w14:paraId="55DCA45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073" w:type="dxa"/>
                  <w:vMerge w:val="continue"/>
                  <w:vAlign w:val="center"/>
                </w:tcPr>
                <w:p w14:paraId="2D9E70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8" w:type="dxa"/>
                  <w:vAlign w:val="center"/>
                </w:tcPr>
                <w:p w14:paraId="4C29A14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核算方法</w:t>
                  </w:r>
                </w:p>
              </w:tc>
              <w:tc>
                <w:tcPr>
                  <w:tcW w:w="938" w:type="dxa"/>
                  <w:vAlign w:val="center"/>
                </w:tcPr>
                <w:p w14:paraId="088DEC23">
                  <w:pPr>
                    <w:keepNext w:val="0"/>
                    <w:keepLines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产生量（t/a）</w:t>
                  </w:r>
                </w:p>
              </w:tc>
              <w:tc>
                <w:tcPr>
                  <w:tcW w:w="409" w:type="dxa"/>
                  <w:vAlign w:val="center"/>
                </w:tcPr>
                <w:p w14:paraId="3703EF5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工艺</w:t>
                  </w:r>
                </w:p>
              </w:tc>
              <w:tc>
                <w:tcPr>
                  <w:tcW w:w="907" w:type="dxa"/>
                  <w:vAlign w:val="center"/>
                </w:tcPr>
                <w:p w14:paraId="2F6BDF6B">
                  <w:pPr>
                    <w:keepNext w:val="0"/>
                    <w:keepLines w:val="0"/>
                    <w:suppressLineNumbers w:val="0"/>
                    <w:autoSpaceDE w:val="0"/>
                    <w:autoSpaceDN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处置量（t/a）</w:t>
                  </w:r>
                </w:p>
              </w:tc>
              <w:tc>
                <w:tcPr>
                  <w:tcW w:w="1900" w:type="dxa"/>
                  <w:vMerge w:val="continue"/>
                  <w:vAlign w:val="center"/>
                </w:tcPr>
                <w:p w14:paraId="7E9344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r>
            <w:tr w14:paraId="23D59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97" w:type="dxa"/>
                  <w:vMerge w:val="restart"/>
                  <w:vAlign w:val="center"/>
                </w:tcPr>
                <w:p w14:paraId="044E546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筛分工序</w:t>
                  </w:r>
                </w:p>
              </w:tc>
              <w:tc>
                <w:tcPr>
                  <w:tcW w:w="618" w:type="dxa"/>
                  <w:vAlign w:val="center"/>
                </w:tcPr>
                <w:p w14:paraId="41C356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筛分杂质</w:t>
                  </w:r>
                </w:p>
              </w:tc>
              <w:tc>
                <w:tcPr>
                  <w:tcW w:w="888" w:type="dxa"/>
                  <w:vAlign w:val="center"/>
                </w:tcPr>
                <w:p w14:paraId="444960A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7B344A9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900-099-S</w:t>
                  </w:r>
                  <w:r>
                    <w:rPr>
                      <w:rFonts w:hint="eastAsia" w:cs="Times New Roman"/>
                      <w:color w:val="auto"/>
                      <w:sz w:val="21"/>
                      <w:szCs w:val="21"/>
                      <w:highlight w:val="none"/>
                      <w:lang w:val="en-US" w:eastAsia="zh-CN"/>
                    </w:rPr>
                    <w:t>59</w:t>
                  </w:r>
                </w:p>
              </w:tc>
              <w:tc>
                <w:tcPr>
                  <w:tcW w:w="808" w:type="dxa"/>
                  <w:vAlign w:val="center"/>
                </w:tcPr>
                <w:p w14:paraId="3EE3151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类比法</w:t>
                  </w:r>
                </w:p>
              </w:tc>
              <w:tc>
                <w:tcPr>
                  <w:tcW w:w="938" w:type="dxa"/>
                  <w:vAlign w:val="center"/>
                </w:tcPr>
                <w:p w14:paraId="619505A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60</w:t>
                  </w:r>
                </w:p>
              </w:tc>
              <w:tc>
                <w:tcPr>
                  <w:tcW w:w="409" w:type="dxa"/>
                  <w:vMerge w:val="restart"/>
                  <w:vAlign w:val="center"/>
                </w:tcPr>
                <w:p w14:paraId="7740EB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集中收集</w:t>
                  </w:r>
                </w:p>
                <w:p w14:paraId="4B3A3B0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07" w:type="dxa"/>
                  <w:vAlign w:val="center"/>
                </w:tcPr>
                <w:p w14:paraId="5AA651B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60</w:t>
                  </w:r>
                </w:p>
              </w:tc>
              <w:tc>
                <w:tcPr>
                  <w:tcW w:w="1900" w:type="dxa"/>
                  <w:vAlign w:val="center"/>
                </w:tcPr>
                <w:p w14:paraId="3834EEA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综合利用</w:t>
                  </w:r>
                </w:p>
              </w:tc>
            </w:tr>
            <w:tr w14:paraId="00DB3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97" w:type="dxa"/>
                  <w:vMerge w:val="continue"/>
                  <w:vAlign w:val="center"/>
                </w:tcPr>
                <w:p w14:paraId="3C6847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618" w:type="dxa"/>
                  <w:vAlign w:val="center"/>
                </w:tcPr>
                <w:p w14:paraId="49BA1C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收尘</w:t>
                  </w:r>
                </w:p>
              </w:tc>
              <w:tc>
                <w:tcPr>
                  <w:tcW w:w="888" w:type="dxa"/>
                  <w:vAlign w:val="center"/>
                </w:tcPr>
                <w:p w14:paraId="3B2A85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6EE3A1C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900-099-S59</w:t>
                  </w:r>
                </w:p>
              </w:tc>
              <w:tc>
                <w:tcPr>
                  <w:tcW w:w="808" w:type="dxa"/>
                  <w:vAlign w:val="center"/>
                </w:tcPr>
                <w:p w14:paraId="6617C6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系数法</w:t>
                  </w:r>
                </w:p>
              </w:tc>
              <w:tc>
                <w:tcPr>
                  <w:tcW w:w="938" w:type="dxa"/>
                  <w:vAlign w:val="center"/>
                </w:tcPr>
                <w:p w14:paraId="3F9897C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5.4</w:t>
                  </w:r>
                </w:p>
              </w:tc>
              <w:tc>
                <w:tcPr>
                  <w:tcW w:w="409" w:type="dxa"/>
                  <w:vMerge w:val="continue"/>
                  <w:vAlign w:val="center"/>
                </w:tcPr>
                <w:p w14:paraId="20D2CB6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07" w:type="dxa"/>
                  <w:vAlign w:val="center"/>
                </w:tcPr>
                <w:p w14:paraId="2B65CC6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5.4</w:t>
                  </w:r>
                </w:p>
              </w:tc>
              <w:tc>
                <w:tcPr>
                  <w:tcW w:w="1900" w:type="dxa"/>
                  <w:vAlign w:val="center"/>
                </w:tcPr>
                <w:p w14:paraId="0C80232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综合利用</w:t>
                  </w:r>
                </w:p>
              </w:tc>
            </w:tr>
            <w:tr w14:paraId="7D576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97" w:type="dxa"/>
                  <w:vMerge w:val="restart"/>
                  <w:vAlign w:val="center"/>
                </w:tcPr>
                <w:p w14:paraId="69CFC98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热风炉除尘器</w:t>
                  </w:r>
                </w:p>
              </w:tc>
              <w:tc>
                <w:tcPr>
                  <w:tcW w:w="618" w:type="dxa"/>
                  <w:vAlign w:val="center"/>
                </w:tcPr>
                <w:p w14:paraId="25CA08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收尘</w:t>
                  </w:r>
                </w:p>
              </w:tc>
              <w:tc>
                <w:tcPr>
                  <w:tcW w:w="888" w:type="dxa"/>
                  <w:vAlign w:val="center"/>
                </w:tcPr>
                <w:p w14:paraId="26E567B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5F6835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900-099-S</w:t>
                  </w:r>
                  <w:r>
                    <w:rPr>
                      <w:rFonts w:hint="eastAsia" w:cs="Times New Roman"/>
                      <w:color w:val="auto"/>
                      <w:sz w:val="21"/>
                      <w:szCs w:val="21"/>
                      <w:highlight w:val="none"/>
                      <w:lang w:val="en-US" w:eastAsia="zh-CN"/>
                    </w:rPr>
                    <w:t>59</w:t>
                  </w:r>
                </w:p>
              </w:tc>
              <w:tc>
                <w:tcPr>
                  <w:tcW w:w="808" w:type="dxa"/>
                  <w:vAlign w:val="center"/>
                </w:tcPr>
                <w:p w14:paraId="16AE56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w:t>
                  </w:r>
                </w:p>
              </w:tc>
              <w:tc>
                <w:tcPr>
                  <w:tcW w:w="938" w:type="dxa"/>
                  <w:vAlign w:val="center"/>
                </w:tcPr>
                <w:p w14:paraId="711ED3E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2"/>
                      <w:szCs w:val="24"/>
                      <w:highlight w:val="none"/>
                      <w:lang w:val="en-US" w:eastAsia="zh-CN"/>
                    </w:rPr>
                    <w:t>75.421</w:t>
                  </w:r>
                </w:p>
              </w:tc>
              <w:tc>
                <w:tcPr>
                  <w:tcW w:w="409" w:type="dxa"/>
                  <w:vMerge w:val="continue"/>
                  <w:vAlign w:val="center"/>
                </w:tcPr>
                <w:p w14:paraId="5703818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07" w:type="dxa"/>
                  <w:vAlign w:val="center"/>
                </w:tcPr>
                <w:p w14:paraId="074BA6C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2"/>
                      <w:szCs w:val="24"/>
                      <w:highlight w:val="none"/>
                      <w:lang w:val="en-US" w:eastAsia="zh-CN"/>
                    </w:rPr>
                    <w:t>75.421</w:t>
                  </w:r>
                </w:p>
              </w:tc>
              <w:tc>
                <w:tcPr>
                  <w:tcW w:w="1900" w:type="dxa"/>
                  <w:vAlign w:val="center"/>
                </w:tcPr>
                <w:p w14:paraId="5A56BC8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综合利用</w:t>
                  </w:r>
                </w:p>
              </w:tc>
            </w:tr>
            <w:tr w14:paraId="3B85D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97" w:type="dxa"/>
                  <w:vMerge w:val="continue"/>
                  <w:vAlign w:val="center"/>
                </w:tcPr>
                <w:p w14:paraId="0D32856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618" w:type="dxa"/>
                  <w:vAlign w:val="center"/>
                </w:tcPr>
                <w:p w14:paraId="2E8763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废布袋</w:t>
                  </w:r>
                </w:p>
              </w:tc>
              <w:tc>
                <w:tcPr>
                  <w:tcW w:w="888" w:type="dxa"/>
                  <w:vAlign w:val="center"/>
                </w:tcPr>
                <w:p w14:paraId="6B3E6F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04A4852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900-099-S59</w:t>
                  </w:r>
                </w:p>
              </w:tc>
              <w:tc>
                <w:tcPr>
                  <w:tcW w:w="808" w:type="dxa"/>
                  <w:vAlign w:val="center"/>
                </w:tcPr>
                <w:p w14:paraId="6B56E4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938" w:type="dxa"/>
                  <w:vAlign w:val="center"/>
                </w:tcPr>
                <w:p w14:paraId="16BD72F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0.</w:t>
                  </w:r>
                  <w:r>
                    <w:rPr>
                      <w:rFonts w:hint="default" w:ascii="Times New Roman" w:hAnsi="Times New Roman" w:eastAsia="宋体" w:cs="Times New Roman"/>
                      <w:color w:val="auto"/>
                      <w:kern w:val="0"/>
                      <w:sz w:val="21"/>
                      <w:szCs w:val="21"/>
                      <w:highlight w:val="none"/>
                      <w:lang w:val="en-US" w:eastAsia="zh-CN" w:bidi="ar"/>
                    </w:rPr>
                    <w:t>1</w:t>
                  </w:r>
                  <w:r>
                    <w:rPr>
                      <w:rFonts w:hint="default" w:ascii="Times New Roman" w:hAnsi="Times New Roman" w:eastAsia="宋体" w:cs="Times New Roman"/>
                      <w:color w:val="auto"/>
                      <w:sz w:val="21"/>
                      <w:szCs w:val="21"/>
                      <w:highlight w:val="none"/>
                    </w:rPr>
                    <w:t>t/a</w:t>
                  </w:r>
                </w:p>
              </w:tc>
              <w:tc>
                <w:tcPr>
                  <w:tcW w:w="409" w:type="dxa"/>
                  <w:vMerge w:val="continue"/>
                  <w:vAlign w:val="center"/>
                </w:tcPr>
                <w:p w14:paraId="5D452F2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907" w:type="dxa"/>
                  <w:vAlign w:val="center"/>
                </w:tcPr>
                <w:p w14:paraId="5558FFF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0.</w:t>
                  </w:r>
                  <w:r>
                    <w:rPr>
                      <w:rFonts w:hint="default" w:ascii="Times New Roman" w:hAnsi="Times New Roman" w:eastAsia="宋体" w:cs="Times New Roman"/>
                      <w:color w:val="auto"/>
                      <w:kern w:val="0"/>
                      <w:sz w:val="21"/>
                      <w:szCs w:val="21"/>
                      <w:highlight w:val="none"/>
                      <w:lang w:val="en-US" w:eastAsia="zh-CN" w:bidi="ar"/>
                    </w:rPr>
                    <w:t>1</w:t>
                  </w:r>
                  <w:r>
                    <w:rPr>
                      <w:rFonts w:hint="default" w:ascii="Times New Roman" w:hAnsi="Times New Roman" w:eastAsia="宋体" w:cs="Times New Roman"/>
                      <w:color w:val="auto"/>
                      <w:sz w:val="21"/>
                      <w:szCs w:val="21"/>
                      <w:highlight w:val="none"/>
                    </w:rPr>
                    <w:t>t/a</w:t>
                  </w:r>
                </w:p>
              </w:tc>
              <w:tc>
                <w:tcPr>
                  <w:tcW w:w="1900" w:type="dxa"/>
                  <w:vAlign w:val="center"/>
                </w:tcPr>
                <w:p w14:paraId="1B34F8C5">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厂家回收</w:t>
                  </w:r>
                </w:p>
              </w:tc>
            </w:tr>
            <w:tr w14:paraId="7BAA6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Align w:val="center"/>
                </w:tcPr>
                <w:p w14:paraId="7FD8A9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热风炉</w:t>
                  </w:r>
                </w:p>
              </w:tc>
              <w:tc>
                <w:tcPr>
                  <w:tcW w:w="618" w:type="dxa"/>
                  <w:vAlign w:val="center"/>
                </w:tcPr>
                <w:p w14:paraId="4283C4C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灰渣</w:t>
                  </w:r>
                </w:p>
              </w:tc>
              <w:tc>
                <w:tcPr>
                  <w:tcW w:w="888" w:type="dxa"/>
                  <w:vAlign w:val="center"/>
                </w:tcPr>
                <w:p w14:paraId="784CD4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37C796F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900-099-S03</w:t>
                  </w:r>
                </w:p>
              </w:tc>
              <w:tc>
                <w:tcPr>
                  <w:tcW w:w="808" w:type="dxa"/>
                  <w:vAlign w:val="center"/>
                </w:tcPr>
                <w:p w14:paraId="3E27BBF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w:t>
                  </w:r>
                </w:p>
              </w:tc>
              <w:tc>
                <w:tcPr>
                  <w:tcW w:w="938" w:type="dxa"/>
                  <w:vAlign w:val="center"/>
                </w:tcPr>
                <w:p w14:paraId="246BB9C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72.6</w:t>
                  </w:r>
                </w:p>
              </w:tc>
              <w:tc>
                <w:tcPr>
                  <w:tcW w:w="409" w:type="dxa"/>
                  <w:vMerge w:val="continue"/>
                  <w:vAlign w:val="center"/>
                </w:tcPr>
                <w:p w14:paraId="53E4A96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907" w:type="dxa"/>
                  <w:vAlign w:val="center"/>
                </w:tcPr>
                <w:p w14:paraId="1C23513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72.6</w:t>
                  </w:r>
                </w:p>
              </w:tc>
              <w:tc>
                <w:tcPr>
                  <w:tcW w:w="1900" w:type="dxa"/>
                  <w:vAlign w:val="center"/>
                </w:tcPr>
                <w:p w14:paraId="75C74C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综合利用</w:t>
                  </w:r>
                </w:p>
              </w:tc>
            </w:tr>
            <w:tr w14:paraId="3B843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Align w:val="center"/>
                </w:tcPr>
                <w:p w14:paraId="4C39F96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烘干塔</w:t>
                  </w:r>
                </w:p>
              </w:tc>
              <w:tc>
                <w:tcPr>
                  <w:tcW w:w="618" w:type="dxa"/>
                  <w:vAlign w:val="center"/>
                </w:tcPr>
                <w:p w14:paraId="303D3F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收尘</w:t>
                  </w:r>
                </w:p>
              </w:tc>
              <w:tc>
                <w:tcPr>
                  <w:tcW w:w="888" w:type="dxa"/>
                  <w:vAlign w:val="center"/>
                </w:tcPr>
                <w:p w14:paraId="78D2DE0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23D101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900-099-S59</w:t>
                  </w:r>
                </w:p>
              </w:tc>
              <w:tc>
                <w:tcPr>
                  <w:tcW w:w="808" w:type="dxa"/>
                  <w:vAlign w:val="center"/>
                </w:tcPr>
                <w:p w14:paraId="58836A3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系数法</w:t>
                  </w:r>
                </w:p>
              </w:tc>
              <w:tc>
                <w:tcPr>
                  <w:tcW w:w="938" w:type="dxa"/>
                  <w:vAlign w:val="center"/>
                </w:tcPr>
                <w:p w14:paraId="1C66703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4.2</w:t>
                  </w:r>
                </w:p>
              </w:tc>
              <w:tc>
                <w:tcPr>
                  <w:tcW w:w="409" w:type="dxa"/>
                  <w:vMerge w:val="continue"/>
                  <w:vAlign w:val="center"/>
                </w:tcPr>
                <w:p w14:paraId="4186B06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907" w:type="dxa"/>
                  <w:vAlign w:val="center"/>
                </w:tcPr>
                <w:p w14:paraId="6E62061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4.2</w:t>
                  </w:r>
                </w:p>
              </w:tc>
              <w:tc>
                <w:tcPr>
                  <w:tcW w:w="1900" w:type="dxa"/>
                  <w:vAlign w:val="center"/>
                </w:tcPr>
                <w:p w14:paraId="4F5BD8D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综合利用</w:t>
                  </w:r>
                </w:p>
              </w:tc>
            </w:tr>
            <w:tr w14:paraId="1144A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Align w:val="center"/>
                </w:tcPr>
                <w:p w14:paraId="13DC71E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生活</w:t>
                  </w:r>
                </w:p>
              </w:tc>
              <w:tc>
                <w:tcPr>
                  <w:tcW w:w="618" w:type="dxa"/>
                  <w:vAlign w:val="center"/>
                </w:tcPr>
                <w:p w14:paraId="27030EC1">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生活垃圾</w:t>
                  </w:r>
                </w:p>
              </w:tc>
              <w:tc>
                <w:tcPr>
                  <w:tcW w:w="888" w:type="dxa"/>
                  <w:vAlign w:val="center"/>
                </w:tcPr>
                <w:p w14:paraId="0E69D6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一般工业固体废物</w:t>
                  </w:r>
                </w:p>
              </w:tc>
              <w:tc>
                <w:tcPr>
                  <w:tcW w:w="1073" w:type="dxa"/>
                  <w:vAlign w:val="center"/>
                </w:tcPr>
                <w:p w14:paraId="131CFFE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rPr>
                  </w:pPr>
                  <w:r>
                    <w:rPr>
                      <w:rFonts w:hint="default"/>
                      <w:color w:val="auto"/>
                      <w:sz w:val="21"/>
                      <w:szCs w:val="21"/>
                      <w:highlight w:val="none"/>
                      <w:lang w:val="en-US" w:eastAsia="zh-CN"/>
                    </w:rPr>
                    <w:t>900-099-S</w:t>
                  </w:r>
                  <w:r>
                    <w:rPr>
                      <w:rFonts w:hint="eastAsia"/>
                      <w:color w:val="auto"/>
                      <w:sz w:val="21"/>
                      <w:szCs w:val="21"/>
                      <w:highlight w:val="none"/>
                      <w:lang w:val="en-US" w:eastAsia="zh-CN"/>
                    </w:rPr>
                    <w:t>64</w:t>
                  </w:r>
                </w:p>
              </w:tc>
              <w:tc>
                <w:tcPr>
                  <w:tcW w:w="808" w:type="dxa"/>
                  <w:vAlign w:val="center"/>
                </w:tcPr>
                <w:p w14:paraId="28C2C25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系数法</w:t>
                  </w:r>
                </w:p>
              </w:tc>
              <w:tc>
                <w:tcPr>
                  <w:tcW w:w="938" w:type="dxa"/>
                  <w:vAlign w:val="center"/>
                </w:tcPr>
                <w:p w14:paraId="74294374">
                  <w:pPr>
                    <w:keepNext w:val="0"/>
                    <w:keepLines w:val="0"/>
                    <w:suppressLineNumbers w:val="0"/>
                    <w:spacing w:before="0" w:beforeAutospacing="0" w:after="0" w:afterAutospacing="0" w:line="240" w:lineRule="auto"/>
                    <w:ind w:left="0" w:right="0"/>
                    <w:jc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0.1875</w:t>
                  </w:r>
                </w:p>
              </w:tc>
              <w:tc>
                <w:tcPr>
                  <w:tcW w:w="409" w:type="dxa"/>
                  <w:vMerge w:val="continue"/>
                  <w:vAlign w:val="center"/>
                </w:tcPr>
                <w:p w14:paraId="72F53B5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7" w:type="dxa"/>
                  <w:vAlign w:val="center"/>
                </w:tcPr>
                <w:p w14:paraId="6311DE22">
                  <w:pPr>
                    <w:keepNext w:val="0"/>
                    <w:keepLines w:val="0"/>
                    <w:suppressLineNumbers w:val="0"/>
                    <w:spacing w:before="0" w:beforeAutospacing="0" w:after="0" w:afterAutospacing="0" w:line="240" w:lineRule="auto"/>
                    <w:ind w:left="0" w:right="0"/>
                    <w:jc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0.1875</w:t>
                  </w:r>
                </w:p>
              </w:tc>
              <w:tc>
                <w:tcPr>
                  <w:tcW w:w="1900" w:type="dxa"/>
                  <w:vAlign w:val="center"/>
                </w:tcPr>
                <w:p w14:paraId="6FF8993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环卫部门清运处理</w:t>
                  </w:r>
                </w:p>
              </w:tc>
            </w:tr>
            <w:tr w14:paraId="3DD063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Align w:val="center"/>
                </w:tcPr>
                <w:p w14:paraId="4EEC41A2">
                  <w:pPr>
                    <w:keepNext w:val="0"/>
                    <w:keepLines w:val="0"/>
                    <w:suppressLineNumbers w:val="0"/>
                    <w:spacing w:before="0" w:beforeAutospacing="0" w:after="0" w:afterAutospacing="0" w:line="240" w:lineRule="auto"/>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原料堆场</w:t>
                  </w:r>
                </w:p>
              </w:tc>
              <w:tc>
                <w:tcPr>
                  <w:tcW w:w="618" w:type="dxa"/>
                  <w:shd w:val="clear" w:color="auto" w:fill="auto"/>
                  <w:vAlign w:val="center"/>
                </w:tcPr>
                <w:p w14:paraId="2817E282">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收尘</w:t>
                  </w:r>
                </w:p>
              </w:tc>
              <w:tc>
                <w:tcPr>
                  <w:tcW w:w="888" w:type="dxa"/>
                  <w:shd w:val="clear" w:color="auto" w:fill="auto"/>
                  <w:vAlign w:val="center"/>
                </w:tcPr>
                <w:p w14:paraId="0E8AC50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一般工业固体废物</w:t>
                  </w:r>
                </w:p>
              </w:tc>
              <w:tc>
                <w:tcPr>
                  <w:tcW w:w="1073" w:type="dxa"/>
                  <w:shd w:val="clear" w:color="auto" w:fill="auto"/>
                  <w:vAlign w:val="center"/>
                </w:tcPr>
                <w:p w14:paraId="211D2FC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900-099-S59</w:t>
                  </w:r>
                </w:p>
              </w:tc>
              <w:tc>
                <w:tcPr>
                  <w:tcW w:w="808" w:type="dxa"/>
                  <w:shd w:val="clear" w:color="auto" w:fill="auto"/>
                  <w:vAlign w:val="center"/>
                </w:tcPr>
                <w:p w14:paraId="6071E04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系数法</w:t>
                  </w:r>
                </w:p>
              </w:tc>
              <w:tc>
                <w:tcPr>
                  <w:tcW w:w="938" w:type="dxa"/>
                  <w:shd w:val="clear" w:color="auto" w:fill="auto"/>
                  <w:vAlign w:val="center"/>
                </w:tcPr>
                <w:p w14:paraId="557EE80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3.6</w:t>
                  </w:r>
                </w:p>
              </w:tc>
              <w:tc>
                <w:tcPr>
                  <w:tcW w:w="409" w:type="dxa"/>
                  <w:vMerge w:val="continue"/>
                  <w:shd w:val="clear" w:color="auto" w:fill="auto"/>
                  <w:vAlign w:val="center"/>
                </w:tcPr>
                <w:p w14:paraId="6936C15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907" w:type="dxa"/>
                  <w:shd w:val="clear" w:color="auto" w:fill="auto"/>
                  <w:vAlign w:val="center"/>
                </w:tcPr>
                <w:p w14:paraId="2C1F17A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3.6</w:t>
                  </w:r>
                </w:p>
              </w:tc>
              <w:tc>
                <w:tcPr>
                  <w:tcW w:w="1900" w:type="dxa"/>
                  <w:shd w:val="clear" w:color="auto" w:fill="auto"/>
                  <w:vAlign w:val="center"/>
                </w:tcPr>
                <w:p w14:paraId="7C61396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综合利用</w:t>
                  </w:r>
                </w:p>
              </w:tc>
            </w:tr>
            <w:tr w14:paraId="157AE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Merge w:val="restart"/>
                  <w:vAlign w:val="center"/>
                </w:tcPr>
                <w:p w14:paraId="2DA2957D">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eastAsia="zh-CN"/>
                    </w:rPr>
                  </w:pPr>
                  <w:r>
                    <w:rPr>
                      <w:rFonts w:hint="eastAsia" w:cs="Times New Roman"/>
                      <w:color w:val="auto"/>
                      <w:sz w:val="21"/>
                      <w:szCs w:val="21"/>
                      <w:highlight w:val="none"/>
                      <w:lang w:val="en-US" w:eastAsia="zh-CN"/>
                    </w:rPr>
                    <w:t>生产</w:t>
                  </w:r>
                </w:p>
              </w:tc>
              <w:tc>
                <w:tcPr>
                  <w:tcW w:w="618" w:type="dxa"/>
                  <w:vAlign w:val="center"/>
                </w:tcPr>
                <w:p w14:paraId="0640BE2A">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废润滑油</w:t>
                  </w:r>
                </w:p>
              </w:tc>
              <w:tc>
                <w:tcPr>
                  <w:tcW w:w="888" w:type="dxa"/>
                  <w:vMerge w:val="restart"/>
                  <w:vAlign w:val="center"/>
                </w:tcPr>
                <w:p w14:paraId="0081ECA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危险废物</w:t>
                  </w:r>
                </w:p>
              </w:tc>
              <w:tc>
                <w:tcPr>
                  <w:tcW w:w="1073" w:type="dxa"/>
                  <w:vAlign w:val="center"/>
                </w:tcPr>
                <w:p w14:paraId="167B108D">
                  <w:pPr>
                    <w:keepNext w:val="0"/>
                    <w:keepLines w:val="0"/>
                    <w:suppressLineNumbers w:val="0"/>
                    <w:spacing w:before="0" w:beforeAutospacing="0" w:after="0" w:afterAutospacing="0" w:line="240" w:lineRule="auto"/>
                    <w:ind w:left="0" w:leftChars="0" w:right="0" w:rightChars="0"/>
                    <w:jc w:val="center"/>
                    <w:rPr>
                      <w:rFonts w:hint="default"/>
                      <w:color w:val="auto"/>
                      <w:sz w:val="21"/>
                      <w:szCs w:val="21"/>
                      <w:highlight w:val="none"/>
                      <w:lang w:val="en-US" w:eastAsia="zh-CN"/>
                    </w:rPr>
                  </w:pPr>
                  <w:r>
                    <w:rPr>
                      <w:rFonts w:hint="default"/>
                      <w:color w:val="auto"/>
                      <w:sz w:val="21"/>
                      <w:szCs w:val="21"/>
                      <w:highlight w:val="none"/>
                      <w:lang w:val="en-US" w:eastAsia="zh-CN"/>
                    </w:rPr>
                    <w:t>900-214-08</w:t>
                  </w:r>
                </w:p>
              </w:tc>
              <w:tc>
                <w:tcPr>
                  <w:tcW w:w="808" w:type="dxa"/>
                  <w:vMerge w:val="restart"/>
                  <w:vAlign w:val="center"/>
                </w:tcPr>
                <w:p w14:paraId="15647C6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类比法</w:t>
                  </w:r>
                </w:p>
              </w:tc>
              <w:tc>
                <w:tcPr>
                  <w:tcW w:w="938" w:type="dxa"/>
                  <w:vAlign w:val="center"/>
                </w:tcPr>
                <w:p w14:paraId="650A910E">
                  <w:pPr>
                    <w:keepNext w:val="0"/>
                    <w:keepLines w:val="0"/>
                    <w:suppressLineNumbers w:val="0"/>
                    <w:spacing w:before="0" w:beforeAutospacing="0" w:after="0" w:afterAutospacing="0" w:line="240" w:lineRule="auto"/>
                    <w:ind w:left="0" w:leftChars="0" w:right="0" w:rightChars="0"/>
                    <w:jc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0.01</w:t>
                  </w:r>
                </w:p>
              </w:tc>
              <w:tc>
                <w:tcPr>
                  <w:tcW w:w="409" w:type="dxa"/>
                  <w:vMerge w:val="restart"/>
                  <w:vAlign w:val="center"/>
                </w:tcPr>
                <w:p w14:paraId="3AD8D28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集中收集</w:t>
                  </w:r>
                </w:p>
              </w:tc>
              <w:tc>
                <w:tcPr>
                  <w:tcW w:w="907" w:type="dxa"/>
                  <w:vAlign w:val="center"/>
                </w:tcPr>
                <w:p w14:paraId="1D9B5C53">
                  <w:pPr>
                    <w:keepNext w:val="0"/>
                    <w:keepLines w:val="0"/>
                    <w:suppressLineNumbers w:val="0"/>
                    <w:spacing w:before="0" w:beforeAutospacing="0" w:after="0" w:afterAutospacing="0" w:line="240" w:lineRule="auto"/>
                    <w:ind w:left="0" w:leftChars="0" w:right="0" w:rightChars="0"/>
                    <w:jc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0.01</w:t>
                  </w:r>
                </w:p>
              </w:tc>
              <w:tc>
                <w:tcPr>
                  <w:tcW w:w="1900" w:type="dxa"/>
                  <w:vMerge w:val="restart"/>
                  <w:vAlign w:val="center"/>
                </w:tcPr>
                <w:p w14:paraId="7152341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r>
                    <w:rPr>
                      <w:rFonts w:hint="eastAsia" w:ascii="宋体" w:hAnsi="宋体" w:eastAsia="宋体" w:cs="宋体"/>
                      <w:bCs/>
                      <w:color w:val="auto"/>
                      <w:szCs w:val="21"/>
                      <w:highlight w:val="none"/>
                    </w:rPr>
                    <w:t>暂存</w:t>
                  </w:r>
                  <w:r>
                    <w:rPr>
                      <w:rFonts w:hint="eastAsia" w:ascii="宋体" w:hAnsi="宋体" w:cs="宋体"/>
                      <w:bCs/>
                      <w:color w:val="auto"/>
                      <w:szCs w:val="21"/>
                      <w:highlight w:val="none"/>
                      <w:lang w:eastAsia="zh-CN"/>
                    </w:rPr>
                    <w:t>危险废物贮存库，</w:t>
                  </w:r>
                  <w:r>
                    <w:rPr>
                      <w:rFonts w:hint="eastAsia" w:ascii="宋体" w:hAnsi="宋体" w:eastAsia="宋体" w:cs="宋体"/>
                      <w:bCs/>
                      <w:color w:val="auto"/>
                      <w:szCs w:val="21"/>
                      <w:highlight w:val="none"/>
                    </w:rPr>
                    <w:t>交由具有相关资质单位处置。</w:t>
                  </w:r>
                </w:p>
              </w:tc>
            </w:tr>
            <w:tr w14:paraId="3C788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Merge w:val="continue"/>
                  <w:vAlign w:val="center"/>
                </w:tcPr>
                <w:p w14:paraId="15B7AD32">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eastAsia="zh-CN"/>
                    </w:rPr>
                  </w:pPr>
                </w:p>
              </w:tc>
              <w:tc>
                <w:tcPr>
                  <w:tcW w:w="618" w:type="dxa"/>
                  <w:vAlign w:val="center"/>
                </w:tcPr>
                <w:p w14:paraId="3BEA9DD8">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eastAsia="zh-CN"/>
                    </w:rPr>
                  </w:pPr>
                  <w:r>
                    <w:rPr>
                      <w:rFonts w:hint="eastAsia" w:ascii="宋体" w:hAnsi="宋体" w:eastAsia="宋体" w:cs="宋体"/>
                      <w:color w:val="auto"/>
                      <w:szCs w:val="21"/>
                      <w:highlight w:val="none"/>
                      <w:lang w:val="en-US" w:eastAsia="zh-CN"/>
                    </w:rPr>
                    <w:t>废润滑油油桶</w:t>
                  </w:r>
                </w:p>
              </w:tc>
              <w:tc>
                <w:tcPr>
                  <w:tcW w:w="888" w:type="dxa"/>
                  <w:vMerge w:val="continue"/>
                  <w:vAlign w:val="center"/>
                </w:tcPr>
                <w:p w14:paraId="1DEC7FD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073" w:type="dxa"/>
                  <w:vAlign w:val="center"/>
                </w:tcPr>
                <w:p w14:paraId="6A35E5A0">
                  <w:pPr>
                    <w:keepNext w:val="0"/>
                    <w:keepLines w:val="0"/>
                    <w:suppressLineNumbers w:val="0"/>
                    <w:spacing w:before="0" w:beforeAutospacing="0" w:after="0" w:afterAutospacing="0" w:line="240" w:lineRule="auto"/>
                    <w:ind w:left="0" w:leftChars="0" w:right="0" w:rightChars="0"/>
                    <w:jc w:val="center"/>
                    <w:rPr>
                      <w:rFonts w:hint="default"/>
                      <w:color w:val="auto"/>
                      <w:sz w:val="21"/>
                      <w:szCs w:val="21"/>
                      <w:highlight w:val="none"/>
                      <w:lang w:val="en-US" w:eastAsia="zh-CN"/>
                    </w:rPr>
                  </w:pPr>
                  <w:r>
                    <w:rPr>
                      <w:rFonts w:hint="default"/>
                      <w:color w:val="auto"/>
                      <w:sz w:val="21"/>
                      <w:szCs w:val="21"/>
                      <w:highlight w:val="none"/>
                      <w:lang w:val="en-US" w:eastAsia="zh-CN"/>
                    </w:rPr>
                    <w:t>900-249-08</w:t>
                  </w:r>
                </w:p>
              </w:tc>
              <w:tc>
                <w:tcPr>
                  <w:tcW w:w="808" w:type="dxa"/>
                  <w:vMerge w:val="continue"/>
                  <w:vAlign w:val="center"/>
                </w:tcPr>
                <w:p w14:paraId="0492997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38" w:type="dxa"/>
                  <w:vAlign w:val="center"/>
                </w:tcPr>
                <w:p w14:paraId="06960861">
                  <w:pPr>
                    <w:keepNext w:val="0"/>
                    <w:keepLines w:val="0"/>
                    <w:suppressLineNumbers w:val="0"/>
                    <w:spacing w:before="0" w:beforeAutospacing="0" w:after="0" w:afterAutospacing="0" w:line="240" w:lineRule="auto"/>
                    <w:ind w:left="0" w:leftChars="0" w:right="0" w:rightChars="0"/>
                    <w:jc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0.005</w:t>
                  </w:r>
                </w:p>
              </w:tc>
              <w:tc>
                <w:tcPr>
                  <w:tcW w:w="409" w:type="dxa"/>
                  <w:vMerge w:val="continue"/>
                  <w:vAlign w:val="center"/>
                </w:tcPr>
                <w:p w14:paraId="4F554D4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907" w:type="dxa"/>
                  <w:vAlign w:val="center"/>
                </w:tcPr>
                <w:p w14:paraId="1911BAE2">
                  <w:pPr>
                    <w:keepNext w:val="0"/>
                    <w:keepLines w:val="0"/>
                    <w:suppressLineNumbers w:val="0"/>
                    <w:spacing w:before="0" w:beforeAutospacing="0" w:after="0" w:afterAutospacing="0" w:line="240" w:lineRule="auto"/>
                    <w:ind w:left="0" w:leftChars="0" w:right="0" w:rightChars="0"/>
                    <w:jc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0.005</w:t>
                  </w:r>
                </w:p>
              </w:tc>
              <w:tc>
                <w:tcPr>
                  <w:tcW w:w="1900" w:type="dxa"/>
                  <w:vMerge w:val="continue"/>
                  <w:vAlign w:val="center"/>
                </w:tcPr>
                <w:p w14:paraId="2066AA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p>
              </w:tc>
            </w:tr>
            <w:tr w14:paraId="4B535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7" w:type="dxa"/>
                  <w:vMerge w:val="continue"/>
                  <w:vAlign w:val="center"/>
                </w:tcPr>
                <w:p w14:paraId="6DC33CA0">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eastAsia="zh-CN"/>
                    </w:rPr>
                  </w:pPr>
                </w:p>
              </w:tc>
              <w:tc>
                <w:tcPr>
                  <w:tcW w:w="618" w:type="dxa"/>
                  <w:shd w:val="clear" w:color="auto" w:fill="auto"/>
                  <w:vAlign w:val="center"/>
                </w:tcPr>
                <w:p w14:paraId="3ADEF0B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含油手套和抹布</w:t>
                  </w:r>
                </w:p>
              </w:tc>
              <w:tc>
                <w:tcPr>
                  <w:tcW w:w="888" w:type="dxa"/>
                  <w:shd w:val="clear" w:color="auto" w:fill="auto"/>
                  <w:vAlign w:val="center"/>
                </w:tcPr>
                <w:p w14:paraId="7BDBC00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tc>
              <w:tc>
                <w:tcPr>
                  <w:tcW w:w="1073" w:type="dxa"/>
                  <w:shd w:val="clear" w:color="auto" w:fill="auto"/>
                  <w:vAlign w:val="center"/>
                </w:tcPr>
                <w:p w14:paraId="15003DA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900-041-49</w:t>
                  </w:r>
                </w:p>
              </w:tc>
              <w:tc>
                <w:tcPr>
                  <w:tcW w:w="808" w:type="dxa"/>
                  <w:vMerge w:val="continue"/>
                  <w:shd w:val="clear" w:color="auto" w:fill="auto"/>
                  <w:vAlign w:val="center"/>
                </w:tcPr>
                <w:p w14:paraId="68D9DE4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38" w:type="dxa"/>
                  <w:shd w:val="clear" w:color="auto" w:fill="auto"/>
                  <w:vAlign w:val="center"/>
                </w:tcPr>
                <w:p w14:paraId="41D762E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0.005</w:t>
                  </w:r>
                </w:p>
              </w:tc>
              <w:tc>
                <w:tcPr>
                  <w:tcW w:w="409" w:type="dxa"/>
                  <w:vMerge w:val="continue"/>
                  <w:shd w:val="clear" w:color="auto" w:fill="auto"/>
                  <w:vAlign w:val="center"/>
                </w:tcPr>
                <w:p w14:paraId="3E9C95F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907" w:type="dxa"/>
                  <w:vAlign w:val="center"/>
                </w:tcPr>
                <w:p w14:paraId="4469014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0.005</w:t>
                  </w:r>
                </w:p>
              </w:tc>
              <w:tc>
                <w:tcPr>
                  <w:tcW w:w="1900" w:type="dxa"/>
                  <w:vMerge w:val="continue"/>
                  <w:vAlign w:val="center"/>
                </w:tcPr>
                <w:p w14:paraId="2E5006E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bidi="ar"/>
                    </w:rPr>
                  </w:pPr>
                </w:p>
              </w:tc>
            </w:tr>
          </w:tbl>
          <w:p w14:paraId="13847F9A">
            <w:pPr>
              <w:pStyle w:val="56"/>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auto"/>
                <w:szCs w:val="24"/>
                <w:highlight w:val="none"/>
                <w:lang w:eastAsia="zh-CN"/>
              </w:rPr>
            </w:pPr>
            <w:r>
              <w:rPr>
                <w:rFonts w:hint="eastAsia" w:ascii="Times New Roman" w:hAnsi="Times New Roman" w:eastAsia="宋体" w:cs="Times New Roman"/>
                <w:b/>
                <w:bCs/>
                <w:color w:val="auto"/>
                <w:szCs w:val="24"/>
                <w:highlight w:val="none"/>
                <w:lang w:val="en-US" w:eastAsia="zh-CN"/>
              </w:rPr>
              <w:t>五</w:t>
            </w:r>
            <w:r>
              <w:rPr>
                <w:rFonts w:hint="default" w:ascii="Times New Roman" w:hAnsi="Times New Roman" w:eastAsia="宋体" w:cs="Times New Roman"/>
                <w:b/>
                <w:bCs/>
                <w:color w:val="auto"/>
                <w:szCs w:val="24"/>
                <w:highlight w:val="none"/>
              </w:rPr>
              <w:t>、地下水、土壤</w:t>
            </w:r>
          </w:p>
          <w:p w14:paraId="7B9BC9C9">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本项目不产生挥发性有机物及重金属气态物质，不涉及有毒有害物质。根据《环境影响评价技术导则 地下水环境》（HJ610-2016）及《危险废物贮存污染控制标准》（GB18597-2023）相关要求要求，结合项目各区域污染物泄漏途径及风险程度，将全厂划分为重点防渗区和简单防渗区，实施差异化防渗管理：</w:t>
            </w:r>
            <w:r>
              <w:rPr>
                <w:rFonts w:hint="default" w:ascii="Times New Roman" w:hAnsi="Times New Roman" w:cs="Times New Roman"/>
                <w:color w:val="auto"/>
                <w:sz w:val="24"/>
                <w:szCs w:val="24"/>
                <w:highlight w:val="none"/>
                <w:u w:val="none" w:color="auto"/>
                <w:lang w:val="en-US" w:eastAsia="zh-CN"/>
              </w:rPr>
              <w:t>（1）</w:t>
            </w:r>
            <w:r>
              <w:rPr>
                <w:rFonts w:hint="default" w:ascii="Times New Roman" w:hAnsi="Times New Roman" w:eastAsia="宋体" w:cs="Times New Roman"/>
                <w:color w:val="auto"/>
                <w:sz w:val="24"/>
                <w:szCs w:val="24"/>
                <w:highlight w:val="none"/>
                <w:u w:val="none" w:color="auto"/>
                <w:lang w:val="en-US" w:eastAsia="zh-CN"/>
              </w:rPr>
              <w:t>重点防渗区主要包括危废贮存库。该区域地面及裙脚（高度不低于15cm）采取严格防渗措施，表面铺设2mm厚高密度聚乙烯（HDPE）膜或涂刷多层环氧树脂防渗涂料，防渗层性能需满足《危险废物贮存污染控制标准》（GB18597-2023）要求，确保渗透系数K≤1.0×10</w:t>
            </w:r>
            <w:r>
              <w:rPr>
                <w:rFonts w:hint="default" w:ascii="Times New Roman" w:hAnsi="Times New Roman" w:eastAsia="宋体" w:cs="Times New Roman"/>
                <w:color w:val="auto"/>
                <w:sz w:val="24"/>
                <w:szCs w:val="24"/>
                <w:highlight w:val="none"/>
                <w:u w:val="none" w:color="auto"/>
                <w:vertAlign w:val="superscript"/>
                <w:lang w:val="en-US" w:eastAsia="zh-CN"/>
              </w:rPr>
              <w:t>-10</w:t>
            </w:r>
            <w:r>
              <w:rPr>
                <w:rFonts w:hint="default" w:ascii="Times New Roman" w:hAnsi="Times New Roman" w:eastAsia="宋体" w:cs="Times New Roman"/>
                <w:color w:val="auto"/>
                <w:sz w:val="24"/>
                <w:szCs w:val="24"/>
                <w:highlight w:val="none"/>
                <w:u w:val="none" w:color="auto"/>
                <w:lang w:val="en-US" w:eastAsia="zh-CN"/>
              </w:rPr>
              <w:t>cm/s；</w:t>
            </w:r>
            <w:r>
              <w:rPr>
                <w:rFonts w:hint="eastAsia" w:cs="Times New Roman"/>
                <w:color w:val="auto"/>
                <w:sz w:val="24"/>
                <w:szCs w:val="24"/>
                <w:highlight w:val="none"/>
                <w:u w:val="none" w:color="auto"/>
                <w:lang w:val="en-US" w:eastAsia="zh-CN"/>
              </w:rPr>
              <w:t>（2</w:t>
            </w:r>
            <w:r>
              <w:rPr>
                <w:rFonts w:hint="eastAsia" w:ascii="Times New Roman" w:hAnsi="Times New Roman" w:eastAsia="宋体" w:cs="Times New Roman"/>
                <w:color w:val="auto"/>
                <w:sz w:val="24"/>
                <w:szCs w:val="24"/>
                <w:highlight w:val="none"/>
                <w:u w:val="none" w:color="auto"/>
                <w:lang w:val="en-US" w:eastAsia="zh-CN"/>
              </w:rPr>
              <w:t>）一般防渗区主要包括灰渣间、燃料间，需满足等效黏土防渗层Mb≥1.5m，K≤1.0×10</w:t>
            </w:r>
            <w:r>
              <w:rPr>
                <w:rFonts w:hint="eastAsia" w:ascii="Times New Roman" w:hAnsi="Times New Roman" w:eastAsia="宋体" w:cs="Times New Roman"/>
                <w:color w:val="auto"/>
                <w:sz w:val="24"/>
                <w:szCs w:val="24"/>
                <w:highlight w:val="none"/>
                <w:u w:val="none" w:color="auto"/>
                <w:vertAlign w:val="superscript"/>
                <w:lang w:val="en-US" w:eastAsia="zh-CN"/>
              </w:rPr>
              <w:t>-7</w:t>
            </w:r>
            <w:r>
              <w:rPr>
                <w:rFonts w:hint="eastAsia" w:ascii="Times New Roman" w:hAnsi="Times New Roman" w:eastAsia="宋体" w:cs="Times New Roman"/>
                <w:color w:val="auto"/>
                <w:sz w:val="24"/>
                <w:szCs w:val="24"/>
                <w:highlight w:val="none"/>
                <w:u w:val="none" w:color="auto"/>
                <w:lang w:val="en-US" w:eastAsia="zh-CN"/>
              </w:rPr>
              <w:t>cm/s的要求；</w:t>
            </w:r>
            <w:r>
              <w:rPr>
                <w:rFonts w:hint="default" w:ascii="Times New Roman" w:hAnsi="Times New Roman" w:eastAsia="宋体" w:cs="Times New Roman"/>
                <w:color w:val="auto"/>
                <w:sz w:val="24"/>
                <w:szCs w:val="24"/>
                <w:highlight w:val="none"/>
                <w:u w:val="none" w:color="auto"/>
                <w:lang w:val="en-US" w:eastAsia="zh-CN"/>
              </w:rPr>
              <w:t>（</w:t>
            </w:r>
            <w:r>
              <w:rPr>
                <w:rFonts w:hint="eastAsia" w:ascii="Times New Roman" w:hAnsi="Times New Roman" w:eastAsia="宋体" w:cs="Times New Roman"/>
                <w:color w:val="auto"/>
                <w:sz w:val="24"/>
                <w:szCs w:val="24"/>
                <w:highlight w:val="none"/>
                <w:u w:val="none" w:color="auto"/>
                <w:lang w:val="en-US" w:eastAsia="zh-CN"/>
              </w:rPr>
              <w:t>3</w:t>
            </w:r>
            <w:r>
              <w:rPr>
                <w:rFonts w:hint="default" w:ascii="Times New Roman" w:hAnsi="Times New Roman" w:cs="Times New Roman"/>
                <w:color w:val="auto"/>
                <w:sz w:val="24"/>
                <w:szCs w:val="24"/>
                <w:highlight w:val="none"/>
                <w:u w:val="none" w:color="auto"/>
                <w:lang w:val="en-US" w:eastAsia="zh-CN"/>
              </w:rPr>
              <w:t>）</w:t>
            </w:r>
            <w:r>
              <w:rPr>
                <w:rFonts w:hint="default" w:ascii="Times New Roman" w:hAnsi="Times New Roman" w:eastAsia="宋体" w:cs="Times New Roman"/>
                <w:color w:val="auto"/>
                <w:sz w:val="24"/>
                <w:szCs w:val="24"/>
                <w:highlight w:val="none"/>
                <w:u w:val="none" w:color="auto"/>
                <w:lang w:val="en-US" w:eastAsia="zh-CN"/>
              </w:rPr>
              <w:t>简单防渗区主要包办公区及其他辅助用房。该区域进行一般地面硬化处理，满足日常办公及卫生要求。采取上述措施后，本项目不会对区域地下水和土壤环境造成明显影响。</w:t>
            </w:r>
          </w:p>
          <w:p w14:paraId="1973BAF2">
            <w:pPr>
              <w:pStyle w:val="56"/>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auto"/>
                <w:szCs w:val="24"/>
                <w:highlight w:val="none"/>
                <w:lang w:val="en-US" w:eastAsia="zh-CN"/>
              </w:rPr>
            </w:pPr>
            <w:r>
              <w:rPr>
                <w:rFonts w:hint="eastAsia" w:ascii="Times New Roman" w:hAnsi="Times New Roman" w:eastAsia="宋体" w:cs="Times New Roman"/>
                <w:b/>
                <w:bCs/>
                <w:color w:val="auto"/>
                <w:szCs w:val="24"/>
                <w:highlight w:val="none"/>
                <w:lang w:val="en-US" w:eastAsia="zh-CN"/>
              </w:rPr>
              <w:t>六、生态</w:t>
            </w:r>
          </w:p>
          <w:p w14:paraId="1488D424">
            <w:pPr>
              <w:keepNext w:val="0"/>
              <w:keepLines w:val="0"/>
              <w:suppressLineNumbers w:val="0"/>
              <w:spacing w:before="0" w:beforeAutospacing="0" w:after="0" w:afterAutospacing="0" w:line="360" w:lineRule="auto"/>
              <w:ind w:left="0" w:right="0" w:firstLine="480" w:firstLineChars="200"/>
              <w:contextualSpacing/>
              <w:rPr>
                <w:rFonts w:hint="eastAsia" w:ascii="Times New Roman" w:hAnsi="Times New Roman" w:eastAsia="宋体" w:cs="Times New Roman"/>
                <w:color w:val="auto"/>
                <w:sz w:val="24"/>
                <w:szCs w:val="24"/>
                <w:highlight w:val="none"/>
                <w:u w:val="none" w:color="auto"/>
                <w:lang w:val="en-US" w:eastAsia="zh-CN"/>
              </w:rPr>
            </w:pPr>
            <w:r>
              <w:rPr>
                <w:rFonts w:hint="eastAsia" w:ascii="Times New Roman" w:hAnsi="Times New Roman" w:eastAsia="宋体" w:cs="Times New Roman"/>
                <w:color w:val="auto"/>
                <w:sz w:val="24"/>
                <w:szCs w:val="24"/>
                <w:highlight w:val="none"/>
                <w:u w:val="none" w:color="auto"/>
                <w:lang w:val="en-US" w:eastAsia="zh-CN"/>
              </w:rPr>
              <w:t>本项目用地类型为</w:t>
            </w:r>
            <w:r>
              <w:rPr>
                <w:rFonts w:hint="eastAsia" w:cs="Times New Roman"/>
                <w:color w:val="auto"/>
                <w:sz w:val="24"/>
                <w:szCs w:val="24"/>
                <w:highlight w:val="none"/>
                <w:u w:val="none" w:color="auto"/>
                <w:lang w:val="en-US" w:eastAsia="zh-CN"/>
              </w:rPr>
              <w:t>工业用地</w:t>
            </w:r>
            <w:r>
              <w:rPr>
                <w:rFonts w:hint="eastAsia" w:ascii="Times New Roman" w:hAnsi="Times New Roman" w:eastAsia="宋体" w:cs="Times New Roman"/>
                <w:color w:val="auto"/>
                <w:sz w:val="24"/>
                <w:szCs w:val="24"/>
                <w:highlight w:val="none"/>
                <w:u w:val="none" w:color="auto"/>
                <w:lang w:val="en-US" w:eastAsia="zh-CN"/>
              </w:rPr>
              <w:t>，且占地范围内无特殊生态敏感区及重要生态敏感区等生态环境保护目标，对周边生态环境影响较小，无需设置相应生态环境保护措施。</w:t>
            </w:r>
          </w:p>
          <w:p w14:paraId="7083C390">
            <w:pPr>
              <w:pStyle w:val="56"/>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auto"/>
                <w:szCs w:val="24"/>
                <w:highlight w:val="none"/>
                <w:lang w:val="en-US" w:eastAsia="zh-CN"/>
              </w:rPr>
            </w:pPr>
            <w:r>
              <w:rPr>
                <w:rFonts w:hint="eastAsia" w:ascii="Times New Roman" w:hAnsi="Times New Roman" w:eastAsia="宋体" w:cs="Times New Roman"/>
                <w:b/>
                <w:bCs/>
                <w:color w:val="auto"/>
                <w:szCs w:val="24"/>
                <w:highlight w:val="none"/>
                <w:lang w:val="en-US" w:eastAsia="zh-CN"/>
              </w:rPr>
              <w:t>七、环境风险</w:t>
            </w:r>
          </w:p>
          <w:p w14:paraId="215A709D">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（一）环境风险调查及风险评价判定</w:t>
            </w:r>
          </w:p>
          <w:p w14:paraId="1FDAA8F0">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根据《建设项目环境风险评价技术导则》（HJ169-2018）附录B以及《企业突发环境事件风险分级方法》(HJ941-2018）附录A，项目涉及的主要危险物质为废矿物油。正常工况下，厂区内无</w:t>
            </w:r>
            <w:r>
              <w:rPr>
                <w:rFonts w:hint="eastAsia" w:ascii="Times New Roman" w:hAnsi="Times New Roman" w:eastAsia="宋体" w:cs="Times New Roman"/>
                <w:color w:val="auto"/>
                <w:sz w:val="24"/>
                <w:szCs w:val="24"/>
                <w:highlight w:val="none"/>
                <w:u w:val="none" w:color="auto"/>
                <w:lang w:val="en-US" w:eastAsia="zh-CN"/>
              </w:rPr>
              <w:t>矿物</w:t>
            </w:r>
            <w:r>
              <w:rPr>
                <w:rFonts w:hint="default" w:ascii="Times New Roman" w:hAnsi="Times New Roman" w:eastAsia="宋体" w:cs="Times New Roman"/>
                <w:color w:val="auto"/>
                <w:sz w:val="24"/>
                <w:szCs w:val="24"/>
                <w:highlight w:val="none"/>
                <w:u w:val="none" w:color="auto"/>
                <w:lang w:val="en-US" w:eastAsia="zh-CN"/>
              </w:rPr>
              <w:t>油贮存，仅在设备维修保养期间采购</w:t>
            </w:r>
            <w:r>
              <w:rPr>
                <w:rFonts w:hint="eastAsia" w:ascii="Times New Roman" w:hAnsi="Times New Roman" w:eastAsia="宋体" w:cs="Times New Roman"/>
                <w:color w:val="auto"/>
                <w:sz w:val="24"/>
                <w:szCs w:val="24"/>
                <w:highlight w:val="none"/>
                <w:u w:val="none" w:color="auto"/>
                <w:lang w:val="en-US" w:eastAsia="zh-CN"/>
              </w:rPr>
              <w:t>矿物油</w:t>
            </w:r>
            <w:r>
              <w:rPr>
                <w:rFonts w:hint="default" w:ascii="Times New Roman" w:hAnsi="Times New Roman" w:eastAsia="宋体" w:cs="Times New Roman"/>
                <w:color w:val="auto"/>
                <w:sz w:val="24"/>
                <w:szCs w:val="24"/>
                <w:highlight w:val="none"/>
                <w:u w:val="none" w:color="auto"/>
                <w:lang w:val="en-US" w:eastAsia="zh-CN"/>
              </w:rPr>
              <w:t>使用，本项目矿物油、废矿物油最大贮存量为0.0</w:t>
            </w:r>
            <w:r>
              <w:rPr>
                <w:rFonts w:hint="eastAsia" w:ascii="Times New Roman" w:hAnsi="Times New Roman" w:eastAsia="宋体" w:cs="Times New Roman"/>
                <w:color w:val="auto"/>
                <w:sz w:val="24"/>
                <w:szCs w:val="24"/>
                <w:highlight w:val="none"/>
                <w:u w:val="none" w:color="auto"/>
                <w:lang w:val="en-US" w:eastAsia="zh-CN"/>
              </w:rPr>
              <w:t>1</w:t>
            </w:r>
            <w:r>
              <w:rPr>
                <w:rFonts w:hint="default" w:ascii="Times New Roman" w:hAnsi="Times New Roman" w:eastAsia="宋体" w:cs="Times New Roman"/>
                <w:color w:val="auto"/>
                <w:sz w:val="24"/>
                <w:szCs w:val="24"/>
                <w:highlight w:val="none"/>
                <w:u w:val="none" w:color="auto"/>
                <w:lang w:val="en-US" w:eastAsia="zh-CN"/>
              </w:rPr>
              <w:t>t。油类物质临界量为2500t，因此Q=0.</w:t>
            </w:r>
            <w:r>
              <w:rPr>
                <w:rFonts w:hint="eastAsia" w:ascii="Times New Roman" w:hAnsi="Times New Roman" w:eastAsia="宋体" w:cs="Times New Roman"/>
                <w:color w:val="auto"/>
                <w:sz w:val="24"/>
                <w:szCs w:val="24"/>
                <w:highlight w:val="none"/>
                <w:u w:val="none" w:color="auto"/>
                <w:lang w:val="en-US" w:eastAsia="zh-CN"/>
              </w:rPr>
              <w:t>000004</w:t>
            </w:r>
            <w:r>
              <w:rPr>
                <w:rFonts w:hint="default" w:ascii="Times New Roman" w:hAnsi="Times New Roman" w:eastAsia="宋体" w:cs="Times New Roman"/>
                <w:color w:val="auto"/>
                <w:sz w:val="24"/>
                <w:szCs w:val="24"/>
                <w:highlight w:val="none"/>
                <w:u w:val="none" w:color="auto"/>
                <w:lang w:val="en-US" w:eastAsia="zh-CN"/>
              </w:rPr>
              <w:t>；因此本项目Q=0</w:t>
            </w:r>
            <w:r>
              <w:rPr>
                <w:rFonts w:hint="eastAsia" w:ascii="Times New Roman" w:hAnsi="Times New Roman" w:eastAsia="宋体" w:cs="Times New Roman"/>
                <w:color w:val="auto"/>
                <w:sz w:val="24"/>
                <w:szCs w:val="24"/>
                <w:highlight w:val="none"/>
                <w:u w:val="none" w:color="auto"/>
                <w:lang w:val="en-US" w:eastAsia="zh-CN"/>
              </w:rPr>
              <w:t>0000</w:t>
            </w:r>
            <w:r>
              <w:rPr>
                <w:rFonts w:hint="default" w:ascii="Times New Roman" w:hAnsi="Times New Roman" w:eastAsia="宋体" w:cs="Times New Roman"/>
                <w:color w:val="auto"/>
                <w:sz w:val="24"/>
                <w:szCs w:val="24"/>
                <w:highlight w:val="none"/>
                <w:u w:val="none" w:color="auto"/>
                <w:lang w:val="en-US" w:eastAsia="zh-CN"/>
              </w:rPr>
              <w:t>2＜1。</w:t>
            </w:r>
          </w:p>
          <w:p w14:paraId="712C3A3E">
            <w:pPr>
              <w:pStyle w:val="66"/>
              <w:keepNext w:val="0"/>
              <w:keepLines w:val="0"/>
              <w:suppressLineNumbers w:val="0"/>
              <w:spacing w:before="0" w:beforeAutospacing="0" w:after="0" w:afterAutospacing="0" w:line="400" w:lineRule="atLeast"/>
              <w:ind w:left="0" w:right="0"/>
              <w:rPr>
                <w:rFonts w:hint="default" w:ascii="Times New Roman" w:hAnsi="Times New Roman" w:cs="Times New Roman"/>
                <w:color w:val="auto"/>
                <w:szCs w:val="24"/>
                <w:highlight w:val="none"/>
              </w:rPr>
            </w:pPr>
            <w:r>
              <w:rPr>
                <w:rFonts w:hint="eastAsia"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t>4-</w:t>
            </w:r>
            <w:r>
              <w:rPr>
                <w:rFonts w:hint="eastAsia" w:ascii="Times New Roman" w:hAnsi="Times New Roman" w:eastAsia="宋体" w:cs="Times New Roman"/>
                <w:b/>
                <w:bCs/>
                <w:color w:val="auto"/>
                <w:kern w:val="2"/>
                <w:sz w:val="21"/>
                <w:szCs w:val="21"/>
                <w:highlight w:val="none"/>
                <w:lang w:val="en-US" w:eastAsia="zh-CN" w:bidi="ar-SA"/>
              </w:rPr>
              <w:t>18环境风险评价工作等级</w:t>
            </w:r>
          </w:p>
          <w:tbl>
            <w:tblPr>
              <w:tblStyle w:val="3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550"/>
              <w:gridCol w:w="1352"/>
              <w:gridCol w:w="1350"/>
              <w:gridCol w:w="1350"/>
              <w:gridCol w:w="1351"/>
            </w:tblGrid>
            <w:tr w14:paraId="0C6F8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3029" w:type="dxa"/>
                  <w:tcBorders>
                    <w:top w:val="single" w:color="auto" w:sz="12" w:space="0"/>
                    <w:left w:val="nil"/>
                    <w:bottom w:val="single" w:color="auto" w:sz="4" w:space="0"/>
                    <w:right w:val="single" w:color="auto" w:sz="4" w:space="0"/>
                  </w:tcBorders>
                  <w:noWrap w:val="0"/>
                  <w:vAlign w:val="center"/>
                </w:tcPr>
                <w:p w14:paraId="4363614E">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环境风险潜势</w:t>
                  </w:r>
                </w:p>
              </w:tc>
              <w:tc>
                <w:tcPr>
                  <w:tcW w:w="1600" w:type="dxa"/>
                  <w:tcBorders>
                    <w:top w:val="single" w:color="auto" w:sz="12" w:space="0"/>
                    <w:left w:val="single" w:color="auto" w:sz="4" w:space="0"/>
                    <w:bottom w:val="single" w:color="auto" w:sz="4" w:space="0"/>
                    <w:right w:val="single" w:color="auto" w:sz="4" w:space="0"/>
                  </w:tcBorders>
                  <w:noWrap w:val="0"/>
                  <w:vAlign w:val="center"/>
                </w:tcPr>
                <w:p w14:paraId="082F23B4">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Ⅳ、Ⅳ+</w:t>
                  </w:r>
                </w:p>
              </w:tc>
              <w:tc>
                <w:tcPr>
                  <w:tcW w:w="1598" w:type="dxa"/>
                  <w:tcBorders>
                    <w:top w:val="single" w:color="auto" w:sz="12" w:space="0"/>
                    <w:left w:val="single" w:color="auto" w:sz="4" w:space="0"/>
                    <w:bottom w:val="single" w:color="auto" w:sz="4" w:space="0"/>
                    <w:right w:val="single" w:color="auto" w:sz="4" w:space="0"/>
                  </w:tcBorders>
                  <w:noWrap w:val="0"/>
                  <w:vAlign w:val="center"/>
                </w:tcPr>
                <w:p w14:paraId="319A062D">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Ⅲ</w:t>
                  </w:r>
                </w:p>
              </w:tc>
              <w:tc>
                <w:tcPr>
                  <w:tcW w:w="1598" w:type="dxa"/>
                  <w:tcBorders>
                    <w:top w:val="single" w:color="auto" w:sz="12" w:space="0"/>
                    <w:left w:val="single" w:color="auto" w:sz="4" w:space="0"/>
                    <w:bottom w:val="single" w:color="auto" w:sz="4" w:space="0"/>
                    <w:right w:val="single" w:color="auto" w:sz="4" w:space="0"/>
                  </w:tcBorders>
                  <w:noWrap w:val="0"/>
                  <w:vAlign w:val="center"/>
                </w:tcPr>
                <w:p w14:paraId="50D4295A">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Ⅱ</w:t>
                  </w:r>
                </w:p>
              </w:tc>
              <w:tc>
                <w:tcPr>
                  <w:tcW w:w="1598" w:type="dxa"/>
                  <w:tcBorders>
                    <w:top w:val="single" w:color="auto" w:sz="12" w:space="0"/>
                    <w:left w:val="single" w:color="auto" w:sz="4" w:space="0"/>
                    <w:bottom w:val="single" w:color="auto" w:sz="4" w:space="0"/>
                    <w:right w:val="nil"/>
                  </w:tcBorders>
                  <w:noWrap w:val="0"/>
                  <w:vAlign w:val="center"/>
                </w:tcPr>
                <w:p w14:paraId="2B55B823">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Ⅰ</w:t>
                  </w:r>
                </w:p>
              </w:tc>
            </w:tr>
            <w:tr w14:paraId="040286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029" w:type="dxa"/>
                  <w:tcBorders>
                    <w:top w:val="single" w:color="auto" w:sz="4" w:space="0"/>
                    <w:left w:val="nil"/>
                    <w:bottom w:val="single" w:color="auto" w:sz="4" w:space="0"/>
                    <w:right w:val="single" w:color="auto" w:sz="4" w:space="0"/>
                  </w:tcBorders>
                  <w:noWrap w:val="0"/>
                  <w:vAlign w:val="center"/>
                </w:tcPr>
                <w:p w14:paraId="0EA7D19C">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评价等级</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2A2D1E5">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203A2B4">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E1F4205">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三</w:t>
                  </w:r>
                </w:p>
              </w:tc>
              <w:tc>
                <w:tcPr>
                  <w:tcW w:w="1598" w:type="dxa"/>
                  <w:tcBorders>
                    <w:top w:val="single" w:color="auto" w:sz="4" w:space="0"/>
                    <w:left w:val="single" w:color="auto" w:sz="4" w:space="0"/>
                    <w:bottom w:val="single" w:color="auto" w:sz="4" w:space="0"/>
                    <w:right w:val="nil"/>
                  </w:tcBorders>
                  <w:noWrap w:val="0"/>
                  <w:vAlign w:val="center"/>
                </w:tcPr>
                <w:p w14:paraId="7F93DB6C">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简单分析a</w:t>
                  </w:r>
                </w:p>
              </w:tc>
            </w:tr>
            <w:tr w14:paraId="4B075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99" w:hRule="atLeast"/>
                <w:jc w:val="center"/>
              </w:trPr>
              <w:tc>
                <w:tcPr>
                  <w:tcW w:w="9423" w:type="dxa"/>
                  <w:gridSpan w:val="5"/>
                  <w:tcBorders>
                    <w:top w:val="single" w:color="auto" w:sz="4" w:space="0"/>
                    <w:left w:val="nil"/>
                    <w:bottom w:val="single" w:color="auto" w:sz="12" w:space="0"/>
                    <w:right w:val="nil"/>
                  </w:tcBorders>
                  <w:noWrap w:val="0"/>
                  <w:vAlign w:val="center"/>
                </w:tcPr>
                <w:p w14:paraId="5B3F6E53">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a是相对于详细评价工作内容而言，再描述危险物质、环境影响途径、环境危害后果、风险防范措施等方面给出定性的说明。</w:t>
                  </w:r>
                </w:p>
              </w:tc>
            </w:tr>
          </w:tbl>
          <w:p w14:paraId="0CFEEA6E">
            <w:pPr>
              <w:pStyle w:val="66"/>
              <w:keepNext w:val="0"/>
              <w:keepLines w:val="0"/>
              <w:suppressLineNumbers w:val="0"/>
              <w:spacing w:before="0" w:beforeAutospacing="0" w:after="0" w:afterAutospacing="0" w:line="400" w:lineRule="atLeast"/>
              <w:ind w:left="0" w:right="0"/>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表4-19危险物质情况一览表</w:t>
            </w:r>
          </w:p>
          <w:tbl>
            <w:tblPr>
              <w:tblStyle w:val="3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778"/>
              <w:gridCol w:w="999"/>
              <w:gridCol w:w="1795"/>
              <w:gridCol w:w="1268"/>
              <w:gridCol w:w="1330"/>
            </w:tblGrid>
            <w:tr w14:paraId="3DB01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2" w:type="pct"/>
                  <w:noWrap w:val="0"/>
                  <w:vAlign w:val="center"/>
                </w:tcPr>
                <w:p w14:paraId="1F5EEC74">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1124" w:type="pct"/>
                  <w:noWrap w:val="0"/>
                  <w:vAlign w:val="center"/>
                </w:tcPr>
                <w:p w14:paraId="2CA29EF0">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危险物质名称</w:t>
                  </w:r>
                </w:p>
              </w:tc>
              <w:tc>
                <w:tcPr>
                  <w:tcW w:w="631" w:type="pct"/>
                  <w:noWrap w:val="0"/>
                  <w:vAlign w:val="center"/>
                </w:tcPr>
                <w:p w14:paraId="78CE6D08">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CAS号</w:t>
                  </w:r>
                </w:p>
              </w:tc>
              <w:tc>
                <w:tcPr>
                  <w:tcW w:w="1135" w:type="pct"/>
                  <w:noWrap w:val="0"/>
                  <w:vAlign w:val="center"/>
                </w:tcPr>
                <w:p w14:paraId="3AF67601">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最大存在总量</w:t>
                  </w:r>
                </w:p>
                <w:p w14:paraId="63D765CE">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qn/t</w:t>
                  </w:r>
                </w:p>
              </w:tc>
              <w:tc>
                <w:tcPr>
                  <w:tcW w:w="778" w:type="pct"/>
                  <w:noWrap w:val="0"/>
                  <w:vAlign w:val="center"/>
                </w:tcPr>
                <w:p w14:paraId="03F54381">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临界量Qn/t</w:t>
                  </w:r>
                </w:p>
              </w:tc>
              <w:tc>
                <w:tcPr>
                  <w:tcW w:w="836" w:type="pct"/>
                  <w:noWrap w:val="0"/>
                  <w:vAlign w:val="center"/>
                </w:tcPr>
                <w:p w14:paraId="30AFB7F1">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Q值</w:t>
                  </w:r>
                </w:p>
              </w:tc>
            </w:tr>
            <w:tr w14:paraId="36CD0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92" w:type="pct"/>
                  <w:noWrap w:val="0"/>
                  <w:vAlign w:val="center"/>
                </w:tcPr>
                <w:p w14:paraId="3E339BE6">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124" w:type="pct"/>
                  <w:noWrap w:val="0"/>
                  <w:vAlign w:val="center"/>
                </w:tcPr>
                <w:p w14:paraId="69E58105">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矿物油、</w:t>
                  </w:r>
                  <w:r>
                    <w:rPr>
                      <w:rFonts w:hint="default" w:ascii="Times New Roman" w:hAnsi="Times New Roman" w:eastAsia="宋体" w:cs="Times New Roman"/>
                      <w:color w:val="auto"/>
                      <w:sz w:val="21"/>
                      <w:szCs w:val="21"/>
                      <w:highlight w:val="none"/>
                      <w:lang w:val="en-US" w:eastAsia="zh-CN"/>
                    </w:rPr>
                    <w:t>废</w:t>
                  </w:r>
                  <w:r>
                    <w:rPr>
                      <w:rFonts w:hint="eastAsia" w:ascii="Times New Roman" w:hAnsi="Times New Roman" w:eastAsia="宋体" w:cs="Times New Roman"/>
                      <w:color w:val="auto"/>
                      <w:sz w:val="21"/>
                      <w:szCs w:val="21"/>
                      <w:highlight w:val="none"/>
                      <w:lang w:val="en-US" w:eastAsia="zh-CN"/>
                    </w:rPr>
                    <w:t>矿物油</w:t>
                  </w:r>
                </w:p>
              </w:tc>
              <w:tc>
                <w:tcPr>
                  <w:tcW w:w="631" w:type="pct"/>
                  <w:noWrap w:val="0"/>
                  <w:vAlign w:val="center"/>
                </w:tcPr>
                <w:p w14:paraId="48FAED66">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135" w:type="pct"/>
                  <w:noWrap w:val="0"/>
                  <w:vAlign w:val="center"/>
                </w:tcPr>
                <w:p w14:paraId="57733628">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w:t>
                  </w:r>
                </w:p>
              </w:tc>
              <w:tc>
                <w:tcPr>
                  <w:tcW w:w="778" w:type="pct"/>
                  <w:noWrap w:val="0"/>
                  <w:vAlign w:val="center"/>
                </w:tcPr>
                <w:p w14:paraId="11F0C87E">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2500</w:t>
                  </w:r>
                </w:p>
              </w:tc>
              <w:tc>
                <w:tcPr>
                  <w:tcW w:w="836" w:type="pct"/>
                  <w:noWrap w:val="0"/>
                  <w:vAlign w:val="center"/>
                </w:tcPr>
                <w:p w14:paraId="5E147200">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w:t>
                  </w:r>
                  <w:r>
                    <w:rPr>
                      <w:rFonts w:hint="eastAsia" w:ascii="Times New Roman" w:hAnsi="Times New Roman" w:eastAsia="宋体" w:cs="Times New Roman"/>
                      <w:color w:val="auto"/>
                      <w:sz w:val="21"/>
                      <w:szCs w:val="21"/>
                      <w:highlight w:val="none"/>
                      <w:lang w:val="en-US" w:eastAsia="zh-CN"/>
                    </w:rPr>
                    <w:t>0004</w:t>
                  </w:r>
                </w:p>
              </w:tc>
            </w:tr>
            <w:tr w14:paraId="07308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163" w:type="pct"/>
                  <w:gridSpan w:val="5"/>
                  <w:noWrap w:val="0"/>
                  <w:vAlign w:val="center"/>
                </w:tcPr>
                <w:p w14:paraId="0E2B938C">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836" w:type="pct"/>
                  <w:noWrap w:val="0"/>
                  <w:vAlign w:val="center"/>
                </w:tcPr>
                <w:p w14:paraId="0BE959F7">
                  <w:pPr>
                    <w:pStyle w:val="58"/>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000004</w:t>
                  </w:r>
                </w:p>
              </w:tc>
            </w:tr>
          </w:tbl>
          <w:p w14:paraId="03BD6F4F">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本项目每种危险物质数量与其临界量比值Q＜1，则本项目环境风险潜势为Ⅰ。</w:t>
            </w:r>
          </w:p>
          <w:p w14:paraId="25AA6A1E">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（二）风险类型及影响途径</w:t>
            </w:r>
          </w:p>
          <w:p w14:paraId="511E97BF">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风险类型：</w:t>
            </w:r>
          </w:p>
          <w:p w14:paraId="1E933013">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本项目不涉及油类物质的生产加工，风险主要来自其贮存过程。本项目可能发生以下风险事故：</w:t>
            </w:r>
          </w:p>
          <w:p w14:paraId="13B74B5B">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①收集桶破损造成废矿物油泄漏。</w:t>
            </w:r>
          </w:p>
          <w:p w14:paraId="6913CA0D">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②</w:t>
            </w:r>
            <w:r>
              <w:rPr>
                <w:rFonts w:hint="eastAsia" w:cs="Times New Roman"/>
                <w:color w:val="auto"/>
                <w:sz w:val="24"/>
                <w:szCs w:val="24"/>
                <w:highlight w:val="none"/>
                <w:u w:val="none" w:color="auto"/>
                <w:lang w:val="en-US" w:eastAsia="zh-CN"/>
              </w:rPr>
              <w:t>危险废物贮存库</w:t>
            </w:r>
            <w:r>
              <w:rPr>
                <w:rFonts w:hint="default" w:ascii="Times New Roman" w:hAnsi="Times New Roman" w:eastAsia="宋体" w:cs="Times New Roman"/>
                <w:color w:val="auto"/>
                <w:sz w:val="24"/>
                <w:szCs w:val="24"/>
                <w:highlight w:val="none"/>
                <w:u w:val="none" w:color="auto"/>
                <w:lang w:val="en-US" w:eastAsia="zh-CN"/>
              </w:rPr>
              <w:t>可能发生火灾事故。</w:t>
            </w:r>
          </w:p>
          <w:p w14:paraId="7CE4ABE3">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污染途径：</w:t>
            </w:r>
          </w:p>
          <w:p w14:paraId="6E04A2AC">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①对大气造成的环境影响</w:t>
            </w:r>
          </w:p>
          <w:p w14:paraId="542347D4">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本项目环境风险事故主要是废矿物油泄漏可能发生火灾甚至爆炸。对大气造成环境影响。</w:t>
            </w:r>
          </w:p>
          <w:p w14:paraId="47809A5E">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②对土壤造成的环境影响</w:t>
            </w:r>
          </w:p>
          <w:p w14:paraId="042C8950">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危险废物暂存或管理不当，造成废矿物油泄漏，污染土壤。</w:t>
            </w:r>
          </w:p>
          <w:p w14:paraId="0321D78A">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③对地下水造成的环境影响</w:t>
            </w:r>
          </w:p>
          <w:p w14:paraId="5E5FD4E9">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危险废物暂存或管理不当，造成废矿物油泄漏，污染土壤并进一步影响地下水体</w:t>
            </w:r>
          </w:p>
          <w:p w14:paraId="71401C93">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（三）环境风险防范措施</w:t>
            </w:r>
          </w:p>
          <w:p w14:paraId="64FFBC0B">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w:t>
            </w:r>
            <w:r>
              <w:rPr>
                <w:rFonts w:hint="eastAsia" w:ascii="Times New Roman" w:hAnsi="Times New Roman" w:eastAsia="宋体" w:cs="Times New Roman"/>
                <w:color w:val="auto"/>
                <w:sz w:val="24"/>
                <w:szCs w:val="24"/>
                <w:highlight w:val="none"/>
                <w:u w:val="none" w:color="auto"/>
                <w:lang w:val="en-US" w:eastAsia="zh-CN"/>
              </w:rPr>
              <w:t>1</w:t>
            </w:r>
            <w:r>
              <w:rPr>
                <w:rFonts w:hint="default" w:ascii="Times New Roman" w:hAnsi="Times New Roman" w:eastAsia="宋体" w:cs="Times New Roman"/>
                <w:color w:val="auto"/>
                <w:sz w:val="24"/>
                <w:szCs w:val="24"/>
                <w:highlight w:val="none"/>
                <w:u w:val="none" w:color="auto"/>
                <w:lang w:val="en-US" w:eastAsia="zh-CN"/>
              </w:rPr>
              <w:t>）危废贮存泄露及火灾事故防范措施</w:t>
            </w:r>
          </w:p>
          <w:p w14:paraId="11CCB171">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为尽可能降低环境风险事故发生的概率及减轻事故发生后的环境影响，本评价要求建设单位严格按照《危险废物贮存污染控制标准》（GB18597-2023）、《危险废物收集、贮存、运输技术规范》（HJ2025-2012）等相关标准规范建设、管理和运营，项目风险管理要求如下：</w:t>
            </w:r>
          </w:p>
          <w:p w14:paraId="7AFA3A6B">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a.</w:t>
            </w:r>
            <w:r>
              <w:rPr>
                <w:rFonts w:hint="eastAsia" w:cs="Times New Roman"/>
                <w:color w:val="auto"/>
                <w:sz w:val="24"/>
                <w:szCs w:val="24"/>
                <w:highlight w:val="none"/>
                <w:u w:val="none" w:color="auto"/>
                <w:lang w:val="en-US" w:eastAsia="zh-CN"/>
              </w:rPr>
              <w:t>危险废物贮存库</w:t>
            </w:r>
            <w:r>
              <w:rPr>
                <w:rFonts w:hint="default" w:ascii="Times New Roman" w:hAnsi="Times New Roman" w:eastAsia="宋体" w:cs="Times New Roman"/>
                <w:color w:val="auto"/>
                <w:sz w:val="24"/>
                <w:szCs w:val="24"/>
                <w:highlight w:val="none"/>
                <w:u w:val="none" w:color="auto"/>
                <w:lang w:val="en-US" w:eastAsia="zh-CN"/>
              </w:rPr>
              <w:t>为水泥面硬化，地面采取重点防渗措施，防渗层为至少1m厚黏土层（渗透系数不大于10-7cm/s），或至少2mm厚高密度聚乙烯膜等人工防渗材料（渗透系数不大于10-10cm/s），或其他防渗性能等效的材料，符合《危险废物贮存污染控制标准》（GB18597-2023）要求。</w:t>
            </w:r>
          </w:p>
          <w:p w14:paraId="26CB72D1">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b.每月盘查，如有异常亏损时，立即作追踪检查；</w:t>
            </w:r>
          </w:p>
          <w:p w14:paraId="2FCFA2D5">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c.危废贮存库内的物体必须放在专用贮存桶内，且承装危险废物的容器材质和衬里要与危险废物相容（不相互反应）。</w:t>
            </w:r>
          </w:p>
          <w:p w14:paraId="3F63C660">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d.危险废物贮存设施应配备通讯设备、照明设施、消防设施、安全防护服装及工具，并设有应急防护设施。</w:t>
            </w:r>
          </w:p>
          <w:p w14:paraId="2A708BD9">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e.危险废物收集、贮存、运输单位应建立规范的管理和技术人员培训制度，定期针对管理和技术人员进行培训。培训内容至少应包括危险废物鉴别要求、危险废物经营许可证管理、危险废物转移联单管理、危险废物包装和标识、危险废物运输要求、危险废物事故应急方法等。</w:t>
            </w:r>
          </w:p>
          <w:p w14:paraId="77C5DB37">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f.危险废物收集、贮存、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14:paraId="1055105E">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g.危险废物运输应由持有危险废物经营许可证的单位按照其许可证经营范围组织实施，承担危险废物运输的单位应获得交通部门颁发的危险货物运输资质。</w:t>
            </w:r>
          </w:p>
          <w:p w14:paraId="3A2335C0">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h.</w:t>
            </w:r>
            <w:r>
              <w:rPr>
                <w:rFonts w:hint="eastAsia" w:cs="Times New Roman"/>
                <w:color w:val="auto"/>
                <w:sz w:val="24"/>
                <w:szCs w:val="24"/>
                <w:highlight w:val="none"/>
                <w:u w:val="none" w:color="auto"/>
                <w:lang w:val="en-US" w:eastAsia="zh-CN"/>
              </w:rPr>
              <w:t>建设</w:t>
            </w:r>
            <w:r>
              <w:rPr>
                <w:rFonts w:hint="default" w:ascii="Times New Roman" w:hAnsi="Times New Roman" w:eastAsia="宋体" w:cs="Times New Roman"/>
                <w:color w:val="auto"/>
                <w:sz w:val="24"/>
                <w:szCs w:val="24"/>
                <w:highlight w:val="none"/>
                <w:u w:val="none" w:color="auto"/>
                <w:lang w:val="en-US" w:eastAsia="zh-CN"/>
              </w:rPr>
              <w:t>单位需作好危险废物情况的记录，记录上须注明危险废物的名称、来源、数量、特性和包装容器的类别、入库日期、存放库位、废物出库日期及接收单位名称。</w:t>
            </w:r>
          </w:p>
          <w:p w14:paraId="769363DC">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i.厂区内设置消防沙池及干粉灭火器，值班人员需进行培训，除了具有一般消防知识外，还应熟悉废矿物油特性、贮存地点、事故处理的程序及方法，力争将火灾隐患消灭在萌芽状态。</w:t>
            </w:r>
          </w:p>
          <w:p w14:paraId="2E1EB1F3">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3、风险结论</w:t>
            </w:r>
          </w:p>
          <w:p w14:paraId="0063615F">
            <w:pPr>
              <w:keepNext w:val="0"/>
              <w:keepLines w:val="0"/>
              <w:suppressLineNumbers w:val="0"/>
              <w:spacing w:before="0" w:beforeAutospacing="0" w:after="0" w:afterAutospacing="0" w:line="360" w:lineRule="auto"/>
              <w:ind w:left="0" w:right="0" w:firstLine="480" w:firstLineChars="200"/>
              <w:contextualSpacing/>
              <w:rPr>
                <w:rFonts w:hint="eastAsia"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本项目应严格执行国家有关法律法规，落实各项安全措施，加强风险管理，在采取上述风险防范措施的前提下，环境风险事故发生的几率及可能造成的环境影响可大大降低，环境风险水平是可以接受的</w:t>
            </w:r>
            <w:r>
              <w:rPr>
                <w:rFonts w:hint="eastAsia" w:ascii="Times New Roman" w:hAnsi="Times New Roman" w:eastAsia="宋体" w:cs="Times New Roman"/>
                <w:color w:val="auto"/>
                <w:sz w:val="24"/>
                <w:szCs w:val="24"/>
                <w:highlight w:val="none"/>
                <w:u w:val="none" w:color="auto"/>
                <w:lang w:val="en-US" w:eastAsia="zh-CN"/>
              </w:rPr>
              <w:t>。</w:t>
            </w:r>
          </w:p>
          <w:p w14:paraId="43BCCAF2">
            <w:pPr>
              <w:pStyle w:val="56"/>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Cs w:val="24"/>
                <w:highlight w:val="none"/>
              </w:rPr>
            </w:pPr>
          </w:p>
        </w:tc>
      </w:tr>
    </w:tbl>
    <w:p w14:paraId="7CDC9A11">
      <w:pPr>
        <w:adjustRightInd w:val="0"/>
        <w:snapToGrid w:val="0"/>
        <w:spacing w:line="360" w:lineRule="auto"/>
        <w:rPr>
          <w:rFonts w:hint="eastAsia" w:ascii="Times New Roman" w:hAnsi="Times New Roman" w:eastAsia="宋体" w:cs="Times New Roman"/>
          <w:b/>
          <w:color w:val="auto"/>
          <w:kern w:val="0"/>
          <w:sz w:val="28"/>
          <w:szCs w:val="28"/>
          <w:highlight w:val="none"/>
          <w:lang w:val="en-US" w:eastAsia="zh-CN"/>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00925C6A">
      <w:pPr>
        <w:pStyle w:val="28"/>
        <w:jc w:val="center"/>
        <w:outlineLvl w:val="0"/>
        <w:rPr>
          <w:rFonts w:hint="default" w:ascii="Times New Roman" w:hAnsi="Times New Roman" w:eastAsia="宋体" w:cs="Times New Roman"/>
          <w:snapToGrid w:val="0"/>
          <w:color w:val="auto"/>
          <w:sz w:val="30"/>
          <w:szCs w:val="30"/>
          <w:highlight w:val="none"/>
        </w:rPr>
      </w:pPr>
      <w:bookmarkStart w:id="19" w:name="_Toc5918"/>
      <w:bookmarkStart w:id="20" w:name="_Toc1848"/>
      <w:r>
        <w:rPr>
          <w:rFonts w:hint="default" w:ascii="Times New Roman" w:hAnsi="Times New Roman" w:eastAsia="宋体" w:cs="Times New Roman"/>
          <w:snapToGrid w:val="0"/>
          <w:color w:val="auto"/>
          <w:sz w:val="30"/>
          <w:szCs w:val="30"/>
          <w:highlight w:val="none"/>
        </w:rPr>
        <w:t>五、</w:t>
      </w:r>
      <w:bookmarkStart w:id="21" w:name="_Hlk54167917"/>
      <w:r>
        <w:rPr>
          <w:rFonts w:hint="default" w:ascii="Times New Roman" w:hAnsi="Times New Roman" w:eastAsia="宋体" w:cs="Times New Roman"/>
          <w:snapToGrid w:val="0"/>
          <w:color w:val="auto"/>
          <w:sz w:val="30"/>
          <w:szCs w:val="30"/>
          <w:highlight w:val="none"/>
        </w:rPr>
        <w:t>环境保护措施监督检查清单</w:t>
      </w:r>
      <w:bookmarkEnd w:id="19"/>
      <w:bookmarkEnd w:id="20"/>
      <w:bookmarkEnd w:id="21"/>
    </w:p>
    <w:tbl>
      <w:tblPr>
        <w:tblStyle w:val="33"/>
        <w:tblW w:w="88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617"/>
        <w:gridCol w:w="940"/>
        <w:gridCol w:w="3010"/>
        <w:gridCol w:w="2229"/>
      </w:tblGrid>
      <w:tr w14:paraId="3D16C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tcBorders>
              <w:tl2br w:val="single" w:color="auto" w:sz="4" w:space="0"/>
            </w:tcBorders>
          </w:tcPr>
          <w:p w14:paraId="381FE972">
            <w:pPr>
              <w:keepNext w:val="0"/>
              <w:keepLines w:val="0"/>
              <w:suppressLineNumbers w:val="0"/>
              <w:adjustRightInd w:val="0"/>
              <w:snapToGrid w:val="0"/>
              <w:spacing w:before="0" w:beforeAutospacing="0" w:after="0" w:afterAutospacing="0" w:line="240" w:lineRule="auto"/>
              <w:ind w:left="0" w:right="0"/>
              <w:jc w:val="right"/>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内容</w:t>
            </w:r>
          </w:p>
          <w:p w14:paraId="349F4EBE">
            <w:pPr>
              <w:keepNext w:val="0"/>
              <w:keepLines w:val="0"/>
              <w:suppressLineNumbers w:val="0"/>
              <w:adjustRightInd w:val="0"/>
              <w:snapToGrid w:val="0"/>
              <w:spacing w:before="0" w:beforeAutospacing="0" w:after="0" w:afterAutospacing="0" w:line="240" w:lineRule="auto"/>
              <w:ind w:left="0" w:right="0"/>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要素</w:t>
            </w:r>
          </w:p>
        </w:tc>
        <w:tc>
          <w:tcPr>
            <w:tcW w:w="1617" w:type="dxa"/>
            <w:vAlign w:val="center"/>
          </w:tcPr>
          <w:p w14:paraId="0FBEDB53">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排放口(编号、</w:t>
            </w:r>
          </w:p>
          <w:p w14:paraId="512B6AF6">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名称)/污染源</w:t>
            </w:r>
          </w:p>
        </w:tc>
        <w:tc>
          <w:tcPr>
            <w:tcW w:w="940" w:type="dxa"/>
            <w:vAlign w:val="center"/>
          </w:tcPr>
          <w:p w14:paraId="7DD848F1">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污染物项目</w:t>
            </w:r>
          </w:p>
        </w:tc>
        <w:tc>
          <w:tcPr>
            <w:tcW w:w="3010" w:type="dxa"/>
            <w:vAlign w:val="center"/>
          </w:tcPr>
          <w:p w14:paraId="5A11ADA1">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环境保护措施</w:t>
            </w:r>
          </w:p>
        </w:tc>
        <w:tc>
          <w:tcPr>
            <w:tcW w:w="2229" w:type="dxa"/>
            <w:vAlign w:val="center"/>
          </w:tcPr>
          <w:p w14:paraId="68EA0BB6">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执行标准</w:t>
            </w:r>
          </w:p>
        </w:tc>
      </w:tr>
      <w:tr w14:paraId="210105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Merge w:val="restart"/>
            <w:vAlign w:val="center"/>
          </w:tcPr>
          <w:p w14:paraId="2D9CF82B">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大气</w:t>
            </w:r>
          </w:p>
          <w:p w14:paraId="74028267">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环境</w:t>
            </w:r>
          </w:p>
        </w:tc>
        <w:tc>
          <w:tcPr>
            <w:tcW w:w="1617" w:type="dxa"/>
            <w:vMerge w:val="restart"/>
            <w:vAlign w:val="center"/>
          </w:tcPr>
          <w:p w14:paraId="65E63B26">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热风炉</w:t>
            </w:r>
          </w:p>
        </w:tc>
        <w:tc>
          <w:tcPr>
            <w:tcW w:w="940" w:type="dxa"/>
            <w:vAlign w:val="center"/>
          </w:tcPr>
          <w:p w14:paraId="6CED5BEE">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宋体" w:cs="Times New Roman"/>
                <w:color w:val="auto"/>
                <w:kern w:val="0"/>
                <w:sz w:val="24"/>
                <w:highlight w:val="none"/>
                <w:lang w:eastAsia="zh-CN" w:bidi="ar"/>
              </w:rPr>
            </w:pPr>
            <w:r>
              <w:rPr>
                <w:rFonts w:hint="default" w:ascii="Times New Roman" w:hAnsi="Times New Roman" w:eastAsia="宋体" w:cs="Times New Roman"/>
                <w:color w:val="auto"/>
                <w:kern w:val="0"/>
                <w:sz w:val="24"/>
                <w:highlight w:val="none"/>
                <w:lang w:val="en-US" w:eastAsia="zh-CN" w:bidi="ar"/>
              </w:rPr>
              <w:t>颗粒物</w:t>
            </w:r>
          </w:p>
        </w:tc>
        <w:tc>
          <w:tcPr>
            <w:tcW w:w="3010" w:type="dxa"/>
            <w:vMerge w:val="restart"/>
            <w:vAlign w:val="center"/>
          </w:tcPr>
          <w:p w14:paraId="7DA3B8EA">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布袋除尘器（效率</w:t>
            </w:r>
            <w:r>
              <w:rPr>
                <w:rFonts w:hint="default" w:ascii="Times New Roman" w:hAnsi="Times New Roman" w:cs="Times New Roman"/>
                <w:color w:val="auto"/>
                <w:sz w:val="24"/>
                <w:szCs w:val="24"/>
                <w:highlight w:val="none"/>
                <w:lang w:eastAsia="zh-CN"/>
              </w:rPr>
              <w:t>99.5%</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val="en-US" w:eastAsia="zh-CN"/>
              </w:rPr>
              <w:t>m高烟囱</w:t>
            </w:r>
          </w:p>
        </w:tc>
        <w:tc>
          <w:tcPr>
            <w:tcW w:w="2229" w:type="dxa"/>
            <w:vMerge w:val="restart"/>
            <w:vAlign w:val="center"/>
          </w:tcPr>
          <w:p w14:paraId="2061F27C">
            <w:pPr>
              <w:pStyle w:val="82"/>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《工业炉窑大气污染物排放标准》（GB9078-1996）表2中二级标准</w:t>
            </w:r>
          </w:p>
        </w:tc>
      </w:tr>
      <w:tr w14:paraId="3350C7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Merge w:val="continue"/>
            <w:vAlign w:val="center"/>
          </w:tcPr>
          <w:p w14:paraId="1051D701">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Merge w:val="continue"/>
            <w:vAlign w:val="center"/>
          </w:tcPr>
          <w:p w14:paraId="081F5DC2">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rPr>
            </w:pPr>
          </w:p>
        </w:tc>
        <w:tc>
          <w:tcPr>
            <w:tcW w:w="940" w:type="dxa"/>
            <w:vAlign w:val="center"/>
          </w:tcPr>
          <w:p w14:paraId="64C1E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烟气黑度</w:t>
            </w:r>
          </w:p>
        </w:tc>
        <w:tc>
          <w:tcPr>
            <w:tcW w:w="3010" w:type="dxa"/>
            <w:vMerge w:val="continue"/>
            <w:vAlign w:val="center"/>
          </w:tcPr>
          <w:p w14:paraId="35181BC0">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p>
        </w:tc>
        <w:tc>
          <w:tcPr>
            <w:tcW w:w="2229" w:type="dxa"/>
            <w:vMerge w:val="continue"/>
            <w:vAlign w:val="center"/>
          </w:tcPr>
          <w:p w14:paraId="11557B54">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r>
      <w:tr w14:paraId="6C806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7" w:type="dxa"/>
            <w:vMerge w:val="continue"/>
            <w:vAlign w:val="center"/>
          </w:tcPr>
          <w:p w14:paraId="72C21478">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Merge w:val="continue"/>
            <w:vAlign w:val="center"/>
          </w:tcPr>
          <w:p w14:paraId="68A71A28">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rPr>
            </w:pPr>
          </w:p>
        </w:tc>
        <w:tc>
          <w:tcPr>
            <w:tcW w:w="940" w:type="dxa"/>
            <w:vAlign w:val="center"/>
          </w:tcPr>
          <w:p w14:paraId="686162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SO</w:t>
            </w:r>
            <w:r>
              <w:rPr>
                <w:rFonts w:hint="default" w:ascii="Times New Roman" w:hAnsi="Times New Roman" w:eastAsia="宋体" w:cs="Times New Roman"/>
                <w:color w:val="auto"/>
                <w:kern w:val="0"/>
                <w:sz w:val="24"/>
                <w:highlight w:val="none"/>
                <w:vertAlign w:val="subscript"/>
                <w:lang w:bidi="ar"/>
              </w:rPr>
              <w:t>2</w:t>
            </w:r>
          </w:p>
        </w:tc>
        <w:tc>
          <w:tcPr>
            <w:tcW w:w="3010" w:type="dxa"/>
            <w:vMerge w:val="continue"/>
            <w:vAlign w:val="center"/>
          </w:tcPr>
          <w:p w14:paraId="0E9A9214">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p>
        </w:tc>
        <w:tc>
          <w:tcPr>
            <w:tcW w:w="2229" w:type="dxa"/>
            <w:vAlign w:val="center"/>
          </w:tcPr>
          <w:p w14:paraId="24227772">
            <w:pPr>
              <w:keepNext w:val="0"/>
              <w:keepLines w:val="0"/>
              <w:suppressLineNumbers w:val="0"/>
              <w:adjustRightInd w:val="0"/>
              <w:snapToGrid w:val="0"/>
              <w:spacing w:before="0" w:beforeAutospacing="0" w:after="0" w:afterAutospacing="0" w:line="240" w:lineRule="auto"/>
              <w:ind w:left="0" w:right="0"/>
              <w:jc w:val="both"/>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《工业炉窑大气污染物排放标准》（GB9078-1996）表4中二级标准</w:t>
            </w:r>
          </w:p>
        </w:tc>
      </w:tr>
      <w:tr w14:paraId="7CA7A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7" w:type="dxa"/>
            <w:vMerge w:val="continue"/>
            <w:vAlign w:val="center"/>
          </w:tcPr>
          <w:p w14:paraId="6F07F8B2">
            <w:pPr>
              <w:keepNext w:val="0"/>
              <w:keepLines w:val="0"/>
              <w:widowControl/>
              <w:suppressLineNumbers w:val="0"/>
              <w:spacing w:before="0" w:beforeAutospacing="0" w:after="0" w:afterAutospacing="0" w:line="240" w:lineRule="auto"/>
              <w:ind w:left="0" w:right="0"/>
              <w:jc w:val="center"/>
              <w:textAlignment w:val="center"/>
              <w:rPr>
                <w:rFonts w:hint="default"/>
                <w:color w:val="auto"/>
                <w:highlight w:val="none"/>
              </w:rPr>
            </w:pPr>
          </w:p>
        </w:tc>
        <w:tc>
          <w:tcPr>
            <w:tcW w:w="1617" w:type="dxa"/>
            <w:vMerge w:val="continue"/>
            <w:vAlign w:val="center"/>
          </w:tcPr>
          <w:p w14:paraId="00C3BA58">
            <w:pPr>
              <w:keepNext w:val="0"/>
              <w:keepLines w:val="0"/>
              <w:widowControl/>
              <w:suppressLineNumbers w:val="0"/>
              <w:spacing w:before="0" w:beforeAutospacing="0" w:after="0" w:afterAutospacing="0" w:line="240" w:lineRule="auto"/>
              <w:ind w:left="0" w:right="0"/>
              <w:jc w:val="center"/>
              <w:textAlignment w:val="center"/>
              <w:rPr>
                <w:rFonts w:hint="default"/>
                <w:color w:val="auto"/>
                <w:highlight w:val="none"/>
              </w:rPr>
            </w:pPr>
          </w:p>
        </w:tc>
        <w:tc>
          <w:tcPr>
            <w:tcW w:w="940" w:type="dxa"/>
            <w:vAlign w:val="center"/>
          </w:tcPr>
          <w:p w14:paraId="2026B1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p>
        </w:tc>
        <w:tc>
          <w:tcPr>
            <w:tcW w:w="3010" w:type="dxa"/>
            <w:vMerge w:val="continue"/>
            <w:vAlign w:val="center"/>
          </w:tcPr>
          <w:p w14:paraId="36AFD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0"/>
                <w:sz w:val="24"/>
                <w:highlight w:val="none"/>
                <w:lang w:bidi="ar"/>
              </w:rPr>
            </w:pPr>
          </w:p>
        </w:tc>
        <w:tc>
          <w:tcPr>
            <w:tcW w:w="2229" w:type="dxa"/>
            <w:vAlign w:val="center"/>
          </w:tcPr>
          <w:p w14:paraId="2DDF1BEA">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宋体" w:cs="Times New Roman"/>
                <w:color w:val="auto"/>
                <w:kern w:val="0"/>
                <w:sz w:val="24"/>
                <w:highlight w:val="none"/>
                <w:lang w:val="en-US" w:eastAsia="zh-CN" w:bidi="ar"/>
              </w:rPr>
            </w:pPr>
            <w:r>
              <w:rPr>
                <w:rFonts w:hint="eastAsia" w:cs="Times New Roman"/>
                <w:color w:val="auto"/>
                <w:kern w:val="0"/>
                <w:sz w:val="24"/>
                <w:highlight w:val="none"/>
                <w:lang w:val="en-US" w:eastAsia="zh-CN" w:bidi="ar"/>
              </w:rPr>
              <w:t>/</w:t>
            </w:r>
          </w:p>
        </w:tc>
      </w:tr>
      <w:tr w14:paraId="7B3D7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57" w:type="dxa"/>
            <w:vMerge w:val="continue"/>
            <w:vAlign w:val="center"/>
          </w:tcPr>
          <w:p w14:paraId="2F0E7451">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Align w:val="center"/>
          </w:tcPr>
          <w:p w14:paraId="5B1C06D3">
            <w:pPr>
              <w:pStyle w:val="58"/>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热风炉</w:t>
            </w:r>
            <w:r>
              <w:rPr>
                <w:rFonts w:hint="default" w:ascii="Times New Roman" w:hAnsi="Times New Roman" w:eastAsia="宋体" w:cs="Times New Roman"/>
                <w:color w:val="auto"/>
                <w:sz w:val="24"/>
                <w:szCs w:val="24"/>
                <w:highlight w:val="none"/>
              </w:rPr>
              <w:t>房门窗处颗粒物</w:t>
            </w:r>
          </w:p>
        </w:tc>
        <w:tc>
          <w:tcPr>
            <w:tcW w:w="940" w:type="dxa"/>
            <w:vAlign w:val="center"/>
          </w:tcPr>
          <w:p w14:paraId="0CBCAE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颗粒物</w:t>
            </w:r>
          </w:p>
        </w:tc>
        <w:tc>
          <w:tcPr>
            <w:tcW w:w="3010" w:type="dxa"/>
            <w:vAlign w:val="center"/>
          </w:tcPr>
          <w:p w14:paraId="59CD092F">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w:t>
            </w:r>
          </w:p>
        </w:tc>
        <w:tc>
          <w:tcPr>
            <w:tcW w:w="2229" w:type="dxa"/>
            <w:vAlign w:val="center"/>
          </w:tcPr>
          <w:p w14:paraId="4E681D6C">
            <w:pPr>
              <w:keepNext w:val="0"/>
              <w:keepLines w:val="0"/>
              <w:suppressLineNumbers w:val="0"/>
              <w:adjustRightInd w:val="0"/>
              <w:snapToGrid w:val="0"/>
              <w:spacing w:before="0" w:beforeAutospacing="0" w:after="0" w:afterAutospacing="0" w:line="240" w:lineRule="auto"/>
              <w:ind w:left="0" w:right="0"/>
              <w:jc w:val="both"/>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工业炉窑大气污染物排放标准</w:t>
            </w:r>
            <w:r>
              <w:rPr>
                <w:rFonts w:hint="default" w:ascii="Times New Roman" w:hAnsi="Times New Roman" w:eastAsia="宋体" w:cs="Times New Roman"/>
                <w:color w:val="auto"/>
                <w:sz w:val="24"/>
                <w:highlight w:val="none"/>
              </w:rPr>
              <w:t>》（GB9078-1996）表</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中标准限值</w:t>
            </w:r>
          </w:p>
        </w:tc>
      </w:tr>
      <w:tr w14:paraId="1CEE00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7" w:type="dxa"/>
            <w:vMerge w:val="continue"/>
            <w:vAlign w:val="center"/>
          </w:tcPr>
          <w:p w14:paraId="742C4849">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Align w:val="center"/>
          </w:tcPr>
          <w:p w14:paraId="40D593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原粮卸粮</w:t>
            </w:r>
          </w:p>
        </w:tc>
        <w:tc>
          <w:tcPr>
            <w:tcW w:w="940" w:type="dxa"/>
            <w:vAlign w:val="center"/>
          </w:tcPr>
          <w:p w14:paraId="4BA963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颗粒物</w:t>
            </w:r>
          </w:p>
        </w:tc>
        <w:tc>
          <w:tcPr>
            <w:tcW w:w="3010" w:type="dxa"/>
            <w:vAlign w:val="center"/>
          </w:tcPr>
          <w:p w14:paraId="606A0D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减小装卸高度</w:t>
            </w:r>
            <w:r>
              <w:rPr>
                <w:rFonts w:hint="default" w:ascii="Times New Roman" w:hAnsi="Times New Roman" w:eastAsia="宋体" w:cs="Times New Roman"/>
                <w:color w:val="auto"/>
                <w:sz w:val="24"/>
                <w:highlight w:val="none"/>
                <w:lang w:eastAsia="zh-CN"/>
              </w:rPr>
              <w:t>、密闭输送</w:t>
            </w:r>
          </w:p>
        </w:tc>
        <w:tc>
          <w:tcPr>
            <w:tcW w:w="2229" w:type="dxa"/>
            <w:vMerge w:val="restart"/>
            <w:vAlign w:val="center"/>
          </w:tcPr>
          <w:p w14:paraId="15B34FC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《大气污染物综合排放标准》（GB16297-1996）表2无组织排放监控浓度限值标准</w:t>
            </w:r>
          </w:p>
        </w:tc>
      </w:tr>
      <w:tr w14:paraId="56CA9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57" w:type="dxa"/>
            <w:vMerge w:val="continue"/>
            <w:vAlign w:val="center"/>
          </w:tcPr>
          <w:p w14:paraId="2496741D">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Align w:val="center"/>
          </w:tcPr>
          <w:p w14:paraId="092357B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原粮筛分</w:t>
            </w:r>
          </w:p>
        </w:tc>
        <w:tc>
          <w:tcPr>
            <w:tcW w:w="940" w:type="dxa"/>
            <w:vAlign w:val="center"/>
          </w:tcPr>
          <w:p w14:paraId="6D913A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颗粒物</w:t>
            </w:r>
          </w:p>
        </w:tc>
        <w:tc>
          <w:tcPr>
            <w:tcW w:w="3010" w:type="dxa"/>
            <w:vAlign w:val="center"/>
          </w:tcPr>
          <w:p w14:paraId="7BC725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密闭设备</w:t>
            </w:r>
          </w:p>
        </w:tc>
        <w:tc>
          <w:tcPr>
            <w:tcW w:w="2229" w:type="dxa"/>
            <w:vMerge w:val="continue"/>
            <w:vAlign w:val="center"/>
          </w:tcPr>
          <w:p w14:paraId="0F14F1C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p>
        </w:tc>
      </w:tr>
      <w:tr w14:paraId="115BB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7" w:type="dxa"/>
            <w:vMerge w:val="continue"/>
            <w:vAlign w:val="center"/>
          </w:tcPr>
          <w:p w14:paraId="4D067082">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Align w:val="center"/>
          </w:tcPr>
          <w:p w14:paraId="6B0D78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原粮堆场</w:t>
            </w:r>
          </w:p>
        </w:tc>
        <w:tc>
          <w:tcPr>
            <w:tcW w:w="940" w:type="dxa"/>
            <w:vAlign w:val="center"/>
          </w:tcPr>
          <w:p w14:paraId="60A90F0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颗粒物</w:t>
            </w:r>
          </w:p>
        </w:tc>
        <w:tc>
          <w:tcPr>
            <w:tcW w:w="3010" w:type="dxa"/>
            <w:vAlign w:val="center"/>
          </w:tcPr>
          <w:p w14:paraId="3BA2145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加盖苫布，设置防风抑尘网</w:t>
            </w:r>
          </w:p>
        </w:tc>
        <w:tc>
          <w:tcPr>
            <w:tcW w:w="2229" w:type="dxa"/>
            <w:vMerge w:val="continue"/>
            <w:vAlign w:val="center"/>
          </w:tcPr>
          <w:p w14:paraId="0010D9E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p>
        </w:tc>
      </w:tr>
      <w:tr w14:paraId="4CEB42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7" w:type="dxa"/>
            <w:vMerge w:val="continue"/>
            <w:vAlign w:val="center"/>
          </w:tcPr>
          <w:p w14:paraId="37FF899D">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shd w:val="clear" w:color="auto" w:fill="auto"/>
            <w:vAlign w:val="center"/>
          </w:tcPr>
          <w:p w14:paraId="2391BA5E">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燃料、热风炉灰渣储运</w:t>
            </w:r>
          </w:p>
        </w:tc>
        <w:tc>
          <w:tcPr>
            <w:tcW w:w="940" w:type="dxa"/>
            <w:shd w:val="clear" w:color="auto" w:fill="auto"/>
            <w:vAlign w:val="center"/>
          </w:tcPr>
          <w:p w14:paraId="2934195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rPr>
              <w:t>颗粒物</w:t>
            </w:r>
          </w:p>
        </w:tc>
        <w:tc>
          <w:tcPr>
            <w:tcW w:w="3010" w:type="dxa"/>
            <w:shd w:val="clear" w:color="auto" w:fill="auto"/>
            <w:vAlign w:val="center"/>
          </w:tcPr>
          <w:p w14:paraId="1571E8DD">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highlight w:val="none"/>
                <w:lang w:val="en-US" w:eastAsia="zh-CN"/>
              </w:rPr>
              <w:t>密闭储存、装运等措施</w:t>
            </w:r>
          </w:p>
        </w:tc>
        <w:tc>
          <w:tcPr>
            <w:tcW w:w="2229" w:type="dxa"/>
            <w:vMerge w:val="continue"/>
            <w:vAlign w:val="center"/>
          </w:tcPr>
          <w:p w14:paraId="1F5F545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p>
        </w:tc>
      </w:tr>
      <w:tr w14:paraId="21BC4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Merge w:val="continue"/>
            <w:vAlign w:val="center"/>
          </w:tcPr>
          <w:p w14:paraId="5ED36E14">
            <w:pPr>
              <w:keepNext w:val="0"/>
              <w:keepLines w:val="0"/>
              <w:suppressLineNumbers w:val="0"/>
              <w:adjustRightInd w:val="0"/>
              <w:snapToGrid w:val="0"/>
              <w:spacing w:before="0" w:beforeAutospacing="0" w:after="0" w:afterAutospacing="0" w:line="240" w:lineRule="auto"/>
              <w:ind w:left="0" w:right="0" w:firstLine="480" w:firstLineChars="200"/>
              <w:jc w:val="center"/>
              <w:textAlignment w:val="center"/>
              <w:rPr>
                <w:rFonts w:hint="default" w:ascii="Times New Roman" w:hAnsi="Times New Roman" w:eastAsia="宋体" w:cs="Times New Roman"/>
                <w:color w:val="auto"/>
                <w:sz w:val="24"/>
                <w:highlight w:val="none"/>
              </w:rPr>
            </w:pPr>
          </w:p>
        </w:tc>
        <w:tc>
          <w:tcPr>
            <w:tcW w:w="1617" w:type="dxa"/>
            <w:vAlign w:val="center"/>
          </w:tcPr>
          <w:p w14:paraId="606EF2D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烘干塔</w:t>
            </w:r>
          </w:p>
        </w:tc>
        <w:tc>
          <w:tcPr>
            <w:tcW w:w="940" w:type="dxa"/>
            <w:vAlign w:val="center"/>
          </w:tcPr>
          <w:p w14:paraId="797683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颗粒物</w:t>
            </w:r>
          </w:p>
        </w:tc>
        <w:tc>
          <w:tcPr>
            <w:tcW w:w="3010" w:type="dxa"/>
            <w:vAlign w:val="center"/>
          </w:tcPr>
          <w:p w14:paraId="1E8B13C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烘干塔塔体两侧排气孔设置折流挡板，塔顶排气孔设滤尘网</w:t>
            </w:r>
          </w:p>
        </w:tc>
        <w:tc>
          <w:tcPr>
            <w:tcW w:w="2229" w:type="dxa"/>
            <w:vMerge w:val="continue"/>
            <w:vAlign w:val="center"/>
          </w:tcPr>
          <w:p w14:paraId="0B1F269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p>
        </w:tc>
      </w:tr>
      <w:tr w14:paraId="4C8DFC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Align w:val="center"/>
          </w:tcPr>
          <w:p w14:paraId="674D47B2">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地表水环境</w:t>
            </w:r>
          </w:p>
        </w:tc>
        <w:tc>
          <w:tcPr>
            <w:tcW w:w="1617" w:type="dxa"/>
            <w:vAlign w:val="center"/>
          </w:tcPr>
          <w:p w14:paraId="6B79CE2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生活污水</w:t>
            </w:r>
          </w:p>
        </w:tc>
        <w:tc>
          <w:tcPr>
            <w:tcW w:w="940" w:type="dxa"/>
            <w:vAlign w:val="center"/>
          </w:tcPr>
          <w:p w14:paraId="03A1496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COD、氨氮</w:t>
            </w:r>
          </w:p>
        </w:tc>
        <w:tc>
          <w:tcPr>
            <w:tcW w:w="3010" w:type="dxa"/>
            <w:vAlign w:val="center"/>
          </w:tcPr>
          <w:p w14:paraId="0FFD176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排入</w:t>
            </w:r>
            <w:r>
              <w:rPr>
                <w:rFonts w:hint="default" w:ascii="Times New Roman" w:hAnsi="Times New Roman" w:eastAsia="宋体" w:cs="Times New Roman"/>
                <w:color w:val="auto"/>
                <w:sz w:val="24"/>
                <w:highlight w:val="none"/>
                <w:lang w:eastAsia="zh-CN"/>
              </w:rPr>
              <w:t>防渗旱厕</w:t>
            </w:r>
            <w:r>
              <w:rPr>
                <w:rFonts w:hint="default" w:ascii="Times New Roman" w:hAnsi="Times New Roman" w:eastAsia="宋体" w:cs="Times New Roman"/>
                <w:color w:val="auto"/>
                <w:sz w:val="24"/>
                <w:highlight w:val="none"/>
              </w:rPr>
              <w:t>，定期清掏</w:t>
            </w:r>
          </w:p>
        </w:tc>
        <w:tc>
          <w:tcPr>
            <w:tcW w:w="2229" w:type="dxa"/>
            <w:vAlign w:val="center"/>
          </w:tcPr>
          <w:p w14:paraId="0577156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不外排</w:t>
            </w:r>
          </w:p>
        </w:tc>
      </w:tr>
      <w:tr w14:paraId="5DB98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Align w:val="center"/>
          </w:tcPr>
          <w:p w14:paraId="7804E707">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声环境</w:t>
            </w:r>
          </w:p>
        </w:tc>
        <w:tc>
          <w:tcPr>
            <w:tcW w:w="1617" w:type="dxa"/>
            <w:vAlign w:val="center"/>
          </w:tcPr>
          <w:p w14:paraId="48216E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lang w:bidi="ar"/>
              </w:rPr>
              <w:t>设备</w:t>
            </w:r>
          </w:p>
        </w:tc>
        <w:tc>
          <w:tcPr>
            <w:tcW w:w="940" w:type="dxa"/>
            <w:vAlign w:val="center"/>
          </w:tcPr>
          <w:p w14:paraId="5F82CC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lang w:bidi="ar"/>
              </w:rPr>
              <w:t>噪声</w:t>
            </w:r>
          </w:p>
        </w:tc>
        <w:tc>
          <w:tcPr>
            <w:tcW w:w="3010" w:type="dxa"/>
            <w:vAlign w:val="center"/>
          </w:tcPr>
          <w:p w14:paraId="05AF1C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低噪声设备、隔声、减振</w:t>
            </w:r>
          </w:p>
        </w:tc>
        <w:tc>
          <w:tcPr>
            <w:tcW w:w="2229" w:type="dxa"/>
            <w:vAlign w:val="center"/>
          </w:tcPr>
          <w:p w14:paraId="390928C6">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《工业企业厂界环境噪声排放标准》（GB12348-2008）中2类标准</w:t>
            </w:r>
          </w:p>
        </w:tc>
      </w:tr>
      <w:tr w14:paraId="765FAD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57" w:type="dxa"/>
            <w:vAlign w:val="center"/>
          </w:tcPr>
          <w:p w14:paraId="5502DB05">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电磁辐射</w:t>
            </w:r>
          </w:p>
        </w:tc>
        <w:tc>
          <w:tcPr>
            <w:tcW w:w="1617" w:type="dxa"/>
            <w:vAlign w:val="center"/>
          </w:tcPr>
          <w:p w14:paraId="2D64A920">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c>
          <w:tcPr>
            <w:tcW w:w="940" w:type="dxa"/>
            <w:vAlign w:val="center"/>
          </w:tcPr>
          <w:p w14:paraId="01FA0F4E">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c>
          <w:tcPr>
            <w:tcW w:w="3010" w:type="dxa"/>
            <w:vAlign w:val="center"/>
          </w:tcPr>
          <w:p w14:paraId="5A716441">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c>
          <w:tcPr>
            <w:tcW w:w="2229" w:type="dxa"/>
            <w:vAlign w:val="center"/>
          </w:tcPr>
          <w:p w14:paraId="2FAD13BC">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r>
      <w:tr w14:paraId="78B88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57" w:type="dxa"/>
            <w:vAlign w:val="center"/>
          </w:tcPr>
          <w:p w14:paraId="7F293272">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固体废物</w:t>
            </w:r>
          </w:p>
        </w:tc>
        <w:tc>
          <w:tcPr>
            <w:tcW w:w="7796" w:type="dxa"/>
            <w:gridSpan w:val="4"/>
            <w:vAlign w:val="center"/>
          </w:tcPr>
          <w:p w14:paraId="0A78433E">
            <w:pPr>
              <w:pStyle w:val="56"/>
              <w:keepNext w:val="0"/>
              <w:keepLines w:val="0"/>
              <w:suppressLineNumbers w:val="0"/>
              <w:spacing w:before="0" w:beforeAutospacing="0" w:after="0" w:afterAutospacing="0" w:line="240" w:lineRule="auto"/>
              <w:ind w:left="0" w:leftChars="0" w:right="0" w:firstLine="0" w:firstLineChars="0"/>
              <w:rPr>
                <w:rFonts w:hint="default" w:ascii="Times New Roman" w:hAnsi="Times New Roman" w:eastAsia="宋体" w:cs="Times New Roman"/>
                <w:color w:val="auto"/>
                <w:szCs w:val="24"/>
                <w:highlight w:val="none"/>
                <w:lang w:val="en-US"/>
              </w:rPr>
            </w:pPr>
            <w:r>
              <w:rPr>
                <w:rFonts w:hint="default" w:ascii="Times New Roman" w:hAnsi="Times New Roman" w:eastAsia="宋体" w:cs="Times New Roman"/>
                <w:color w:val="auto"/>
                <w:szCs w:val="21"/>
                <w:highlight w:val="none"/>
                <w:lang w:val="en-US" w:eastAsia="zh-CN"/>
              </w:rPr>
              <w:t>热风炉除尘系统收尘、</w:t>
            </w:r>
            <w:r>
              <w:rPr>
                <w:rFonts w:hint="default" w:ascii="Times New Roman" w:hAnsi="Times New Roman" w:eastAsia="宋体" w:cs="Times New Roman"/>
                <w:color w:val="auto"/>
                <w:szCs w:val="21"/>
                <w:highlight w:val="none"/>
              </w:rPr>
              <w:t>筛分</w:t>
            </w:r>
            <w:r>
              <w:rPr>
                <w:rFonts w:hint="default" w:ascii="Times New Roman" w:hAnsi="Times New Roman" w:eastAsia="宋体" w:cs="Times New Roman"/>
                <w:color w:val="auto"/>
                <w:szCs w:val="21"/>
                <w:highlight w:val="none"/>
                <w:lang w:val="en-US" w:eastAsia="zh-CN"/>
              </w:rPr>
              <w:t>杂质</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烘干塔除尘系统收尘</w:t>
            </w:r>
            <w:r>
              <w:rPr>
                <w:rFonts w:hint="default" w:ascii="Times New Roman" w:hAnsi="Times New Roman" w:eastAsia="宋体" w:cs="Times New Roman"/>
                <w:color w:val="auto"/>
                <w:szCs w:val="21"/>
                <w:highlight w:val="none"/>
                <w:lang w:eastAsia="zh-CN"/>
              </w:rPr>
              <w:t>、</w:t>
            </w:r>
            <w:r>
              <w:rPr>
                <w:rFonts w:hint="eastAsia" w:cs="Times New Roman"/>
                <w:color w:val="auto"/>
                <w:szCs w:val="24"/>
                <w:highlight w:val="none"/>
                <w:lang w:val="en-US" w:eastAsia="zh-CN"/>
              </w:rPr>
              <w:t>原料堆场收尘、</w:t>
            </w:r>
            <w:r>
              <w:rPr>
                <w:rFonts w:hint="default" w:ascii="Times New Roman" w:hAnsi="Times New Roman" w:eastAsia="宋体" w:cs="Times New Roman"/>
                <w:color w:val="auto"/>
                <w:szCs w:val="21"/>
                <w:highlight w:val="none"/>
                <w:lang w:val="en-US" w:eastAsia="zh-CN"/>
              </w:rPr>
              <w:t>热风炉灰渣装袋后统一收集暂存于</w:t>
            </w:r>
            <w:r>
              <w:rPr>
                <w:rFonts w:hint="eastAsia" w:cs="Times New Roman"/>
                <w:color w:val="auto"/>
                <w:szCs w:val="21"/>
                <w:highlight w:val="none"/>
                <w:lang w:val="en-US" w:eastAsia="zh-CN"/>
              </w:rPr>
              <w:t>灰渣间</w:t>
            </w:r>
            <w:r>
              <w:rPr>
                <w:rFonts w:hint="default" w:ascii="Times New Roman" w:hAnsi="Times New Roman" w:eastAsia="宋体" w:cs="Times New Roman"/>
                <w:color w:val="auto"/>
                <w:szCs w:val="21"/>
                <w:highlight w:val="none"/>
                <w:lang w:val="en-US" w:eastAsia="zh-CN"/>
              </w:rPr>
              <w:t>中，定期</w:t>
            </w:r>
            <w:r>
              <w:rPr>
                <w:rFonts w:hint="default" w:ascii="Times New Roman" w:hAnsi="Times New Roman" w:eastAsia="宋体" w:cs="Times New Roman"/>
                <w:color w:val="auto"/>
                <w:szCs w:val="21"/>
                <w:highlight w:val="none"/>
              </w:rPr>
              <w:t>外售综合利用</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废布袋集中收集后，由厂家定期回收</w:t>
            </w: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eastAsia="zh-CN"/>
              </w:rPr>
              <w:t>生活垃圾</w:t>
            </w:r>
            <w:r>
              <w:rPr>
                <w:rFonts w:hint="default" w:ascii="Times New Roman" w:hAnsi="Times New Roman" w:eastAsia="宋体" w:cs="Times New Roman"/>
                <w:color w:val="auto"/>
                <w:szCs w:val="21"/>
                <w:highlight w:val="none"/>
              </w:rPr>
              <w:t>集中收集后，</w:t>
            </w:r>
            <w:r>
              <w:rPr>
                <w:rFonts w:hint="default" w:ascii="Times New Roman" w:hAnsi="Times New Roman" w:eastAsia="宋体" w:cs="Times New Roman"/>
                <w:color w:val="auto"/>
                <w:szCs w:val="21"/>
                <w:highlight w:val="none"/>
                <w:lang w:val="en-US" w:eastAsia="zh-CN"/>
              </w:rPr>
              <w:t>交由环卫部门统一清运处理</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维修保养时产生的</w:t>
            </w:r>
            <w:r>
              <w:rPr>
                <w:rFonts w:hint="eastAsia" w:ascii="Times New Roman" w:hAnsi="Times New Roman" w:eastAsia="宋体" w:cs="Times New Roman"/>
                <w:color w:val="auto"/>
                <w:szCs w:val="21"/>
                <w:highlight w:val="none"/>
                <w:lang w:val="en-US" w:eastAsia="zh-CN"/>
              </w:rPr>
              <w:t>含油手套和抹布、</w:t>
            </w:r>
            <w:r>
              <w:rPr>
                <w:rFonts w:hint="default" w:ascii="Times New Roman" w:hAnsi="Times New Roman" w:eastAsia="宋体" w:cs="Times New Roman"/>
                <w:color w:val="auto"/>
                <w:szCs w:val="21"/>
                <w:highlight w:val="none"/>
                <w:lang w:val="en-US" w:eastAsia="zh-CN"/>
              </w:rPr>
              <w:t>废润滑油及废润滑油油桶，</w:t>
            </w:r>
            <w:r>
              <w:rPr>
                <w:rFonts w:hint="eastAsia" w:cs="Times New Roman"/>
                <w:color w:val="auto"/>
                <w:szCs w:val="21"/>
                <w:highlight w:val="none"/>
                <w:lang w:val="en-US" w:eastAsia="zh-CN"/>
              </w:rPr>
              <w:t>分类收集暂存于危险废物贮存库内，</w:t>
            </w:r>
            <w:r>
              <w:rPr>
                <w:rFonts w:hint="default" w:ascii="Times New Roman" w:hAnsi="Times New Roman" w:eastAsia="宋体" w:cs="Times New Roman"/>
                <w:color w:val="auto"/>
                <w:szCs w:val="21"/>
                <w:highlight w:val="none"/>
                <w:lang w:val="en-US" w:eastAsia="zh-CN"/>
              </w:rPr>
              <w:t>定期交由有资质的单位处理。</w:t>
            </w:r>
          </w:p>
        </w:tc>
      </w:tr>
      <w:tr w14:paraId="4DDA2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057" w:type="dxa"/>
            <w:vAlign w:val="center"/>
          </w:tcPr>
          <w:p w14:paraId="226128B7">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土壤及地下水污染防治措施</w:t>
            </w:r>
          </w:p>
        </w:tc>
        <w:tc>
          <w:tcPr>
            <w:tcW w:w="7796" w:type="dxa"/>
            <w:gridSpan w:val="4"/>
            <w:vAlign w:val="center"/>
          </w:tcPr>
          <w:p w14:paraId="27746D9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r>
      <w:tr w14:paraId="2B5ABB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057" w:type="dxa"/>
            <w:vAlign w:val="center"/>
          </w:tcPr>
          <w:p w14:paraId="7BED148C">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生态保护措施</w:t>
            </w:r>
          </w:p>
        </w:tc>
        <w:tc>
          <w:tcPr>
            <w:tcW w:w="7796" w:type="dxa"/>
            <w:gridSpan w:val="4"/>
            <w:vAlign w:val="center"/>
          </w:tcPr>
          <w:p w14:paraId="6D63554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p>
        </w:tc>
      </w:tr>
      <w:tr w14:paraId="608E87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57" w:type="dxa"/>
            <w:vAlign w:val="center"/>
          </w:tcPr>
          <w:p w14:paraId="0AAA8E7C">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环境风险防范措施</w:t>
            </w:r>
          </w:p>
        </w:tc>
        <w:tc>
          <w:tcPr>
            <w:tcW w:w="7796" w:type="dxa"/>
            <w:gridSpan w:val="4"/>
            <w:vAlign w:val="center"/>
          </w:tcPr>
          <w:p w14:paraId="317ED6DD">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建立、完善安全管理制度：严格按照规定进行工程建设情况的自查、整改和验收，并制定和执行相应的消防管理、安全防火培训、用火用电安全管理、灭火器材维护使用、岗位消防安全等一系列安全制度，并严格遵守执行。</w:t>
            </w:r>
          </w:p>
          <w:p w14:paraId="4F4234C4">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②加强对工人的安全生产和环境保护教育，对国家规定的特种作业人员，必须进行安全技术培训。严格按规范操作，任何人不得擅自改变工艺条件。</w:t>
            </w:r>
          </w:p>
          <w:p w14:paraId="2BD300A5">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③加强设备维护保养，所有机泵、管道、阀门等连接部位都应连接牢固，做到严密、不渗、不漏。预防意外泄漏事故。</w:t>
            </w:r>
          </w:p>
          <w:p w14:paraId="6720DBB6">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④</w:t>
            </w:r>
            <w:r>
              <w:rPr>
                <w:rFonts w:hint="eastAsia" w:cs="Times New Roman"/>
                <w:color w:val="auto"/>
                <w:sz w:val="24"/>
                <w:highlight w:val="none"/>
                <w:lang w:eastAsia="zh-CN"/>
              </w:rPr>
              <w:t>危险废物贮存库</w:t>
            </w:r>
            <w:r>
              <w:rPr>
                <w:rFonts w:hint="default" w:ascii="Times New Roman" w:hAnsi="Times New Roman" w:eastAsia="宋体" w:cs="Times New Roman"/>
                <w:color w:val="auto"/>
                <w:sz w:val="24"/>
                <w:highlight w:val="none"/>
              </w:rPr>
              <w:t>按照《危险废物贮存污染控制标准》（GB18597-2023）的相关要求，地面防渗、裙角防渗，防渗层为至少1米厚粘土层（渗透系数≤1×10</w:t>
            </w:r>
            <w:r>
              <w:rPr>
                <w:rFonts w:hint="default" w:ascii="Times New Roman" w:hAnsi="Times New Roman" w:eastAsia="宋体" w:cs="Times New Roman"/>
                <w:color w:val="auto"/>
                <w:sz w:val="24"/>
                <w:highlight w:val="none"/>
                <w:vertAlign w:val="superscript"/>
              </w:rPr>
              <w:t>-7</w:t>
            </w:r>
            <w:r>
              <w:rPr>
                <w:rFonts w:hint="default" w:ascii="Times New Roman" w:hAnsi="Times New Roman" w:eastAsia="宋体" w:cs="Times New Roman"/>
                <w:color w:val="auto"/>
                <w:sz w:val="24"/>
                <w:highlight w:val="none"/>
              </w:rPr>
              <w:t>cm/s），或2mm厚高密度聚乙烯或至少2mm厚的其他人工材料，渗透系数≤1×10-</w:t>
            </w:r>
            <w:r>
              <w:rPr>
                <w:rFonts w:hint="default" w:ascii="Times New Roman" w:hAnsi="Times New Roman" w:eastAsia="宋体" w:cs="Times New Roman"/>
                <w:color w:val="auto"/>
                <w:sz w:val="24"/>
                <w:highlight w:val="none"/>
                <w:vertAlign w:val="superscript"/>
              </w:rPr>
              <w:t>10</w:t>
            </w:r>
            <w:r>
              <w:rPr>
                <w:rFonts w:hint="default" w:ascii="Times New Roman" w:hAnsi="Times New Roman" w:eastAsia="宋体" w:cs="Times New Roman"/>
                <w:color w:val="auto"/>
                <w:sz w:val="24"/>
                <w:highlight w:val="none"/>
              </w:rPr>
              <w:t>cm/s，</w:t>
            </w:r>
            <w:r>
              <w:rPr>
                <w:rFonts w:hint="eastAsia" w:cs="Times New Roman"/>
                <w:color w:val="auto"/>
                <w:sz w:val="24"/>
                <w:highlight w:val="none"/>
                <w:lang w:eastAsia="zh-CN"/>
              </w:rPr>
              <w:t>废矿物油</w:t>
            </w:r>
            <w:r>
              <w:rPr>
                <w:rFonts w:hint="default" w:ascii="Times New Roman" w:hAnsi="Times New Roman" w:eastAsia="宋体" w:cs="Times New Roman"/>
                <w:color w:val="auto"/>
                <w:sz w:val="24"/>
                <w:highlight w:val="none"/>
              </w:rPr>
              <w:t>等采用专用容器贮存，设置围堰。</w:t>
            </w:r>
          </w:p>
          <w:p w14:paraId="7412B12F">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⑤提高操作管理水平，储罐区严禁明火，操作、维修人员进行培训，避免操作失误引发的事故。</w:t>
            </w:r>
          </w:p>
          <w:p w14:paraId="0532D0F1">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⑥配备应急设备和资源、制定项目的应急预案，加强应急预案的演练和宣传教育，加强项目风险管理。</w:t>
            </w:r>
          </w:p>
        </w:tc>
      </w:tr>
      <w:tr w14:paraId="09DA3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057" w:type="dxa"/>
            <w:vAlign w:val="center"/>
          </w:tcPr>
          <w:p w14:paraId="62106787">
            <w:pPr>
              <w:keepNext w:val="0"/>
              <w:keepLines w:val="0"/>
              <w:suppressLineNumbers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其他环境管理要求</w:t>
            </w:r>
          </w:p>
        </w:tc>
        <w:tc>
          <w:tcPr>
            <w:tcW w:w="7796" w:type="dxa"/>
            <w:gridSpan w:val="4"/>
            <w:vAlign w:val="center"/>
          </w:tcPr>
          <w:p w14:paraId="149302A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①根据《关于做好环境影响评价制度与排污许可制衔接相关工作的通知》（环办环评[2017]84号），建设项目发生实际排污行为之前，排污单位应当按照国家环境保护相关法律法规以及排污许可证申请与核发技术规范要求申请排污许可证，不得无证排污或不按证排污。环境影响报告书（表）2015年1月1日（含）后获得批准的建设项目，其环境影响报告书（表）以及审批文件中与污染物排放相关的主要内容应当纳入排污许可证。为此，下阶段应将项目建设内容、产品方案、建设规模，采用的工艺流程、工艺技术方案，污染预防和清洁生产措施，环保设施和治理措施，各类污染物排放总量，在线监测和自主监测要求，环境安全防范措施，环境应急体系和应急设施等，全部按装置、设施载入排污许可证。企业在设计，建设和运营过程中，需按照许可证管理要求进行监测和申报，自证守法；许可证内容发生变更应进行申报，重大变更应重新环评和申请许可证变更。环保管理部门对许可证内容进行定期和不定期的监督核查。</w:t>
            </w:r>
          </w:p>
          <w:p w14:paraId="6330E3A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pacing w:val="0"/>
                <w:sz w:val="24"/>
                <w:highlight w:val="none"/>
              </w:rPr>
            </w:pPr>
            <w:r>
              <w:rPr>
                <w:rFonts w:hint="default" w:ascii="Times New Roman" w:hAnsi="Times New Roman" w:eastAsia="宋体" w:cs="Times New Roman"/>
                <w:bCs/>
                <w:color w:val="auto"/>
                <w:spacing w:val="0"/>
                <w:sz w:val="24"/>
                <w:highlight w:val="none"/>
              </w:rPr>
              <w:t>本项目应在环评文件审批后，根据《固定污染源排污许可分类管理名录（2019年版）》实行简化管理，按照简化管理要求申领排污许可证。</w:t>
            </w:r>
          </w:p>
          <w:p w14:paraId="36921224">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rPr>
              <w:t>②工作区内需指定专门的人员，在本项目实施时严格执行“三同时”制度，保证项目运营时三废均能得到有效处理后达标排放。在日常生产中，应加强环保管理，大力推行清洁生产，并加强职工对污染要“以防为主，防治结合”的认识。另外，应加强对设备运行状况的检查，对三废处理装置要定期检修，以确保污染物达标排放。按照相关要求，对排污口进行规范化管理，在正确的排放点位设置标识，以便进行自主验收和规范化管理。</w:t>
            </w:r>
          </w:p>
          <w:p w14:paraId="1913F65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1D9F76D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73C4997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2C478FA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6114896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5A56176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47653EF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6BF9C1F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0F7FB50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71F175E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65C1BD1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5FD09E0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373101B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619F1E1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2D79E3E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74B1517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 w:val="24"/>
                <w:highlight w:val="none"/>
              </w:rPr>
            </w:pPr>
          </w:p>
          <w:p w14:paraId="6981172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2164443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6A3070F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1EE08F4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4C0D5B6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p>
          <w:p w14:paraId="2D887B7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 w:val="24"/>
                <w:highlight w:val="none"/>
              </w:rPr>
            </w:pPr>
          </w:p>
        </w:tc>
      </w:tr>
    </w:tbl>
    <w:p w14:paraId="54BDB792">
      <w:pPr>
        <w:pStyle w:val="28"/>
        <w:jc w:val="center"/>
        <w:outlineLvl w:val="0"/>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snapToGrid w:val="0"/>
          <w:color w:val="auto"/>
          <w:highlight w:val="none"/>
        </w:rPr>
        <w:br w:type="page"/>
      </w:r>
      <w:bookmarkStart w:id="22" w:name="_Toc7756"/>
      <w:bookmarkStart w:id="23" w:name="_Toc19231"/>
      <w:r>
        <w:rPr>
          <w:rFonts w:hint="default" w:ascii="Times New Roman" w:hAnsi="Times New Roman" w:eastAsia="宋体" w:cs="Times New Roman"/>
          <w:snapToGrid w:val="0"/>
          <w:color w:val="auto"/>
          <w:sz w:val="30"/>
          <w:szCs w:val="30"/>
          <w:highlight w:val="none"/>
        </w:rPr>
        <w:t>六、结论</w:t>
      </w:r>
      <w:bookmarkEnd w:id="22"/>
      <w:bookmarkEnd w:id="23"/>
    </w:p>
    <w:tbl>
      <w:tblPr>
        <w:tblStyle w:val="33"/>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0053D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5AFF19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项目符合国家产业政策要求，符合</w:t>
            </w:r>
            <w:r>
              <w:rPr>
                <w:rFonts w:hint="default" w:ascii="Times New Roman" w:hAnsi="Times New Roman" w:eastAsia="宋体" w:cs="Times New Roman"/>
                <w:color w:val="auto"/>
                <w:sz w:val="24"/>
                <w:highlight w:val="none"/>
                <w:lang w:val="en-US" w:eastAsia="zh-CN"/>
              </w:rPr>
              <w:t>鸡西</w:t>
            </w:r>
            <w:r>
              <w:rPr>
                <w:rFonts w:hint="default" w:ascii="Times New Roman" w:hAnsi="Times New Roman" w:eastAsia="宋体" w:cs="Times New Roman"/>
                <w:color w:val="auto"/>
                <w:sz w:val="24"/>
                <w:highlight w:val="none"/>
              </w:rPr>
              <w:t>市“三线一单”及其他环保政策相关规定，</w:t>
            </w:r>
            <w:r>
              <w:rPr>
                <w:rFonts w:hint="default" w:ascii="Times New Roman" w:hAnsi="Times New Roman" w:eastAsia="宋体" w:cs="Times New Roman"/>
                <w:color w:val="auto"/>
                <w:sz w:val="24"/>
                <w:highlight w:val="none"/>
                <w:lang w:val="en-US" w:eastAsia="zh-CN"/>
              </w:rPr>
              <w:t>选址合理，</w:t>
            </w:r>
            <w:r>
              <w:rPr>
                <w:rFonts w:hint="default" w:ascii="Times New Roman" w:hAnsi="Times New Roman" w:eastAsia="宋体" w:cs="Times New Roman"/>
                <w:color w:val="auto"/>
                <w:sz w:val="24"/>
                <w:highlight w:val="none"/>
              </w:rPr>
              <w:t>污染防治措施合理有效，污染物能够达标排放，对周围环境影响较小。在采纳本报告表所提出的污染治理，并在各种污染治理措施落实良好的前提下，从环保角度</w:t>
            </w:r>
            <w:r>
              <w:rPr>
                <w:rFonts w:hint="default" w:ascii="Times New Roman" w:hAnsi="Times New Roman" w:eastAsia="宋体" w:cs="Times New Roman"/>
                <w:color w:val="auto"/>
                <w:sz w:val="24"/>
                <w:highlight w:val="none"/>
                <w:lang w:eastAsia="zh-CN"/>
              </w:rPr>
              <w:t>考虑</w:t>
            </w:r>
            <w:r>
              <w:rPr>
                <w:rFonts w:hint="default" w:ascii="Times New Roman" w:hAnsi="Times New Roman" w:eastAsia="宋体" w:cs="Times New Roman"/>
                <w:color w:val="auto"/>
                <w:sz w:val="24"/>
                <w:highlight w:val="none"/>
              </w:rPr>
              <w:t>，本项目建设可行。</w:t>
            </w:r>
          </w:p>
          <w:p w14:paraId="1A8C8B3A">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highlight w:val="none"/>
              </w:rPr>
            </w:pPr>
          </w:p>
        </w:tc>
      </w:tr>
    </w:tbl>
    <w:p w14:paraId="544C83EA">
      <w:pPr>
        <w:rPr>
          <w:rFonts w:hint="default" w:ascii="Times New Roman" w:hAnsi="Times New Roman" w:eastAsia="宋体"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DCADE6B">
      <w:pPr>
        <w:pStyle w:val="28"/>
        <w:adjustRightInd w:val="0"/>
        <w:snapToGrid w:val="0"/>
        <w:spacing w:before="0" w:beforeAutospacing="0" w:after="0" w:afterAutospacing="0"/>
        <w:outlineLvl w:val="0"/>
        <w:rPr>
          <w:rFonts w:hint="default" w:ascii="Times New Roman" w:hAnsi="Times New Roman" w:eastAsia="宋体" w:cs="Times New Roman"/>
          <w:snapToGrid w:val="0"/>
          <w:color w:val="auto"/>
          <w:sz w:val="32"/>
          <w:szCs w:val="32"/>
          <w:highlight w:val="none"/>
        </w:rPr>
      </w:pPr>
      <w:bookmarkStart w:id="24" w:name="_Toc16420"/>
      <w:bookmarkStart w:id="25" w:name="_Toc19871"/>
      <w:r>
        <w:rPr>
          <w:rFonts w:hint="default" w:ascii="Times New Roman" w:hAnsi="Times New Roman" w:eastAsia="宋体" w:cs="Times New Roman"/>
          <w:snapToGrid w:val="0"/>
          <w:color w:val="auto"/>
          <w:sz w:val="32"/>
          <w:szCs w:val="32"/>
          <w:highlight w:val="none"/>
        </w:rPr>
        <w:t>附表</w:t>
      </w:r>
      <w:bookmarkEnd w:id="24"/>
      <w:bookmarkEnd w:id="25"/>
    </w:p>
    <w:p w14:paraId="27D0C119">
      <w:pPr>
        <w:pStyle w:val="28"/>
        <w:adjustRightInd w:val="0"/>
        <w:snapToGrid w:val="0"/>
        <w:spacing w:before="0" w:beforeAutospacing="0" w:after="0" w:afterAutospacing="0"/>
        <w:jc w:val="center"/>
        <w:outlineLvl w:val="0"/>
        <w:rPr>
          <w:rFonts w:hint="default" w:ascii="Times New Roman" w:hAnsi="Times New Roman" w:eastAsia="宋体" w:cs="Times New Roman"/>
          <w:snapToGrid w:val="0"/>
          <w:color w:val="auto"/>
          <w:sz w:val="38"/>
          <w:szCs w:val="38"/>
          <w:highlight w:val="none"/>
        </w:rPr>
      </w:pPr>
      <w:bookmarkStart w:id="26" w:name="_Toc13785"/>
      <w:bookmarkStart w:id="27" w:name="_Toc29567"/>
      <w:bookmarkStart w:id="28" w:name="_Toc18819"/>
      <w:r>
        <w:rPr>
          <w:rFonts w:hint="default" w:ascii="Times New Roman" w:hAnsi="Times New Roman" w:eastAsia="宋体" w:cs="Times New Roman"/>
          <w:snapToGrid w:val="0"/>
          <w:color w:val="auto"/>
          <w:sz w:val="38"/>
          <w:szCs w:val="38"/>
          <w:highlight w:val="none"/>
        </w:rPr>
        <w:t>建设项目污染物排放量汇总表</w:t>
      </w:r>
      <w:bookmarkEnd w:id="26"/>
      <w:bookmarkEnd w:id="27"/>
      <w:bookmarkEnd w:id="28"/>
    </w:p>
    <w:tbl>
      <w:tblPr>
        <w:tblStyle w:val="33"/>
        <w:tblW w:w="1383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112"/>
        <w:gridCol w:w="1794"/>
        <w:gridCol w:w="1881"/>
        <w:gridCol w:w="1724"/>
        <w:gridCol w:w="1947"/>
        <w:gridCol w:w="1632"/>
        <w:gridCol w:w="1447"/>
      </w:tblGrid>
      <w:tr w14:paraId="2F3042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tcBorders>
              <w:tl2br w:val="single" w:color="auto" w:sz="4" w:space="0"/>
            </w:tcBorders>
            <w:tcMar>
              <w:left w:w="28" w:type="dxa"/>
              <w:right w:w="28" w:type="dxa"/>
            </w:tcMar>
            <w:vAlign w:val="center"/>
          </w:tcPr>
          <w:p w14:paraId="73B4488E">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项目</w:t>
            </w:r>
          </w:p>
          <w:p w14:paraId="4A18F1F0">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分类</w:t>
            </w:r>
          </w:p>
        </w:tc>
        <w:tc>
          <w:tcPr>
            <w:tcW w:w="2112" w:type="dxa"/>
            <w:tcMar>
              <w:left w:w="28" w:type="dxa"/>
              <w:right w:w="28" w:type="dxa"/>
            </w:tcMar>
            <w:vAlign w:val="center"/>
          </w:tcPr>
          <w:p w14:paraId="6A5561C8">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污染物名称</w:t>
            </w:r>
          </w:p>
        </w:tc>
        <w:tc>
          <w:tcPr>
            <w:tcW w:w="1794" w:type="dxa"/>
            <w:tcMar>
              <w:left w:w="28" w:type="dxa"/>
              <w:right w:w="28" w:type="dxa"/>
            </w:tcMar>
            <w:vAlign w:val="center"/>
          </w:tcPr>
          <w:p w14:paraId="78D10981">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现有工程</w:t>
            </w:r>
          </w:p>
          <w:p w14:paraId="747CE51C">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tc>
        <w:tc>
          <w:tcPr>
            <w:tcW w:w="1881" w:type="dxa"/>
            <w:tcMar>
              <w:left w:w="28" w:type="dxa"/>
              <w:right w:w="28" w:type="dxa"/>
            </w:tcMar>
            <w:vAlign w:val="center"/>
          </w:tcPr>
          <w:p w14:paraId="4A864644">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在建工程</w:t>
            </w:r>
          </w:p>
          <w:p w14:paraId="03C8D341">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p>
        </w:tc>
        <w:tc>
          <w:tcPr>
            <w:tcW w:w="1724" w:type="dxa"/>
            <w:tcMar>
              <w:left w:w="28" w:type="dxa"/>
              <w:right w:w="28" w:type="dxa"/>
            </w:tcMar>
            <w:vAlign w:val="center"/>
          </w:tcPr>
          <w:p w14:paraId="1DE99F8B">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本项目</w:t>
            </w:r>
          </w:p>
          <w:p w14:paraId="5CE31E5E">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p>
        </w:tc>
        <w:tc>
          <w:tcPr>
            <w:tcW w:w="1947" w:type="dxa"/>
            <w:tcMar>
              <w:left w:w="28" w:type="dxa"/>
              <w:right w:w="28" w:type="dxa"/>
            </w:tcMar>
            <w:vAlign w:val="center"/>
          </w:tcPr>
          <w:p w14:paraId="14CE7C18">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以新带老削减量</w:t>
            </w:r>
          </w:p>
          <w:p w14:paraId="7263707B">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（新建项目不填）</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p>
        </w:tc>
        <w:tc>
          <w:tcPr>
            <w:tcW w:w="1632" w:type="dxa"/>
            <w:tcMar>
              <w:left w:w="28" w:type="dxa"/>
              <w:right w:w="28" w:type="dxa"/>
            </w:tcMar>
            <w:vAlign w:val="center"/>
          </w:tcPr>
          <w:p w14:paraId="307B28D7">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本项目建成后</w:t>
            </w:r>
          </w:p>
          <w:p w14:paraId="36089484">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全厂排放量（固体废物产生量）</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p>
        </w:tc>
        <w:tc>
          <w:tcPr>
            <w:tcW w:w="1447" w:type="dxa"/>
            <w:tcMar>
              <w:left w:w="28" w:type="dxa"/>
              <w:right w:w="28" w:type="dxa"/>
            </w:tcMar>
            <w:vAlign w:val="center"/>
          </w:tcPr>
          <w:p w14:paraId="351A5786">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变化量</w:t>
            </w:r>
          </w:p>
          <w:p w14:paraId="66AEDB88">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p>
        </w:tc>
      </w:tr>
      <w:tr w14:paraId="1C7D0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restart"/>
            <w:vAlign w:val="center"/>
          </w:tcPr>
          <w:p w14:paraId="0DC09135">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废气</w:t>
            </w:r>
          </w:p>
        </w:tc>
        <w:tc>
          <w:tcPr>
            <w:tcW w:w="2112" w:type="dxa"/>
            <w:vAlign w:val="center"/>
          </w:tcPr>
          <w:p w14:paraId="43AA0D89">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工业粉尘</w:t>
            </w:r>
          </w:p>
        </w:tc>
        <w:tc>
          <w:tcPr>
            <w:tcW w:w="1794" w:type="dxa"/>
            <w:vAlign w:val="center"/>
          </w:tcPr>
          <w:p w14:paraId="1A19E5CA">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2F797051">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3D82BB2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6.72</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263019DE">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6558094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6.72</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37E0562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w:t>
            </w:r>
            <w:r>
              <w:rPr>
                <w:rFonts w:hint="eastAsia" w:ascii="Times New Roman" w:cs="Times New Roman"/>
                <w:snapToGrid w:val="0"/>
                <w:color w:val="auto"/>
                <w:kern w:val="21"/>
                <w:szCs w:val="21"/>
                <w:highlight w:val="none"/>
                <w:lang w:val="en-US" w:eastAsia="zh-CN"/>
              </w:rPr>
              <w:t>6.72</w:t>
            </w:r>
            <w:r>
              <w:rPr>
                <w:rFonts w:hint="default" w:ascii="Times New Roman" w:hAnsi="Times New Roman" w:eastAsia="宋体" w:cs="Times New Roman"/>
                <w:snapToGrid w:val="0"/>
                <w:color w:val="auto"/>
                <w:kern w:val="21"/>
                <w:szCs w:val="21"/>
                <w:highlight w:val="none"/>
                <w:lang w:val="en-US" w:eastAsia="zh-CN"/>
              </w:rPr>
              <w:t>t/a</w:t>
            </w:r>
          </w:p>
        </w:tc>
      </w:tr>
      <w:tr w14:paraId="3B240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3DE3907C">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45647E32">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颗粒物</w:t>
            </w:r>
          </w:p>
        </w:tc>
        <w:tc>
          <w:tcPr>
            <w:tcW w:w="1794" w:type="dxa"/>
            <w:vAlign w:val="center"/>
          </w:tcPr>
          <w:p w14:paraId="050C7326">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54028E5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654DE89C">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0.379</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7675EA3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4CF75C8B">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0.379</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25DA090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+0.379</w:t>
            </w:r>
            <w:r>
              <w:rPr>
                <w:rFonts w:hint="default" w:ascii="Times New Roman" w:hAnsi="Times New Roman" w:eastAsia="宋体" w:cs="Times New Roman"/>
                <w:snapToGrid w:val="0"/>
                <w:color w:val="auto"/>
                <w:kern w:val="21"/>
                <w:szCs w:val="21"/>
                <w:highlight w:val="none"/>
                <w:lang w:val="en-US" w:eastAsia="zh-CN"/>
              </w:rPr>
              <w:t>t/a</w:t>
            </w:r>
          </w:p>
        </w:tc>
      </w:tr>
      <w:tr w14:paraId="3388B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45973254">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22A516D1">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szCs w:val="21"/>
                <w:highlight w:val="none"/>
                <w:lang w:bidi="ar"/>
              </w:rPr>
              <w:t>SO</w:t>
            </w:r>
            <w:r>
              <w:rPr>
                <w:rFonts w:hint="default" w:ascii="Times New Roman" w:hAnsi="Times New Roman" w:eastAsia="宋体" w:cs="Times New Roman"/>
                <w:color w:val="auto"/>
                <w:szCs w:val="21"/>
                <w:highlight w:val="none"/>
                <w:vertAlign w:val="subscript"/>
                <w:lang w:bidi="ar"/>
              </w:rPr>
              <w:t>2</w:t>
            </w:r>
          </w:p>
        </w:tc>
        <w:tc>
          <w:tcPr>
            <w:tcW w:w="1794" w:type="dxa"/>
            <w:vAlign w:val="center"/>
          </w:tcPr>
          <w:p w14:paraId="4D074E9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16A2FA2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5D3B588A">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1.35</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262F9730">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402A2AE2">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1.35</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033EC24B">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+1.35</w:t>
            </w:r>
            <w:r>
              <w:rPr>
                <w:rFonts w:hint="default" w:ascii="Times New Roman" w:hAnsi="Times New Roman" w:eastAsia="宋体" w:cs="Times New Roman"/>
                <w:snapToGrid w:val="0"/>
                <w:color w:val="auto"/>
                <w:kern w:val="21"/>
                <w:szCs w:val="21"/>
                <w:highlight w:val="none"/>
                <w:lang w:val="en-US" w:eastAsia="zh-CN"/>
              </w:rPr>
              <w:t>t/a</w:t>
            </w:r>
          </w:p>
        </w:tc>
      </w:tr>
      <w:tr w14:paraId="50F80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12981F32">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15CDA176">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color w:val="auto"/>
                <w:szCs w:val="21"/>
                <w:highlight w:val="none"/>
                <w:lang w:bidi="ar"/>
              </w:rPr>
              <w:t>NO</w:t>
            </w:r>
            <w:r>
              <w:rPr>
                <w:rFonts w:hint="default" w:ascii="Times New Roman" w:hAnsi="Times New Roman" w:eastAsia="宋体" w:cs="Times New Roman"/>
                <w:color w:val="auto"/>
                <w:szCs w:val="21"/>
                <w:highlight w:val="none"/>
                <w:vertAlign w:val="subscript"/>
                <w:lang w:bidi="ar"/>
              </w:rPr>
              <w:t>X</w:t>
            </w:r>
          </w:p>
        </w:tc>
        <w:tc>
          <w:tcPr>
            <w:tcW w:w="1794" w:type="dxa"/>
            <w:vAlign w:val="center"/>
          </w:tcPr>
          <w:p w14:paraId="5DB2FA3A">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4E3B6AA9">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54D35B6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3.25t</w:t>
            </w:r>
            <w:r>
              <w:rPr>
                <w:rFonts w:hint="default" w:ascii="Times New Roman" w:hAnsi="Times New Roman" w:eastAsia="宋体" w:cs="Times New Roman"/>
                <w:snapToGrid w:val="0"/>
                <w:color w:val="auto"/>
                <w:kern w:val="21"/>
                <w:szCs w:val="21"/>
                <w:highlight w:val="none"/>
                <w:lang w:val="en-US" w:eastAsia="zh-CN"/>
              </w:rPr>
              <w:t>/a</w:t>
            </w:r>
          </w:p>
        </w:tc>
        <w:tc>
          <w:tcPr>
            <w:tcW w:w="1947" w:type="dxa"/>
            <w:vAlign w:val="center"/>
          </w:tcPr>
          <w:p w14:paraId="633D8C6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6F12DC34">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3.25t</w:t>
            </w:r>
            <w:r>
              <w:rPr>
                <w:rFonts w:hint="default" w:ascii="Times New Roman" w:hAnsi="Times New Roman" w:eastAsia="宋体" w:cs="Times New Roman"/>
                <w:snapToGrid w:val="0"/>
                <w:color w:val="auto"/>
                <w:kern w:val="21"/>
                <w:szCs w:val="21"/>
                <w:highlight w:val="none"/>
                <w:lang w:val="en-US" w:eastAsia="zh-CN"/>
              </w:rPr>
              <w:t>/a</w:t>
            </w:r>
          </w:p>
        </w:tc>
        <w:tc>
          <w:tcPr>
            <w:tcW w:w="1447" w:type="dxa"/>
            <w:vAlign w:val="center"/>
          </w:tcPr>
          <w:p w14:paraId="0AA97AC1">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+3.25t</w:t>
            </w:r>
            <w:r>
              <w:rPr>
                <w:rFonts w:hint="default" w:ascii="Times New Roman" w:hAnsi="Times New Roman" w:eastAsia="宋体" w:cs="Times New Roman"/>
                <w:snapToGrid w:val="0"/>
                <w:color w:val="auto"/>
                <w:kern w:val="21"/>
                <w:szCs w:val="21"/>
                <w:highlight w:val="none"/>
                <w:lang w:val="en-US" w:eastAsia="zh-CN"/>
              </w:rPr>
              <w:t>/a</w:t>
            </w:r>
          </w:p>
        </w:tc>
      </w:tr>
      <w:tr w14:paraId="4BFDE6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restart"/>
            <w:vAlign w:val="center"/>
          </w:tcPr>
          <w:p w14:paraId="02548999">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固体废物</w:t>
            </w:r>
          </w:p>
        </w:tc>
        <w:tc>
          <w:tcPr>
            <w:tcW w:w="2112" w:type="dxa"/>
            <w:vAlign w:val="center"/>
          </w:tcPr>
          <w:p w14:paraId="34436421">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热风炉</w:t>
            </w:r>
            <w:r>
              <w:rPr>
                <w:rFonts w:hint="eastAsia" w:ascii="Times New Roman" w:cs="Times New Roman"/>
                <w:snapToGrid w:val="0"/>
                <w:color w:val="auto"/>
                <w:kern w:val="21"/>
                <w:szCs w:val="21"/>
                <w:highlight w:val="none"/>
                <w:lang w:val="en-US" w:eastAsia="zh-CN"/>
              </w:rPr>
              <w:t>布袋除尘器</w:t>
            </w:r>
            <w:r>
              <w:rPr>
                <w:rFonts w:hint="default" w:ascii="Times New Roman" w:hAnsi="Times New Roman" w:eastAsia="宋体" w:cs="Times New Roman"/>
                <w:snapToGrid w:val="0"/>
                <w:color w:val="auto"/>
                <w:kern w:val="21"/>
                <w:szCs w:val="21"/>
                <w:highlight w:val="none"/>
              </w:rPr>
              <w:t>收尘</w:t>
            </w:r>
          </w:p>
        </w:tc>
        <w:tc>
          <w:tcPr>
            <w:tcW w:w="1794" w:type="dxa"/>
            <w:vAlign w:val="center"/>
          </w:tcPr>
          <w:p w14:paraId="2D1FAA4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7732136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4D0C01C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75.421</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2EC475F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28E4DBA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75.421</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4908AE33">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+75.421</w:t>
            </w:r>
            <w:r>
              <w:rPr>
                <w:rFonts w:hint="default" w:ascii="Times New Roman" w:hAnsi="Times New Roman" w:eastAsia="宋体" w:cs="Times New Roman"/>
                <w:snapToGrid w:val="0"/>
                <w:color w:val="auto"/>
                <w:kern w:val="21"/>
                <w:szCs w:val="21"/>
                <w:highlight w:val="none"/>
                <w:lang w:val="en-US" w:eastAsia="zh-CN"/>
              </w:rPr>
              <w:t>t/a</w:t>
            </w:r>
          </w:p>
        </w:tc>
      </w:tr>
      <w:tr w14:paraId="1466F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2757500E">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p>
        </w:tc>
        <w:tc>
          <w:tcPr>
            <w:tcW w:w="2112" w:type="dxa"/>
            <w:vAlign w:val="center"/>
          </w:tcPr>
          <w:p w14:paraId="5B5A82D4">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废布袋</w:t>
            </w:r>
          </w:p>
        </w:tc>
        <w:tc>
          <w:tcPr>
            <w:tcW w:w="1794" w:type="dxa"/>
            <w:vAlign w:val="center"/>
          </w:tcPr>
          <w:p w14:paraId="27FE04FF">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3B7BBE5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2204B766">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0.1t/a</w:t>
            </w:r>
          </w:p>
        </w:tc>
        <w:tc>
          <w:tcPr>
            <w:tcW w:w="1947" w:type="dxa"/>
            <w:vAlign w:val="center"/>
          </w:tcPr>
          <w:p w14:paraId="6D31968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06E037B1">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0.1t/a</w:t>
            </w:r>
          </w:p>
        </w:tc>
        <w:tc>
          <w:tcPr>
            <w:tcW w:w="1447" w:type="dxa"/>
            <w:vAlign w:val="center"/>
          </w:tcPr>
          <w:p w14:paraId="4608F364">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snapToGrid w:val="0"/>
                <w:color w:val="auto"/>
                <w:kern w:val="21"/>
                <w:szCs w:val="21"/>
                <w:highlight w:val="none"/>
                <w:lang w:val="en-US" w:eastAsia="zh-CN"/>
              </w:rPr>
              <w:t>+</w:t>
            </w:r>
            <w:r>
              <w:rPr>
                <w:rFonts w:hint="default" w:ascii="Times New Roman" w:hAnsi="Times New Roman" w:eastAsia="宋体" w:cs="Times New Roman"/>
                <w:snapToGrid w:val="0"/>
                <w:color w:val="auto"/>
                <w:kern w:val="21"/>
                <w:szCs w:val="21"/>
                <w:highlight w:val="none"/>
                <w:lang w:val="en-US" w:eastAsia="zh-CN"/>
              </w:rPr>
              <w:t>0.1t/a</w:t>
            </w:r>
          </w:p>
        </w:tc>
      </w:tr>
      <w:tr w14:paraId="1DA1C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036BB40A">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09E14407">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热风炉灰渣</w:t>
            </w:r>
          </w:p>
        </w:tc>
        <w:tc>
          <w:tcPr>
            <w:tcW w:w="1794" w:type="dxa"/>
            <w:vAlign w:val="center"/>
          </w:tcPr>
          <w:p w14:paraId="4B9CE1B1">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2B60A1E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146FF3D9">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92.72</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2F346253">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32811E26">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92.72</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5D388989">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+92.72</w:t>
            </w:r>
            <w:r>
              <w:rPr>
                <w:rFonts w:hint="default" w:ascii="Times New Roman" w:hAnsi="Times New Roman" w:eastAsia="宋体" w:cs="Times New Roman"/>
                <w:snapToGrid w:val="0"/>
                <w:color w:val="auto"/>
                <w:kern w:val="21"/>
                <w:szCs w:val="21"/>
                <w:highlight w:val="none"/>
                <w:lang w:val="en-US" w:eastAsia="zh-CN"/>
              </w:rPr>
              <w:t>t/a</w:t>
            </w:r>
          </w:p>
        </w:tc>
      </w:tr>
      <w:tr w14:paraId="12337F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382BC97E">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5D3CD29F">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烘干塔收尘</w:t>
            </w:r>
          </w:p>
        </w:tc>
        <w:tc>
          <w:tcPr>
            <w:tcW w:w="1794" w:type="dxa"/>
            <w:vAlign w:val="center"/>
          </w:tcPr>
          <w:p w14:paraId="67D461F6">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3B8C353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2FB02DBC">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4.2</w:t>
            </w:r>
            <w:r>
              <w:rPr>
                <w:rFonts w:hint="default" w:ascii="Times New Roman" w:hAnsi="Times New Roman" w:eastAsia="宋体" w:cs="Times New Roman"/>
                <w:snapToGrid w:val="0"/>
                <w:color w:val="auto"/>
                <w:kern w:val="21"/>
                <w:szCs w:val="21"/>
                <w:highlight w:val="none"/>
                <w:lang w:val="en-US" w:eastAsia="zh-CN"/>
              </w:rPr>
              <w:t>t/a</w:t>
            </w:r>
          </w:p>
        </w:tc>
        <w:tc>
          <w:tcPr>
            <w:tcW w:w="1947" w:type="dxa"/>
            <w:vAlign w:val="center"/>
          </w:tcPr>
          <w:p w14:paraId="00982EEE">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4B3202B9">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4.2</w:t>
            </w:r>
            <w:r>
              <w:rPr>
                <w:rFonts w:hint="default" w:ascii="Times New Roman" w:hAnsi="Times New Roman" w:eastAsia="宋体" w:cs="Times New Roman"/>
                <w:snapToGrid w:val="0"/>
                <w:color w:val="auto"/>
                <w:kern w:val="21"/>
                <w:szCs w:val="21"/>
                <w:highlight w:val="none"/>
                <w:lang w:val="en-US" w:eastAsia="zh-CN"/>
              </w:rPr>
              <w:t>t/a</w:t>
            </w:r>
          </w:p>
        </w:tc>
        <w:tc>
          <w:tcPr>
            <w:tcW w:w="1447" w:type="dxa"/>
            <w:vAlign w:val="center"/>
          </w:tcPr>
          <w:p w14:paraId="005E7266">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+4.2</w:t>
            </w:r>
            <w:r>
              <w:rPr>
                <w:rFonts w:hint="default" w:ascii="Times New Roman" w:hAnsi="Times New Roman" w:eastAsia="宋体" w:cs="Times New Roman"/>
                <w:snapToGrid w:val="0"/>
                <w:color w:val="auto"/>
                <w:kern w:val="21"/>
                <w:szCs w:val="21"/>
                <w:highlight w:val="none"/>
                <w:lang w:val="en-US" w:eastAsia="zh-CN"/>
              </w:rPr>
              <w:t>t/a</w:t>
            </w:r>
          </w:p>
        </w:tc>
      </w:tr>
      <w:tr w14:paraId="06F51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6E00A253">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01EDEB6A">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筛分杂质</w:t>
            </w:r>
          </w:p>
        </w:tc>
        <w:tc>
          <w:tcPr>
            <w:tcW w:w="1794" w:type="dxa"/>
            <w:vAlign w:val="center"/>
          </w:tcPr>
          <w:p w14:paraId="3E6F4A6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712C2A25">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29BCD16D">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17A434E6">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69B8FC04">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45F27C78">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w:t>
            </w:r>
            <w:r>
              <w:rPr>
                <w:rFonts w:hint="default" w:ascii="Times New Roman" w:hAnsi="Times New Roman" w:eastAsia="宋体" w:cs="Times New Roman"/>
                <w:snapToGrid w:val="0"/>
                <w:color w:val="auto"/>
                <w:kern w:val="21"/>
                <w:szCs w:val="21"/>
                <w:highlight w:val="none"/>
              </w:rPr>
              <w:t>t/a</w:t>
            </w:r>
          </w:p>
        </w:tc>
      </w:tr>
      <w:tr w14:paraId="2AF78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44AD75EF">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0C363EEB">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筛分工序收尘</w:t>
            </w:r>
          </w:p>
        </w:tc>
        <w:tc>
          <w:tcPr>
            <w:tcW w:w="1794" w:type="dxa"/>
            <w:vAlign w:val="center"/>
          </w:tcPr>
          <w:p w14:paraId="3FEF7557">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6BCFB869">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0C87A4E3">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5.4</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1A6CCE40">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5E96B452">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5.4</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3CD04021">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+5.4</w:t>
            </w:r>
            <w:r>
              <w:rPr>
                <w:rFonts w:hint="default" w:ascii="Times New Roman" w:hAnsi="Times New Roman" w:eastAsia="宋体" w:cs="Times New Roman"/>
                <w:snapToGrid w:val="0"/>
                <w:color w:val="auto"/>
                <w:kern w:val="21"/>
                <w:szCs w:val="21"/>
                <w:highlight w:val="none"/>
              </w:rPr>
              <w:t>t/a</w:t>
            </w:r>
          </w:p>
        </w:tc>
      </w:tr>
      <w:tr w14:paraId="7F13B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3A913C79">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7264F38A">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生活垃圾</w:t>
            </w:r>
          </w:p>
        </w:tc>
        <w:tc>
          <w:tcPr>
            <w:tcW w:w="1794" w:type="dxa"/>
            <w:vAlign w:val="center"/>
          </w:tcPr>
          <w:p w14:paraId="6BA733C2">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1A4A889D">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71668F8F">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0.1875</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3D009AC2">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0448E505">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0.1875</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2D523E10">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+0.1875</w:t>
            </w:r>
            <w:r>
              <w:rPr>
                <w:rFonts w:hint="default" w:ascii="Times New Roman" w:hAnsi="Times New Roman" w:eastAsia="宋体" w:cs="Times New Roman"/>
                <w:snapToGrid w:val="0"/>
                <w:color w:val="auto"/>
                <w:kern w:val="21"/>
                <w:szCs w:val="21"/>
                <w:highlight w:val="none"/>
              </w:rPr>
              <w:t>t/a</w:t>
            </w:r>
          </w:p>
        </w:tc>
      </w:tr>
      <w:tr w14:paraId="109C1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6700F4A9">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2F92263A">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原料堆场收尘</w:t>
            </w:r>
          </w:p>
        </w:tc>
        <w:tc>
          <w:tcPr>
            <w:tcW w:w="1794" w:type="dxa"/>
            <w:vAlign w:val="center"/>
          </w:tcPr>
          <w:p w14:paraId="1FA61C62">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7E9CF5DE">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4C02E57A">
            <w:pPr>
              <w:pStyle w:val="55"/>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jc w:val="center"/>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3.6</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4CCA94E8">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02E094CE">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3.6</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1FF58524">
            <w:pPr>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jc w:val="center"/>
              <w:textAlignment w:val="auto"/>
              <w:rPr>
                <w:rFonts w:hint="eastAsia" w:asci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w:t>
            </w:r>
            <w:r>
              <w:rPr>
                <w:rFonts w:hint="eastAsia" w:ascii="Times New Roman" w:cs="Times New Roman"/>
                <w:snapToGrid w:val="0"/>
                <w:color w:val="auto"/>
                <w:kern w:val="21"/>
                <w:szCs w:val="21"/>
                <w:highlight w:val="none"/>
                <w:lang w:val="en-US" w:eastAsia="zh-CN"/>
              </w:rPr>
              <w:t>3.6</w:t>
            </w:r>
            <w:r>
              <w:rPr>
                <w:rFonts w:hint="default" w:ascii="Times New Roman" w:hAnsi="Times New Roman" w:eastAsia="宋体" w:cs="Times New Roman"/>
                <w:snapToGrid w:val="0"/>
                <w:color w:val="auto"/>
                <w:kern w:val="21"/>
                <w:szCs w:val="21"/>
                <w:highlight w:val="none"/>
              </w:rPr>
              <w:t>t/a</w:t>
            </w:r>
          </w:p>
        </w:tc>
      </w:tr>
      <w:tr w14:paraId="4D275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restart"/>
            <w:vAlign w:val="center"/>
          </w:tcPr>
          <w:p w14:paraId="10424C0F">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危险废物</w:t>
            </w:r>
          </w:p>
        </w:tc>
        <w:tc>
          <w:tcPr>
            <w:tcW w:w="2112" w:type="dxa"/>
            <w:vAlign w:val="center"/>
          </w:tcPr>
          <w:p w14:paraId="6D52723C">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废润滑油</w:t>
            </w:r>
          </w:p>
        </w:tc>
        <w:tc>
          <w:tcPr>
            <w:tcW w:w="1794" w:type="dxa"/>
            <w:vAlign w:val="center"/>
          </w:tcPr>
          <w:p w14:paraId="1825BE7E">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39F444C0">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21CB44F3">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0.01</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09931F3D">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632" w:type="dxa"/>
            <w:vAlign w:val="center"/>
          </w:tcPr>
          <w:p w14:paraId="557C1C6C">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0.01</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350438AC">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+0.01</w:t>
            </w:r>
            <w:r>
              <w:rPr>
                <w:rFonts w:hint="default" w:ascii="Times New Roman" w:hAnsi="Times New Roman" w:eastAsia="宋体" w:cs="Times New Roman"/>
                <w:snapToGrid w:val="0"/>
                <w:color w:val="auto"/>
                <w:kern w:val="21"/>
                <w:szCs w:val="21"/>
                <w:highlight w:val="none"/>
              </w:rPr>
              <w:t>t/a</w:t>
            </w:r>
          </w:p>
        </w:tc>
      </w:tr>
      <w:tr w14:paraId="2CE0E5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6D2573D3">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5789B772">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废润滑油桶</w:t>
            </w:r>
          </w:p>
        </w:tc>
        <w:tc>
          <w:tcPr>
            <w:tcW w:w="1794" w:type="dxa"/>
            <w:vAlign w:val="center"/>
          </w:tcPr>
          <w:p w14:paraId="20360AE4">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vAlign w:val="center"/>
          </w:tcPr>
          <w:p w14:paraId="5AA8F57F">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vAlign w:val="center"/>
          </w:tcPr>
          <w:p w14:paraId="04656DA6">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c>
          <w:tcPr>
            <w:tcW w:w="1947" w:type="dxa"/>
            <w:vAlign w:val="center"/>
          </w:tcPr>
          <w:p w14:paraId="0B679F27">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632" w:type="dxa"/>
            <w:vAlign w:val="center"/>
          </w:tcPr>
          <w:p w14:paraId="4A067FE0">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c>
          <w:tcPr>
            <w:tcW w:w="1447" w:type="dxa"/>
            <w:vAlign w:val="center"/>
          </w:tcPr>
          <w:p w14:paraId="3892A245">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r>
      <w:tr w14:paraId="6D8C9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8" w:type="dxa"/>
            <w:vMerge w:val="continue"/>
            <w:vAlign w:val="center"/>
          </w:tcPr>
          <w:p w14:paraId="641D8325">
            <w:pPr>
              <w:pStyle w:val="55"/>
              <w:keepNext w:val="0"/>
              <w:keepLines w:val="0"/>
              <w:suppressLineNumbers w:val="0"/>
              <w:spacing w:before="0" w:beforeLines="0" w:beforeAutospacing="0" w:after="0" w:afterLines="0" w:afterAutospacing="0" w:line="240" w:lineRule="auto"/>
              <w:ind w:left="0" w:right="0"/>
              <w:jc w:val="center"/>
              <w:rPr>
                <w:rFonts w:hint="default" w:ascii="Times New Roman" w:hAnsi="Times New Roman" w:eastAsia="宋体" w:cs="Times New Roman"/>
                <w:snapToGrid w:val="0"/>
                <w:color w:val="auto"/>
                <w:kern w:val="21"/>
                <w:szCs w:val="21"/>
                <w:highlight w:val="none"/>
              </w:rPr>
            </w:pPr>
          </w:p>
        </w:tc>
        <w:tc>
          <w:tcPr>
            <w:tcW w:w="2112" w:type="dxa"/>
            <w:vAlign w:val="center"/>
          </w:tcPr>
          <w:p w14:paraId="459AD3BF">
            <w:pPr>
              <w:pStyle w:val="55"/>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cs="Times New Roman"/>
                <w:snapToGrid w:val="0"/>
                <w:color w:val="auto"/>
                <w:kern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含油手套和抹布</w:t>
            </w:r>
          </w:p>
        </w:tc>
        <w:tc>
          <w:tcPr>
            <w:tcW w:w="1794" w:type="dxa"/>
            <w:shd w:val="clear" w:color="auto" w:fill="auto"/>
            <w:vAlign w:val="center"/>
          </w:tcPr>
          <w:p w14:paraId="03279C11">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w:t>
            </w:r>
          </w:p>
        </w:tc>
        <w:tc>
          <w:tcPr>
            <w:tcW w:w="1881" w:type="dxa"/>
            <w:shd w:val="clear" w:color="auto" w:fill="auto"/>
            <w:vAlign w:val="center"/>
          </w:tcPr>
          <w:p w14:paraId="363044DD">
            <w:pPr>
              <w:pStyle w:val="55"/>
              <w:keepNext w:val="0"/>
              <w:keepLines w:val="0"/>
              <w:suppressLineNumbers w:val="0"/>
              <w:spacing w:before="0" w:beforeLines="0" w:beforeAutospacing="0" w:after="0" w:afterLines="0" w:afterAutospacing="0" w:line="240" w:lineRule="auto"/>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w:t>
            </w:r>
          </w:p>
        </w:tc>
        <w:tc>
          <w:tcPr>
            <w:tcW w:w="1724" w:type="dxa"/>
            <w:shd w:val="clear" w:color="auto" w:fill="auto"/>
            <w:vAlign w:val="center"/>
          </w:tcPr>
          <w:p w14:paraId="24D72608">
            <w:pPr>
              <w:pStyle w:val="55"/>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c>
          <w:tcPr>
            <w:tcW w:w="1947" w:type="dxa"/>
            <w:shd w:val="clear" w:color="auto" w:fill="auto"/>
            <w:vAlign w:val="center"/>
          </w:tcPr>
          <w:p w14:paraId="4FCEB387">
            <w:pPr>
              <w:pStyle w:val="55"/>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w:t>
            </w:r>
          </w:p>
        </w:tc>
        <w:tc>
          <w:tcPr>
            <w:tcW w:w="1632" w:type="dxa"/>
            <w:shd w:val="clear" w:color="auto" w:fill="auto"/>
            <w:vAlign w:val="center"/>
          </w:tcPr>
          <w:p w14:paraId="5612EE78">
            <w:pPr>
              <w:pStyle w:val="55"/>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c>
          <w:tcPr>
            <w:tcW w:w="1447" w:type="dxa"/>
            <w:shd w:val="clear" w:color="auto" w:fill="auto"/>
            <w:vAlign w:val="center"/>
          </w:tcPr>
          <w:p w14:paraId="6391D127">
            <w:pPr>
              <w:pStyle w:val="55"/>
              <w:keepNext w:val="0"/>
              <w:keepLines w:val="0"/>
              <w:suppressLineNumbers w:val="0"/>
              <w:spacing w:before="0" w:beforeLines="0" w:beforeAutospacing="0" w:after="0" w:afterLines="0" w:afterAutospacing="0" w:line="240" w:lineRule="auto"/>
              <w:ind w:left="0" w:leftChars="0" w:right="0" w:rightChars="0"/>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Cs w:val="21"/>
                <w:highlight w:val="none"/>
                <w:lang w:val="en-US" w:eastAsia="zh-CN"/>
              </w:rPr>
              <w:t>+0.005</w:t>
            </w:r>
            <w:r>
              <w:rPr>
                <w:rFonts w:hint="default" w:ascii="Times New Roman" w:hAnsi="Times New Roman" w:eastAsia="宋体" w:cs="Times New Roman"/>
                <w:snapToGrid w:val="0"/>
                <w:color w:val="auto"/>
                <w:kern w:val="21"/>
                <w:szCs w:val="21"/>
                <w:highlight w:val="none"/>
              </w:rPr>
              <w:t>t/a</w:t>
            </w:r>
          </w:p>
        </w:tc>
      </w:tr>
    </w:tbl>
    <w:p w14:paraId="0D645ABF">
      <w:pPr>
        <w:pStyle w:val="55"/>
        <w:spacing w:before="192" w:beforeLines="80" w:after="24"/>
        <w:jc w:val="lef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kern w:val="21"/>
          <w:szCs w:val="21"/>
          <w:highlight w:val="none"/>
        </w:rPr>
        <w:t>注：</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r>
        <w:rPr>
          <w:rFonts w:hint="default" w:ascii="Times New Roman" w:hAnsi="Times New Roman" w:eastAsia="宋体" w:cs="Times New Roman"/>
          <w:snapToGrid w:val="0"/>
          <w:color w:val="auto"/>
          <w:spacing w:val="-6"/>
          <w:kern w:val="21"/>
          <w:szCs w:val="21"/>
          <w:highlight w:val="none"/>
        </w:rPr>
        <w:t>=</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r>
        <w:rPr>
          <w:rFonts w:hint="default" w:ascii="Times New Roman" w:hAnsi="Times New Roman" w:eastAsia="宋体" w:cs="Times New Roman"/>
          <w:snapToGrid w:val="0"/>
          <w:color w:val="auto"/>
          <w:spacing w:val="-16"/>
          <w:kern w:val="21"/>
          <w:szCs w:val="21"/>
          <w:highlight w:val="none"/>
        </w:rPr>
        <w:t>-</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p w14:paraId="69B13F6B">
      <w:pPr>
        <w:jc w:val="left"/>
        <w:outlineLvl w:val="0"/>
        <w:rPr>
          <w:rFonts w:hint="default" w:ascii="Times New Roman" w:hAnsi="Times New Roman" w:eastAsia="宋体" w:cs="Times New Roman"/>
          <w:b/>
          <w:color w:val="auto"/>
          <w:highlight w:val="none"/>
        </w:rPr>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bookmarkStart w:id="29" w:name="_Toc28396"/>
    </w:p>
    <w:p w14:paraId="45596F91">
      <w:pPr>
        <w:jc w:val="left"/>
        <w:outlineLvl w:val="0"/>
        <w:rPr>
          <w:rFonts w:hint="default" w:ascii="Times New Roman" w:hAnsi="Times New Roman" w:eastAsia="宋体" w:cs="Times New Roman"/>
          <w:color w:val="auto"/>
          <w:highlight w:val="none"/>
        </w:rPr>
      </w:pPr>
      <w:bookmarkStart w:id="30" w:name="_Toc20892"/>
      <w:r>
        <w:rPr>
          <w:color w:val="auto"/>
          <w:highlight w:val="none"/>
        </w:rPr>
        <w:drawing>
          <wp:anchor distT="0" distB="0" distL="114300" distR="114300" simplePos="0" relativeHeight="251666432" behindDoc="0" locked="0" layoutInCell="1" allowOverlap="1">
            <wp:simplePos x="0" y="0"/>
            <wp:positionH relativeFrom="column">
              <wp:posOffset>7393940</wp:posOffset>
            </wp:positionH>
            <wp:positionV relativeFrom="paragraph">
              <wp:posOffset>172720</wp:posOffset>
            </wp:positionV>
            <wp:extent cx="1143000" cy="942975"/>
            <wp:effectExtent l="0" t="0" r="0" b="9525"/>
            <wp:wrapNone/>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17"/>
                    <a:stretch>
                      <a:fillRect/>
                    </a:stretch>
                  </pic:blipFill>
                  <pic:spPr>
                    <a:xfrm>
                      <a:off x="0" y="0"/>
                      <a:ext cx="1143000" cy="942975"/>
                    </a:xfrm>
                    <a:prstGeom prst="rect">
                      <a:avLst/>
                    </a:prstGeom>
                    <a:noFill/>
                    <a:ln>
                      <a:noFill/>
                    </a:ln>
                  </pic:spPr>
                </pic:pic>
              </a:graphicData>
            </a:graphic>
          </wp:anchor>
        </w:drawing>
      </w:r>
      <w:r>
        <w:rPr>
          <w:rFonts w:hint="default" w:ascii="Times New Roman" w:hAnsi="Times New Roman" w:eastAsia="宋体" w:cs="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733425</wp:posOffset>
                </wp:positionH>
                <wp:positionV relativeFrom="paragraph">
                  <wp:posOffset>2260600</wp:posOffset>
                </wp:positionV>
                <wp:extent cx="1311910" cy="58102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311910" cy="5810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CB8EA">
                            <w:pPr>
                              <w:rPr>
                                <w:rFonts w:hint="eastAsia" w:eastAsia="宋体"/>
                                <w:b/>
                                <w:bCs/>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75pt;margin-top:178pt;height:45.75pt;width:103.3pt;z-index:251665408;mso-width-relative:page;mso-height-relative:page;" filled="f" stroked="f" coordsize="21600,21600" o:gfxdata="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uodNsAAAALAQAADwAAAAAAAAABACAAAAAiAAAA&#10;ZHJzL2Rvd25yZXYueG1sUEsBAhQAFAAAAAgAh07iQK3SLm49AgAAagQAAA4AAAAAAAAAAQAgAAAA&#10;KgEAAGRycy9lMm9Eb2MueG1sUEsFBgAAAAAGAAYAWQEAANkFAAAAAA==&#10;">
                <v:fill on="f" focussize="0,0"/>
                <v:stroke on="f" weight="0.5pt"/>
                <v:imagedata o:title=""/>
                <o:lock v:ext="edit" aspectratio="f"/>
                <v:textbox>
                  <w:txbxContent>
                    <w:p w14:paraId="36DCB8EA">
                      <w:pPr>
                        <w:rPr>
                          <w:rFonts w:hint="eastAsia" w:eastAsia="宋体"/>
                          <w:b/>
                          <w:bCs/>
                          <w:lang w:val="en-US" w:eastAsia="zh-CN"/>
                        </w:rPr>
                      </w:pPr>
                    </w:p>
                  </w:txbxContent>
                </v:textbox>
              </v:shape>
            </w:pict>
          </mc:Fallback>
        </mc:AlternateContent>
      </w:r>
      <w:r>
        <w:rPr>
          <w:rFonts w:hint="default" w:ascii="Times New Roman" w:hAnsi="Times New Roman" w:eastAsia="宋体" w:cs="Times New Roman"/>
          <w:b/>
          <w:color w:val="auto"/>
          <w:highlight w:val="none"/>
        </w:rPr>
        <w:t>附图</w:t>
      </w:r>
      <w:r>
        <w:rPr>
          <w:rFonts w:hint="default" w:ascii="Times New Roman" w:hAnsi="Times New Roman" w:eastAsia="宋体" w:cs="Times New Roman"/>
          <w:b/>
          <w:color w:val="auto"/>
          <w:highlight w:val="none"/>
          <w:lang w:val="en-US" w:eastAsia="zh-CN"/>
        </w:rPr>
        <w:t>1</w:t>
      </w:r>
      <w:r>
        <w:rPr>
          <w:rFonts w:hint="default" w:ascii="Times New Roman" w:hAnsi="Times New Roman" w:eastAsia="宋体" w:cs="Times New Roman"/>
          <w:b/>
          <w:color w:val="auto"/>
          <w:highlight w:val="none"/>
        </w:rPr>
        <w:t>地理位置图</w:t>
      </w:r>
      <w:bookmarkEnd w:id="30"/>
      <w:bookmarkStart w:id="31" w:name="_Toc7224"/>
    </w:p>
    <w:p w14:paraId="5051C56E">
      <w:pPr>
        <w:rPr>
          <w:rFonts w:hint="default" w:ascii="Times New Roman" w:hAnsi="Times New Roman" w:eastAsia="宋体" w:cs="Times New Roman"/>
          <w:color w:val="auto"/>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7069455</wp:posOffset>
                </wp:positionH>
                <wp:positionV relativeFrom="paragraph">
                  <wp:posOffset>4683125</wp:posOffset>
                </wp:positionV>
                <wp:extent cx="1463040" cy="596265"/>
                <wp:effectExtent l="6350" t="6350" r="16510" b="6985"/>
                <wp:wrapNone/>
                <wp:docPr id="32" name="文本框 32"/>
                <wp:cNvGraphicFramePr/>
                <a:graphic xmlns:a="http://schemas.openxmlformats.org/drawingml/2006/main">
                  <a:graphicData uri="http://schemas.microsoft.com/office/word/2010/wordprocessingShape">
                    <wps:wsp>
                      <wps:cNvSpPr txBox="1"/>
                      <wps:spPr>
                        <a:xfrm>
                          <a:off x="7805420" y="5753735"/>
                          <a:ext cx="1463040" cy="596265"/>
                        </a:xfrm>
                        <a:prstGeom prst="rect">
                          <a:avLst/>
                        </a:prstGeom>
                        <a:solidFill>
                          <a:sysClr val="window" lastClr="FFFFFF"/>
                        </a:solidFill>
                        <a:ln w="12700">
                          <a:solidFill>
                            <a:prstClr val="black"/>
                          </a:solidFill>
                        </a:ln>
                        <a:effectLst/>
                      </wps:spPr>
                      <wps:txbx>
                        <w:txbxContent>
                          <w:p w14:paraId="49C6A43F">
                            <w:pPr>
                              <w:spacing w:line="360" w:lineRule="auto"/>
                              <w:jc w:val="center"/>
                              <w:rPr>
                                <w:b/>
                                <w:bCs/>
                              </w:rPr>
                            </w:pPr>
                            <w:r>
                              <w:rPr>
                                <w:b/>
                                <w:bCs/>
                              </w:rPr>
                              <w:t>图例</w:t>
                            </w:r>
                          </w:p>
                          <w:p w14:paraId="0F4FAD58">
                            <w:pPr>
                              <w:pStyle w:val="31"/>
                              <w:spacing w:after="0" w:line="360" w:lineRule="auto"/>
                              <w:ind w:firstLine="0" w:firstLineChars="0"/>
                              <w:jc w:val="left"/>
                              <w:rPr>
                                <w:rFonts w:hint="eastAsia" w:eastAsia="宋体"/>
                                <w:szCs w:val="21"/>
                                <w:lang w:eastAsia="zh-CN"/>
                              </w:rPr>
                            </w:pPr>
                            <w:r>
                              <w:rPr>
                                <w:szCs w:val="21"/>
                              </w:rPr>
                              <w:t>本项目位置</w:t>
                            </w:r>
                            <w:r>
                              <w:rPr>
                                <w:rFonts w:hint="eastAsia"/>
                                <w:color w:val="0000FF"/>
                                <w:szCs w:val="21"/>
                                <w:lang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65pt;margin-top:368.75pt;height:46.95pt;width:115.2pt;z-index:251670528;mso-width-relative:page;mso-height-relative:page;" fillcolor="#FFFFFF" filled="t" stroked="t" coordsize="21600,21600" o:gfxdata="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6bLDM3QAAAA0BAAAPAAAAAAAAAAEAIAAAACIA&#10;AABkcnMvZG93bnJldi54bWxQSwECFAAUAAAACACHTuJAlYVHZXYCAADkBAAADgAAAAAAAAABACAA&#10;AAAsAQAAZHJzL2Uyb0RvYy54bWxQSwUGAAAAAAYABgBZAQAAFAYAAAAA&#10;">
                <v:fill on="t" focussize="0,0"/>
                <v:stroke weight="1pt" color="#000000" joinstyle="round"/>
                <v:imagedata o:title=""/>
                <o:lock v:ext="edit" aspectratio="f"/>
                <v:textbox>
                  <w:txbxContent>
                    <w:p w14:paraId="49C6A43F">
                      <w:pPr>
                        <w:spacing w:line="360" w:lineRule="auto"/>
                        <w:jc w:val="center"/>
                        <w:rPr>
                          <w:b/>
                          <w:bCs/>
                        </w:rPr>
                      </w:pPr>
                      <w:r>
                        <w:rPr>
                          <w:b/>
                          <w:bCs/>
                        </w:rPr>
                        <w:t>图例</w:t>
                      </w:r>
                    </w:p>
                    <w:p w14:paraId="0F4FAD58">
                      <w:pPr>
                        <w:pStyle w:val="31"/>
                        <w:spacing w:after="0" w:line="360" w:lineRule="auto"/>
                        <w:ind w:firstLine="0" w:firstLineChars="0"/>
                        <w:jc w:val="left"/>
                        <w:rPr>
                          <w:rFonts w:hint="eastAsia" w:eastAsia="宋体"/>
                          <w:szCs w:val="21"/>
                          <w:lang w:eastAsia="zh-CN"/>
                        </w:rPr>
                      </w:pPr>
                      <w:r>
                        <w:rPr>
                          <w:szCs w:val="21"/>
                        </w:rPr>
                        <w:t>本项目位置</w:t>
                      </w:r>
                      <w:r>
                        <w:rPr>
                          <w:rFonts w:hint="eastAsia"/>
                          <w:color w:val="0000FF"/>
                          <w:szCs w:val="21"/>
                          <w:lang w:eastAsia="zh-CN"/>
                        </w:rPr>
                        <w:t>□</w:t>
                      </w:r>
                    </w:p>
                  </w:txbxContent>
                </v:textbox>
              </v:shape>
            </w:pict>
          </mc:Fallback>
        </mc:AlternateContent>
      </w:r>
      <w:r>
        <w:rPr>
          <w:color w:val="auto"/>
          <w:highlight w:val="none"/>
        </w:rPr>
        <w:drawing>
          <wp:inline distT="0" distB="0" distL="114300" distR="114300">
            <wp:extent cx="8529320" cy="5373370"/>
            <wp:effectExtent l="0" t="0" r="5080" b="1778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42"/>
                    <a:stretch>
                      <a:fillRect/>
                    </a:stretch>
                  </pic:blipFill>
                  <pic:spPr>
                    <a:xfrm>
                      <a:off x="0" y="0"/>
                      <a:ext cx="8529320" cy="5373370"/>
                    </a:xfrm>
                    <a:prstGeom prst="rect">
                      <a:avLst/>
                    </a:prstGeom>
                    <a:noFill/>
                    <a:ln>
                      <a:noFill/>
                    </a:ln>
                  </pic:spPr>
                </pic:pic>
              </a:graphicData>
            </a:graphic>
          </wp:inline>
        </w:drawing>
      </w:r>
    </w:p>
    <w:bookmarkEnd w:id="31"/>
    <w:p w14:paraId="1D89595D">
      <w:pPr>
        <w:jc w:val="center"/>
        <w:rPr>
          <w:rFonts w:hint="default" w:ascii="Times New Roman" w:hAnsi="Times New Roman" w:eastAsia="宋体" w:cs="Times New Roman"/>
          <w:color w:val="auto"/>
          <w:highlight w:val="none"/>
        </w:rPr>
      </w:pPr>
    </w:p>
    <w:p w14:paraId="5CC14CA6">
      <w:pPr>
        <w:spacing w:line="360" w:lineRule="auto"/>
        <w:jc w:val="left"/>
        <w:outlineLvl w:val="0"/>
        <w:rPr>
          <w:rFonts w:hint="default" w:ascii="Times New Roman" w:hAnsi="Times New Roman" w:eastAsia="宋体" w:cs="Times New Roman"/>
          <w:b/>
          <w:bCs/>
          <w:color w:val="auto"/>
          <w:highlight w:val="none"/>
        </w:rPr>
      </w:pPr>
      <w:bookmarkStart w:id="32" w:name="_Toc22049"/>
      <w:r>
        <w:rPr>
          <w:color w:val="auto"/>
          <w:highlight w:val="none"/>
        </w:rPr>
        <w:drawing>
          <wp:anchor distT="0" distB="0" distL="114300" distR="114300" simplePos="0" relativeHeight="251672576" behindDoc="0" locked="0" layoutInCell="1" allowOverlap="1">
            <wp:simplePos x="0" y="0"/>
            <wp:positionH relativeFrom="column">
              <wp:posOffset>4571365</wp:posOffset>
            </wp:positionH>
            <wp:positionV relativeFrom="paragraph">
              <wp:posOffset>259080</wp:posOffset>
            </wp:positionV>
            <wp:extent cx="1143000" cy="942975"/>
            <wp:effectExtent l="0" t="0" r="0" b="9525"/>
            <wp:wrapNone/>
            <wp:docPr id="5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7"/>
                    <pic:cNvPicPr>
                      <a:picLocks noChangeAspect="1"/>
                    </pic:cNvPicPr>
                  </pic:nvPicPr>
                  <pic:blipFill>
                    <a:blip r:embed="rId17"/>
                    <a:stretch>
                      <a:fillRect/>
                    </a:stretch>
                  </pic:blipFill>
                  <pic:spPr>
                    <a:xfrm>
                      <a:off x="0" y="0"/>
                      <a:ext cx="1143000" cy="942975"/>
                    </a:xfrm>
                    <a:prstGeom prst="rect">
                      <a:avLst/>
                    </a:prstGeom>
                    <a:noFill/>
                    <a:ln>
                      <a:noFill/>
                    </a:ln>
                  </pic:spPr>
                </pic:pic>
              </a:graphicData>
            </a:graphic>
          </wp:anchor>
        </w:drawing>
      </w:r>
      <w:r>
        <w:rPr>
          <w:rFonts w:hint="default" w:ascii="Times New Roman" w:hAnsi="Times New Roman" w:eastAsia="宋体" w:cs="Times New Roman"/>
          <w:b/>
          <w:bCs/>
          <w:color w:val="auto"/>
          <w:highlight w:val="none"/>
        </w:rPr>
        <w:t>附图</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rPr>
        <w:t>本项目平面布置图</w:t>
      </w:r>
      <w:r>
        <w:rPr>
          <w:color w:val="auto"/>
          <w:highlight w:val="none"/>
        </w:rPr>
        <w:drawing>
          <wp:anchor distT="0" distB="0" distL="114300" distR="114300" simplePos="0" relativeHeight="251671552" behindDoc="0" locked="0" layoutInCell="1" allowOverlap="1">
            <wp:simplePos x="0" y="0"/>
            <wp:positionH relativeFrom="column">
              <wp:posOffset>7076440</wp:posOffset>
            </wp:positionH>
            <wp:positionV relativeFrom="paragraph">
              <wp:posOffset>351155</wp:posOffset>
            </wp:positionV>
            <wp:extent cx="1143000" cy="969645"/>
            <wp:effectExtent l="0" t="0" r="0" b="1905"/>
            <wp:wrapNone/>
            <wp:docPr id="5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pic:cNvPicPr>
                      <a:picLocks noChangeAspect="1"/>
                    </pic:cNvPicPr>
                  </pic:nvPicPr>
                  <pic:blipFill>
                    <a:blip r:embed="rId17"/>
                    <a:stretch>
                      <a:fillRect/>
                    </a:stretch>
                  </pic:blipFill>
                  <pic:spPr>
                    <a:xfrm>
                      <a:off x="0" y="0"/>
                      <a:ext cx="1143000" cy="969645"/>
                    </a:xfrm>
                    <a:prstGeom prst="rect">
                      <a:avLst/>
                    </a:prstGeom>
                    <a:noFill/>
                    <a:ln>
                      <a:noFill/>
                    </a:ln>
                  </pic:spPr>
                </pic:pic>
              </a:graphicData>
            </a:graphic>
          </wp:anchor>
        </w:drawing>
      </w:r>
      <w:bookmarkEnd w:id="32"/>
    </w:p>
    <w:p w14:paraId="57A7FB97">
      <w:pPr>
        <w:pStyle w:val="31"/>
        <w:ind w:left="0" w:leftChars="0" w:firstLine="0" w:firstLineChars="0"/>
        <w:rPr>
          <w:color w:val="auto"/>
          <w:highlight w:val="none"/>
        </w:rPr>
      </w:pPr>
    </w:p>
    <w:p w14:paraId="72D70D74">
      <w:pPr>
        <w:pStyle w:val="31"/>
        <w:rPr>
          <w:color w:val="auto"/>
          <w:highlight w:val="none"/>
        </w:rPr>
      </w:pPr>
    </w:p>
    <w:p w14:paraId="3007F9AE">
      <w:pPr>
        <w:pStyle w:val="31"/>
        <w:ind w:left="0" w:leftChars="0" w:firstLine="0" w:firstLineChars="0"/>
        <w:rPr>
          <w:color w:val="auto"/>
          <w:highlight w:val="none"/>
        </w:rPr>
      </w:pPr>
    </w:p>
    <w:p w14:paraId="18A906B4">
      <w:pPr>
        <w:rPr>
          <w:color w:val="auto"/>
          <w:highlight w:val="none"/>
        </w:rPr>
      </w:pPr>
    </w:p>
    <w:p w14:paraId="6469010E">
      <w:pPr>
        <w:pStyle w:val="31"/>
        <w:ind w:left="0" w:leftChars="0" w:firstLine="0" w:firstLineChars="0"/>
        <w:jc w:val="center"/>
        <w:rPr>
          <w:rFonts w:hint="default"/>
          <w:color w:val="auto"/>
          <w:highlight w:val="none"/>
        </w:rPr>
        <w:sectPr>
          <w:footerReference r:id="rId8"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color w:val="auto"/>
          <w:highlight w:val="none"/>
        </w:rPr>
        <w:drawing>
          <wp:inline distT="0" distB="0" distL="114300" distR="114300">
            <wp:extent cx="4400550" cy="6402070"/>
            <wp:effectExtent l="0" t="0" r="0" b="1778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43"/>
                    <a:stretch>
                      <a:fillRect/>
                    </a:stretch>
                  </pic:blipFill>
                  <pic:spPr>
                    <a:xfrm>
                      <a:off x="0" y="0"/>
                      <a:ext cx="4400550" cy="6402070"/>
                    </a:xfrm>
                    <a:prstGeom prst="rect">
                      <a:avLst/>
                    </a:prstGeom>
                    <a:noFill/>
                    <a:ln>
                      <a:noFill/>
                    </a:ln>
                  </pic:spPr>
                </pic:pic>
              </a:graphicData>
            </a:graphic>
          </wp:inline>
        </w:drawing>
      </w:r>
      <w:r>
        <w:rPr>
          <w:color w:val="auto"/>
          <w:highlight w:val="none"/>
        </w:rPr>
        <w:drawing>
          <wp:anchor distT="0" distB="0" distL="114300" distR="114300" simplePos="0" relativeHeight="251669504" behindDoc="0" locked="0" layoutInCell="1" allowOverlap="1">
            <wp:simplePos x="0" y="0"/>
            <wp:positionH relativeFrom="column">
              <wp:posOffset>7508240</wp:posOffset>
            </wp:positionH>
            <wp:positionV relativeFrom="paragraph">
              <wp:posOffset>8255</wp:posOffset>
            </wp:positionV>
            <wp:extent cx="1143000" cy="969645"/>
            <wp:effectExtent l="0" t="0" r="0" b="1905"/>
            <wp:wrapNone/>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17"/>
                    <a:stretch>
                      <a:fillRect/>
                    </a:stretch>
                  </pic:blipFill>
                  <pic:spPr>
                    <a:xfrm>
                      <a:off x="0" y="0"/>
                      <a:ext cx="1143000" cy="969645"/>
                    </a:xfrm>
                    <a:prstGeom prst="rect">
                      <a:avLst/>
                    </a:prstGeom>
                    <a:noFill/>
                    <a:ln>
                      <a:noFill/>
                    </a:ln>
                  </pic:spPr>
                </pic:pic>
              </a:graphicData>
            </a:graphic>
          </wp:anchor>
        </w:drawing>
      </w:r>
    </w:p>
    <w:p w14:paraId="389658F3">
      <w:pPr>
        <w:pStyle w:val="23"/>
        <w:jc w:val="center"/>
        <w:rPr>
          <w:rFonts w:hint="default" w:ascii="Times New Roman" w:hAnsi="Times New Roman" w:eastAsia="宋体" w:cs="Times New Roman"/>
          <w:color w:val="auto"/>
          <w:highlight w:val="none"/>
        </w:rPr>
      </w:pPr>
    </w:p>
    <w:p w14:paraId="53BE45AF">
      <w:pPr>
        <w:jc w:val="both"/>
        <w:outlineLvl w:val="0"/>
        <w:rPr>
          <w:rFonts w:hint="default" w:ascii="Times New Roman" w:hAnsi="Times New Roman" w:eastAsia="宋体" w:cs="Times New Roman"/>
          <w:b/>
          <w:bCs/>
          <w:color w:val="auto"/>
          <w:highlight w:val="none"/>
        </w:rPr>
      </w:pPr>
      <w:bookmarkStart w:id="33" w:name="_Toc5411"/>
      <w:bookmarkStart w:id="34" w:name="_Toc5594"/>
      <w:r>
        <w:rPr>
          <w:rFonts w:hint="default" w:ascii="Times New Roman" w:hAnsi="Times New Roman" w:eastAsia="宋体" w:cs="Times New Roman"/>
          <w:b/>
          <w:bCs/>
          <w:color w:val="auto"/>
          <w:highlight w:val="none"/>
        </w:rPr>
        <w:t>附图</w:t>
      </w: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rPr>
        <w:t>环境保护目标分布图</w:t>
      </w:r>
      <w:bookmarkEnd w:id="33"/>
      <w:bookmarkEnd w:id="34"/>
    </w:p>
    <w:p w14:paraId="28A49608">
      <w:pPr>
        <w:jc w:val="center"/>
        <w:rPr>
          <w:rFonts w:hint="default" w:ascii="Times New Roman" w:hAnsi="Times New Roman" w:eastAsia="宋体" w:cs="Times New Roman"/>
          <w:color w:val="auto"/>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6802120</wp:posOffset>
                </wp:positionH>
                <wp:positionV relativeFrom="paragraph">
                  <wp:posOffset>3710305</wp:posOffset>
                </wp:positionV>
                <wp:extent cx="1689100" cy="1203325"/>
                <wp:effectExtent l="5080" t="4445" r="20320" b="11430"/>
                <wp:wrapNone/>
                <wp:docPr id="27" name="文本框 27"/>
                <wp:cNvGraphicFramePr/>
                <a:graphic xmlns:a="http://schemas.openxmlformats.org/drawingml/2006/main">
                  <a:graphicData uri="http://schemas.microsoft.com/office/word/2010/wordprocessingShape">
                    <wps:wsp>
                      <wps:cNvSpPr txBox="1"/>
                      <wps:spPr>
                        <a:xfrm>
                          <a:off x="7508240" y="5542280"/>
                          <a:ext cx="1689100" cy="1203325"/>
                        </a:xfrm>
                        <a:prstGeom prst="rect">
                          <a:avLst/>
                        </a:prstGeom>
                        <a:solidFill>
                          <a:srgbClr val="FFFFFF"/>
                        </a:solidFill>
                        <a:ln w="6350">
                          <a:solidFill>
                            <a:prstClr val="black"/>
                          </a:solidFill>
                        </a:ln>
                        <a:effectLst/>
                      </wps:spPr>
                      <wps:txbx>
                        <w:txbxContent>
                          <w:p w14:paraId="6DC60462">
                            <w:pPr>
                              <w:jc w:val="center"/>
                              <w:rPr>
                                <w:rFonts w:hint="eastAsia"/>
                                <w:sz w:val="21"/>
                                <w:szCs w:val="21"/>
                                <w:lang w:val="en-US" w:eastAsia="zh-CN"/>
                              </w:rPr>
                            </w:pPr>
                            <w:r>
                              <w:rPr>
                                <w:rFonts w:hint="eastAsia"/>
                                <w:sz w:val="21"/>
                                <w:szCs w:val="21"/>
                                <w:lang w:val="en-US" w:eastAsia="zh-CN"/>
                              </w:rPr>
                              <w:t>图例</w:t>
                            </w:r>
                          </w:p>
                          <w:p w14:paraId="317B5437">
                            <w:pPr>
                              <w:jc w:val="both"/>
                              <w:rPr>
                                <w:rFonts w:hint="eastAsia"/>
                                <w:sz w:val="21"/>
                                <w:szCs w:val="21"/>
                                <w:lang w:val="en-US" w:eastAsia="zh-CN"/>
                              </w:rPr>
                            </w:pPr>
                            <w:r>
                              <w:rPr>
                                <w:rFonts w:hint="eastAsia"/>
                                <w:color w:val="0000FF"/>
                                <w:sz w:val="21"/>
                                <w:szCs w:val="21"/>
                                <w:lang w:val="en-US" w:eastAsia="zh-CN"/>
                              </w:rPr>
                              <w:t>□</w:t>
                            </w:r>
                            <w:r>
                              <w:rPr>
                                <w:rFonts w:hint="eastAsia"/>
                                <w:sz w:val="21"/>
                                <w:szCs w:val="21"/>
                                <w:lang w:val="en-US" w:eastAsia="zh-CN"/>
                              </w:rPr>
                              <w:t>本项目</w:t>
                            </w:r>
                          </w:p>
                          <w:p w14:paraId="04E200A3">
                            <w:pPr>
                              <w:rPr>
                                <w:rFonts w:hint="default"/>
                                <w:sz w:val="21"/>
                                <w:szCs w:val="21"/>
                                <w:lang w:val="en-US" w:eastAsia="zh-CN"/>
                              </w:rPr>
                            </w:pPr>
                            <w:r>
                              <w:rPr>
                                <w:rFonts w:hint="eastAsia"/>
                                <w:color w:val="92D050"/>
                                <w:sz w:val="21"/>
                                <w:szCs w:val="21"/>
                                <w:lang w:val="en-US" w:eastAsia="zh-CN"/>
                              </w:rPr>
                              <w:t>□</w:t>
                            </w:r>
                            <w:r>
                              <w:rPr>
                                <w:rFonts w:hint="eastAsia"/>
                                <w:sz w:val="21"/>
                                <w:szCs w:val="21"/>
                                <w:lang w:val="en-US" w:eastAsia="zh-CN"/>
                              </w:rPr>
                              <w:t>声环境评价范围</w:t>
                            </w:r>
                          </w:p>
                          <w:p w14:paraId="134866C4">
                            <w:pPr>
                              <w:rPr>
                                <w:rFonts w:hint="eastAsia"/>
                                <w:sz w:val="21"/>
                                <w:szCs w:val="21"/>
                                <w:lang w:val="en-US" w:eastAsia="zh-CN"/>
                              </w:rPr>
                            </w:pPr>
                            <w:r>
                              <w:rPr>
                                <w:rFonts w:hint="eastAsia"/>
                                <w:color w:val="FFFF00"/>
                                <w:sz w:val="21"/>
                                <w:szCs w:val="21"/>
                                <w:lang w:val="en-US" w:eastAsia="zh-CN"/>
                              </w:rPr>
                              <w:t>□</w:t>
                            </w:r>
                            <w:r>
                              <w:rPr>
                                <w:rFonts w:hint="eastAsia"/>
                                <w:sz w:val="21"/>
                                <w:szCs w:val="21"/>
                                <w:lang w:val="en-US" w:eastAsia="zh-CN"/>
                              </w:rPr>
                              <w:t>大气环境评价范围</w:t>
                            </w:r>
                          </w:p>
                          <w:p w14:paraId="58BBCF88">
                            <w:pPr>
                              <w:rPr>
                                <w:rFonts w:hint="default"/>
                                <w:sz w:val="21"/>
                                <w:szCs w:val="21"/>
                                <w:lang w:val="en-US" w:eastAsia="zh-CN"/>
                              </w:rPr>
                            </w:pPr>
                            <w:r>
                              <w:rPr>
                                <w:rFonts w:hint="eastAsia"/>
                                <w:color w:val="FFFF00"/>
                                <w:sz w:val="21"/>
                                <w:szCs w:val="21"/>
                                <w:highlight w:val="yellow"/>
                                <w:lang w:val="en-US" w:eastAsia="zh-CN"/>
                              </w:rPr>
                              <w:t>□</w:t>
                            </w:r>
                            <w:r>
                              <w:rPr>
                                <w:rFonts w:hint="eastAsia"/>
                                <w:sz w:val="21"/>
                                <w:szCs w:val="21"/>
                                <w:lang w:val="en-US" w:eastAsia="zh-CN"/>
                              </w:rPr>
                              <w:t>敏感目标</w:t>
                            </w:r>
                            <w:r>
                              <w:rPr>
                                <w:rFonts w:hint="eastAsia"/>
                                <w:sz w:val="21"/>
                                <w:szCs w:val="21"/>
                                <w:lang w:val="en-US" w:eastAsia="zh-CN"/>
                              </w:rPr>
                              <w:br w:type="textWrapping"/>
                            </w:r>
                            <w:r>
                              <w:rPr>
                                <w:rFonts w:hint="eastAsia" w:eastAsia="宋体"/>
                                <w:color w:val="FF0000"/>
                                <w:sz w:val="21"/>
                                <w:szCs w:val="21"/>
                                <w:lang w:val="en-US" w:eastAsia="zh-CN"/>
                              </w:rPr>
                              <w:t>☆</w:t>
                            </w:r>
                            <w:r>
                              <w:rPr>
                                <w:rFonts w:hint="eastAsia"/>
                                <w:color w:val="000000"/>
                                <w:sz w:val="21"/>
                                <w:szCs w:val="21"/>
                                <w:lang w:val="en-US" w:eastAsia="zh-CN"/>
                              </w:rPr>
                              <w:t>八五零农场地下水水源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6pt;margin-top:292.15pt;height:94.75pt;width:133pt;z-index:251667456;mso-width-relative:page;mso-height-relative:page;" fillcolor="#FFFFFF" filled="t" stroked="t" coordsize="21600,21600" o:gfxdata="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FAiZt2AAAAA0BAAAPAAAAAAAAAAEAIAAAACIAAABkcnMvZG93bnJldi54&#10;bWxQSwECFAAUAAAACACHTuJAr8USnWwCAADUBAAADgAAAAAAAAABACAAAAAnAQAAZHJzL2Uyb0Rv&#10;Yy54bWxQSwUGAAAAAAYABgBZAQAABQYAAAAA&#10;">
                <v:fill on="t" focussize="0,0"/>
                <v:stroke weight="0.5pt" color="#000000" joinstyle="round"/>
                <v:imagedata o:title=""/>
                <o:lock v:ext="edit" aspectratio="f"/>
                <v:textbox>
                  <w:txbxContent>
                    <w:p w14:paraId="6DC60462">
                      <w:pPr>
                        <w:jc w:val="center"/>
                        <w:rPr>
                          <w:rFonts w:hint="eastAsia"/>
                          <w:sz w:val="21"/>
                          <w:szCs w:val="21"/>
                          <w:lang w:val="en-US" w:eastAsia="zh-CN"/>
                        </w:rPr>
                      </w:pPr>
                      <w:r>
                        <w:rPr>
                          <w:rFonts w:hint="eastAsia"/>
                          <w:sz w:val="21"/>
                          <w:szCs w:val="21"/>
                          <w:lang w:val="en-US" w:eastAsia="zh-CN"/>
                        </w:rPr>
                        <w:t>图例</w:t>
                      </w:r>
                    </w:p>
                    <w:p w14:paraId="317B5437">
                      <w:pPr>
                        <w:jc w:val="both"/>
                        <w:rPr>
                          <w:rFonts w:hint="eastAsia"/>
                          <w:sz w:val="21"/>
                          <w:szCs w:val="21"/>
                          <w:lang w:val="en-US" w:eastAsia="zh-CN"/>
                        </w:rPr>
                      </w:pPr>
                      <w:r>
                        <w:rPr>
                          <w:rFonts w:hint="eastAsia"/>
                          <w:color w:val="0000FF"/>
                          <w:sz w:val="21"/>
                          <w:szCs w:val="21"/>
                          <w:lang w:val="en-US" w:eastAsia="zh-CN"/>
                        </w:rPr>
                        <w:t>□</w:t>
                      </w:r>
                      <w:r>
                        <w:rPr>
                          <w:rFonts w:hint="eastAsia"/>
                          <w:sz w:val="21"/>
                          <w:szCs w:val="21"/>
                          <w:lang w:val="en-US" w:eastAsia="zh-CN"/>
                        </w:rPr>
                        <w:t>本项目</w:t>
                      </w:r>
                    </w:p>
                    <w:p w14:paraId="04E200A3">
                      <w:pPr>
                        <w:rPr>
                          <w:rFonts w:hint="default"/>
                          <w:sz w:val="21"/>
                          <w:szCs w:val="21"/>
                          <w:lang w:val="en-US" w:eastAsia="zh-CN"/>
                        </w:rPr>
                      </w:pPr>
                      <w:r>
                        <w:rPr>
                          <w:rFonts w:hint="eastAsia"/>
                          <w:color w:val="92D050"/>
                          <w:sz w:val="21"/>
                          <w:szCs w:val="21"/>
                          <w:lang w:val="en-US" w:eastAsia="zh-CN"/>
                        </w:rPr>
                        <w:t>□</w:t>
                      </w:r>
                      <w:r>
                        <w:rPr>
                          <w:rFonts w:hint="eastAsia"/>
                          <w:sz w:val="21"/>
                          <w:szCs w:val="21"/>
                          <w:lang w:val="en-US" w:eastAsia="zh-CN"/>
                        </w:rPr>
                        <w:t>声环境评价范围</w:t>
                      </w:r>
                    </w:p>
                    <w:p w14:paraId="134866C4">
                      <w:pPr>
                        <w:rPr>
                          <w:rFonts w:hint="eastAsia"/>
                          <w:sz w:val="21"/>
                          <w:szCs w:val="21"/>
                          <w:lang w:val="en-US" w:eastAsia="zh-CN"/>
                        </w:rPr>
                      </w:pPr>
                      <w:r>
                        <w:rPr>
                          <w:rFonts w:hint="eastAsia"/>
                          <w:color w:val="FFFF00"/>
                          <w:sz w:val="21"/>
                          <w:szCs w:val="21"/>
                          <w:lang w:val="en-US" w:eastAsia="zh-CN"/>
                        </w:rPr>
                        <w:t>□</w:t>
                      </w:r>
                      <w:r>
                        <w:rPr>
                          <w:rFonts w:hint="eastAsia"/>
                          <w:sz w:val="21"/>
                          <w:szCs w:val="21"/>
                          <w:lang w:val="en-US" w:eastAsia="zh-CN"/>
                        </w:rPr>
                        <w:t>大气环境评价范围</w:t>
                      </w:r>
                    </w:p>
                    <w:p w14:paraId="58BBCF88">
                      <w:pPr>
                        <w:rPr>
                          <w:rFonts w:hint="default"/>
                          <w:sz w:val="21"/>
                          <w:szCs w:val="21"/>
                          <w:lang w:val="en-US" w:eastAsia="zh-CN"/>
                        </w:rPr>
                      </w:pPr>
                      <w:r>
                        <w:rPr>
                          <w:rFonts w:hint="eastAsia"/>
                          <w:color w:val="FFFF00"/>
                          <w:sz w:val="21"/>
                          <w:szCs w:val="21"/>
                          <w:highlight w:val="yellow"/>
                          <w:lang w:val="en-US" w:eastAsia="zh-CN"/>
                        </w:rPr>
                        <w:t>□</w:t>
                      </w:r>
                      <w:r>
                        <w:rPr>
                          <w:rFonts w:hint="eastAsia"/>
                          <w:sz w:val="21"/>
                          <w:szCs w:val="21"/>
                          <w:lang w:val="en-US" w:eastAsia="zh-CN"/>
                        </w:rPr>
                        <w:t>敏感目标</w:t>
                      </w:r>
                      <w:r>
                        <w:rPr>
                          <w:rFonts w:hint="eastAsia"/>
                          <w:sz w:val="21"/>
                          <w:szCs w:val="21"/>
                          <w:lang w:val="en-US" w:eastAsia="zh-CN"/>
                        </w:rPr>
                        <w:br w:type="textWrapping"/>
                      </w:r>
                      <w:r>
                        <w:rPr>
                          <w:rFonts w:hint="eastAsia" w:eastAsia="宋体"/>
                          <w:color w:val="FF0000"/>
                          <w:sz w:val="21"/>
                          <w:szCs w:val="21"/>
                          <w:lang w:val="en-US" w:eastAsia="zh-CN"/>
                        </w:rPr>
                        <w:t>☆</w:t>
                      </w:r>
                      <w:r>
                        <w:rPr>
                          <w:rFonts w:hint="eastAsia"/>
                          <w:color w:val="000000"/>
                          <w:sz w:val="21"/>
                          <w:szCs w:val="21"/>
                          <w:lang w:val="en-US" w:eastAsia="zh-CN"/>
                        </w:rPr>
                        <w:t>八五零农场地下水水源</w:t>
                      </w:r>
                    </w:p>
                  </w:txbxContent>
                </v:textbox>
              </v:shape>
            </w:pict>
          </mc:Fallback>
        </mc:AlternateContent>
      </w:r>
      <w:r>
        <w:rPr>
          <w:color w:val="auto"/>
          <w:highlight w:val="none"/>
        </w:rPr>
        <w:drawing>
          <wp:inline distT="0" distB="0" distL="114300" distR="114300">
            <wp:extent cx="8241665" cy="4918075"/>
            <wp:effectExtent l="0" t="0" r="6985" b="1587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44"/>
                    <a:stretch>
                      <a:fillRect/>
                    </a:stretch>
                  </pic:blipFill>
                  <pic:spPr>
                    <a:xfrm>
                      <a:off x="0" y="0"/>
                      <a:ext cx="8241665" cy="4918075"/>
                    </a:xfrm>
                    <a:prstGeom prst="rect">
                      <a:avLst/>
                    </a:prstGeom>
                    <a:noFill/>
                    <a:ln>
                      <a:noFill/>
                    </a:ln>
                  </pic:spPr>
                </pic:pic>
              </a:graphicData>
            </a:graphic>
          </wp:inline>
        </w:drawing>
      </w:r>
    </w:p>
    <w:p w14:paraId="4B1FAC84">
      <w:pPr>
        <w:pStyle w:val="31"/>
        <w:jc w:val="left"/>
        <w:outlineLvl w:val="0"/>
        <w:rPr>
          <w:rFonts w:hint="default" w:ascii="Times New Roman" w:hAnsi="Times New Roman" w:eastAsia="宋体" w:cs="Times New Roman"/>
          <w:b/>
          <w:color w:val="auto"/>
          <w:highlight w:val="none"/>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bookmarkStart w:id="35" w:name="_Toc28538"/>
      <w:r>
        <w:rPr>
          <w:rFonts w:hint="default" w:ascii="Times New Roman" w:hAnsi="Times New Roman" w:cs="Times New Roman"/>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7684135</wp:posOffset>
                </wp:positionH>
                <wp:positionV relativeFrom="paragraph">
                  <wp:posOffset>5345430</wp:posOffset>
                </wp:positionV>
                <wp:extent cx="1689100" cy="978535"/>
                <wp:effectExtent l="4445" t="4445" r="20955" b="7620"/>
                <wp:wrapNone/>
                <wp:docPr id="28" name="文本框 28"/>
                <wp:cNvGraphicFramePr/>
                <a:graphic xmlns:a="http://schemas.openxmlformats.org/drawingml/2006/main">
                  <a:graphicData uri="http://schemas.microsoft.com/office/word/2010/wordprocessingShape">
                    <wps:wsp>
                      <wps:cNvSpPr txBox="1"/>
                      <wps:spPr>
                        <a:xfrm>
                          <a:off x="7508240" y="5542280"/>
                          <a:ext cx="1689100" cy="978535"/>
                        </a:xfrm>
                        <a:prstGeom prst="rect">
                          <a:avLst/>
                        </a:prstGeom>
                        <a:solidFill>
                          <a:srgbClr val="FFFFFF"/>
                        </a:solidFill>
                        <a:ln w="6350">
                          <a:solidFill>
                            <a:prstClr val="black"/>
                          </a:solidFill>
                        </a:ln>
                        <a:effectLst/>
                      </wps:spPr>
                      <wps:txbx>
                        <w:txbxContent>
                          <w:p w14:paraId="52548500">
                            <w:pPr>
                              <w:jc w:val="center"/>
                              <w:rPr>
                                <w:rFonts w:hint="eastAsia"/>
                                <w:sz w:val="21"/>
                                <w:szCs w:val="21"/>
                                <w:lang w:val="en-US" w:eastAsia="zh-CN"/>
                              </w:rPr>
                            </w:pPr>
                            <w:r>
                              <w:rPr>
                                <w:rFonts w:hint="eastAsia"/>
                                <w:sz w:val="21"/>
                                <w:szCs w:val="21"/>
                                <w:lang w:val="en-US" w:eastAsia="zh-CN"/>
                              </w:rPr>
                              <w:t>图例</w:t>
                            </w:r>
                          </w:p>
                          <w:p w14:paraId="7D336364">
                            <w:pPr>
                              <w:jc w:val="both"/>
                              <w:rPr>
                                <w:rFonts w:hint="eastAsia"/>
                                <w:sz w:val="21"/>
                                <w:szCs w:val="21"/>
                                <w:lang w:val="en-US" w:eastAsia="zh-CN"/>
                              </w:rPr>
                            </w:pPr>
                            <w:r>
                              <w:rPr>
                                <w:rFonts w:hint="eastAsia"/>
                                <w:color w:val="FF0000"/>
                                <w:sz w:val="21"/>
                                <w:szCs w:val="21"/>
                                <w:lang w:val="en-US" w:eastAsia="zh-CN"/>
                              </w:rPr>
                              <w:t>□</w:t>
                            </w:r>
                            <w:r>
                              <w:rPr>
                                <w:rFonts w:hint="eastAsia"/>
                                <w:sz w:val="21"/>
                                <w:szCs w:val="21"/>
                                <w:lang w:val="en-US" w:eastAsia="zh-CN"/>
                              </w:rPr>
                              <w:t>本项目</w:t>
                            </w:r>
                          </w:p>
                          <w:p w14:paraId="50656E25">
                            <w:pPr>
                              <w:rPr>
                                <w:rFonts w:hint="default"/>
                                <w:sz w:val="21"/>
                                <w:szCs w:val="21"/>
                                <w:lang w:val="en-US" w:eastAsia="zh-CN"/>
                              </w:rPr>
                            </w:pPr>
                            <w:r>
                              <w:rPr>
                                <w:rFonts w:hint="eastAsia"/>
                                <w:color w:val="92D050"/>
                                <w:sz w:val="21"/>
                                <w:szCs w:val="21"/>
                                <w:lang w:val="en-US" w:eastAsia="zh-CN"/>
                              </w:rPr>
                              <w:t>□</w:t>
                            </w:r>
                            <w:r>
                              <w:rPr>
                                <w:rFonts w:hint="eastAsia"/>
                                <w:sz w:val="21"/>
                                <w:szCs w:val="21"/>
                                <w:lang w:val="en-US" w:eastAsia="zh-CN"/>
                              </w:rPr>
                              <w:t>声环境评价范围</w:t>
                            </w:r>
                          </w:p>
                          <w:p w14:paraId="14427D16">
                            <w:pPr>
                              <w:rPr>
                                <w:rFonts w:hint="eastAsia"/>
                                <w:sz w:val="21"/>
                                <w:szCs w:val="21"/>
                                <w:lang w:val="en-US" w:eastAsia="zh-CN"/>
                              </w:rPr>
                            </w:pPr>
                            <w:r>
                              <w:rPr>
                                <w:rFonts w:hint="eastAsia"/>
                                <w:color w:val="FFFF00"/>
                                <w:sz w:val="21"/>
                                <w:szCs w:val="21"/>
                                <w:lang w:val="en-US" w:eastAsia="zh-CN"/>
                              </w:rPr>
                              <w:t>□</w:t>
                            </w:r>
                            <w:r>
                              <w:rPr>
                                <w:rFonts w:hint="eastAsia"/>
                                <w:sz w:val="21"/>
                                <w:szCs w:val="21"/>
                                <w:lang w:val="en-US" w:eastAsia="zh-CN"/>
                              </w:rPr>
                              <w:t>大气环境评价范围</w:t>
                            </w:r>
                          </w:p>
                          <w:p w14:paraId="0A296352">
                            <w:pPr>
                              <w:rPr>
                                <w:rFonts w:hint="default"/>
                                <w:sz w:val="21"/>
                                <w:szCs w:val="21"/>
                                <w:lang w:val="en-US" w:eastAsia="zh-CN"/>
                              </w:rPr>
                            </w:pPr>
                            <w:r>
                              <w:rPr>
                                <w:rFonts w:hint="eastAsia"/>
                                <w:color w:val="FFFF00"/>
                                <w:sz w:val="21"/>
                                <w:szCs w:val="21"/>
                                <w:highlight w:val="yellow"/>
                                <w:lang w:val="en-US" w:eastAsia="zh-CN"/>
                              </w:rPr>
                              <w:t>□</w:t>
                            </w:r>
                            <w:r>
                              <w:rPr>
                                <w:rFonts w:hint="eastAsia"/>
                                <w:sz w:val="21"/>
                                <w:szCs w:val="21"/>
                                <w:lang w:val="en-US" w:eastAsia="zh-CN"/>
                              </w:rPr>
                              <w:t>敏感目标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5.05pt;margin-top:420.9pt;height:77.05pt;width:133pt;z-index:251668480;mso-width-relative:page;mso-height-relative:page;" fillcolor="#FFFFFF" filled="t" stroked="t" coordsize="21600,21600" o:gfxdata="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i1Bhy2QAAAA0BAAAPAAAAAAAAAAEAIAAAACIAAABkcnMvZG93bnJldi54&#10;bWxQSwECFAAUAAAACACHTuJA6DRVv2sCAADTBAAADgAAAAAAAAABACAAAAAoAQAAZHJzL2Uyb0Rv&#10;Yy54bWxQSwUGAAAAAAYABgBZAQAABQYAAAAA&#10;">
                <v:fill on="t" focussize="0,0"/>
                <v:stroke weight="0.5pt" color="#000000" joinstyle="round"/>
                <v:imagedata o:title=""/>
                <o:lock v:ext="edit" aspectratio="f"/>
                <v:textbox>
                  <w:txbxContent>
                    <w:p w14:paraId="52548500">
                      <w:pPr>
                        <w:jc w:val="center"/>
                        <w:rPr>
                          <w:rFonts w:hint="eastAsia"/>
                          <w:sz w:val="21"/>
                          <w:szCs w:val="21"/>
                          <w:lang w:val="en-US" w:eastAsia="zh-CN"/>
                        </w:rPr>
                      </w:pPr>
                      <w:r>
                        <w:rPr>
                          <w:rFonts w:hint="eastAsia"/>
                          <w:sz w:val="21"/>
                          <w:szCs w:val="21"/>
                          <w:lang w:val="en-US" w:eastAsia="zh-CN"/>
                        </w:rPr>
                        <w:t>图例</w:t>
                      </w:r>
                    </w:p>
                    <w:p w14:paraId="7D336364">
                      <w:pPr>
                        <w:jc w:val="both"/>
                        <w:rPr>
                          <w:rFonts w:hint="eastAsia"/>
                          <w:sz w:val="21"/>
                          <w:szCs w:val="21"/>
                          <w:lang w:val="en-US" w:eastAsia="zh-CN"/>
                        </w:rPr>
                      </w:pPr>
                      <w:r>
                        <w:rPr>
                          <w:rFonts w:hint="eastAsia"/>
                          <w:color w:val="FF0000"/>
                          <w:sz w:val="21"/>
                          <w:szCs w:val="21"/>
                          <w:lang w:val="en-US" w:eastAsia="zh-CN"/>
                        </w:rPr>
                        <w:t>□</w:t>
                      </w:r>
                      <w:r>
                        <w:rPr>
                          <w:rFonts w:hint="eastAsia"/>
                          <w:sz w:val="21"/>
                          <w:szCs w:val="21"/>
                          <w:lang w:val="en-US" w:eastAsia="zh-CN"/>
                        </w:rPr>
                        <w:t>本项目</w:t>
                      </w:r>
                    </w:p>
                    <w:p w14:paraId="50656E25">
                      <w:pPr>
                        <w:rPr>
                          <w:rFonts w:hint="default"/>
                          <w:sz w:val="21"/>
                          <w:szCs w:val="21"/>
                          <w:lang w:val="en-US" w:eastAsia="zh-CN"/>
                        </w:rPr>
                      </w:pPr>
                      <w:r>
                        <w:rPr>
                          <w:rFonts w:hint="eastAsia"/>
                          <w:color w:val="92D050"/>
                          <w:sz w:val="21"/>
                          <w:szCs w:val="21"/>
                          <w:lang w:val="en-US" w:eastAsia="zh-CN"/>
                        </w:rPr>
                        <w:t>□</w:t>
                      </w:r>
                      <w:r>
                        <w:rPr>
                          <w:rFonts w:hint="eastAsia"/>
                          <w:sz w:val="21"/>
                          <w:szCs w:val="21"/>
                          <w:lang w:val="en-US" w:eastAsia="zh-CN"/>
                        </w:rPr>
                        <w:t>声环境评价范围</w:t>
                      </w:r>
                    </w:p>
                    <w:p w14:paraId="14427D16">
                      <w:pPr>
                        <w:rPr>
                          <w:rFonts w:hint="eastAsia"/>
                          <w:sz w:val="21"/>
                          <w:szCs w:val="21"/>
                          <w:lang w:val="en-US" w:eastAsia="zh-CN"/>
                        </w:rPr>
                      </w:pPr>
                      <w:r>
                        <w:rPr>
                          <w:rFonts w:hint="eastAsia"/>
                          <w:color w:val="FFFF00"/>
                          <w:sz w:val="21"/>
                          <w:szCs w:val="21"/>
                          <w:lang w:val="en-US" w:eastAsia="zh-CN"/>
                        </w:rPr>
                        <w:t>□</w:t>
                      </w:r>
                      <w:r>
                        <w:rPr>
                          <w:rFonts w:hint="eastAsia"/>
                          <w:sz w:val="21"/>
                          <w:szCs w:val="21"/>
                          <w:lang w:val="en-US" w:eastAsia="zh-CN"/>
                        </w:rPr>
                        <w:t>大气环境评价范围</w:t>
                      </w:r>
                    </w:p>
                    <w:p w14:paraId="0A296352">
                      <w:pPr>
                        <w:rPr>
                          <w:rFonts w:hint="default"/>
                          <w:sz w:val="21"/>
                          <w:szCs w:val="21"/>
                          <w:lang w:val="en-US" w:eastAsia="zh-CN"/>
                        </w:rPr>
                      </w:pPr>
                      <w:r>
                        <w:rPr>
                          <w:rFonts w:hint="eastAsia"/>
                          <w:color w:val="FFFF00"/>
                          <w:sz w:val="21"/>
                          <w:szCs w:val="21"/>
                          <w:highlight w:val="yellow"/>
                          <w:lang w:val="en-US" w:eastAsia="zh-CN"/>
                        </w:rPr>
                        <w:t>□</w:t>
                      </w:r>
                      <w:r>
                        <w:rPr>
                          <w:rFonts w:hint="eastAsia"/>
                          <w:sz w:val="21"/>
                          <w:szCs w:val="21"/>
                          <w:lang w:val="en-US" w:eastAsia="zh-CN"/>
                        </w:rPr>
                        <w:t>敏感目标</w:t>
                      </w:r>
                    </w:p>
                  </w:txbxContent>
                </v:textbox>
              </v:shape>
            </w:pict>
          </mc:Fallback>
        </mc:AlternateContent>
      </w:r>
    </w:p>
    <w:p w14:paraId="58A2D53E">
      <w:pPr>
        <w:pStyle w:val="31"/>
        <w:jc w:val="left"/>
        <w:outlineLvl w:val="0"/>
        <w:rPr>
          <w:rFonts w:hint="default" w:ascii="Times New Roman" w:hAnsi="Times New Roman" w:eastAsia="宋体" w:cs="Times New Roman"/>
          <w:color w:val="auto"/>
          <w:highlight w:val="none"/>
        </w:rPr>
      </w:pPr>
      <w:bookmarkStart w:id="36" w:name="_Toc19429"/>
      <w:r>
        <w:rPr>
          <w:rFonts w:hint="default" w:ascii="Times New Roman" w:hAnsi="Times New Roman" w:eastAsia="宋体" w:cs="Times New Roman"/>
          <w:b/>
          <w:color w:val="auto"/>
          <w:highlight w:val="none"/>
        </w:rPr>
        <w:t>附图</w:t>
      </w:r>
      <w:r>
        <w:rPr>
          <w:rFonts w:hint="default" w:ascii="Times New Roman" w:hAnsi="Times New Roman" w:eastAsia="宋体" w:cs="Times New Roman"/>
          <w:b/>
          <w:color w:val="auto"/>
          <w:highlight w:val="none"/>
          <w:lang w:val="en-US" w:eastAsia="zh-CN"/>
        </w:rPr>
        <w:t>4</w:t>
      </w:r>
      <w:r>
        <w:rPr>
          <w:rFonts w:hint="default" w:ascii="Times New Roman" w:hAnsi="Times New Roman" w:eastAsia="宋体" w:cs="Times New Roman"/>
          <w:b/>
          <w:color w:val="auto"/>
          <w:highlight w:val="none"/>
        </w:rPr>
        <w:t>厂区</w:t>
      </w:r>
      <w:r>
        <w:rPr>
          <w:rFonts w:hint="default" w:ascii="Times New Roman" w:hAnsi="Times New Roman" w:eastAsia="宋体" w:cs="Times New Roman"/>
          <w:b/>
          <w:color w:val="auto"/>
          <w:highlight w:val="none"/>
          <w:lang w:val="en-US" w:eastAsia="zh-CN"/>
        </w:rPr>
        <w:t>四周</w:t>
      </w:r>
      <w:r>
        <w:rPr>
          <w:rFonts w:hint="default" w:ascii="Times New Roman" w:hAnsi="Times New Roman" w:eastAsia="宋体" w:cs="Times New Roman"/>
          <w:b/>
          <w:color w:val="auto"/>
          <w:highlight w:val="none"/>
        </w:rPr>
        <w:t>环境现状</w:t>
      </w:r>
      <w:bookmarkEnd w:id="35"/>
      <w:bookmarkEnd w:id="36"/>
    </w:p>
    <w:tbl>
      <w:tblPr>
        <w:tblStyle w:val="34"/>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467"/>
      </w:tblGrid>
      <w:tr w14:paraId="0205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492" w:type="dxa"/>
          </w:tcPr>
          <w:p w14:paraId="019D7BD1">
            <w:pPr>
              <w:pStyle w:val="52"/>
              <w:keepNext w:val="0"/>
              <w:keepLines w:val="0"/>
              <w:suppressLineNumbers w:val="0"/>
              <w:spacing w:before="0" w:beforeAutospacing="0" w:after="0" w:afterAutospacing="0"/>
              <w:ind w:left="0" w:right="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005965" cy="2674620"/>
                  <wp:effectExtent l="0" t="0" r="11430" b="13335"/>
                  <wp:docPr id="67" name="图片 67" descr="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东"/>
                          <pic:cNvPicPr>
                            <a:picLocks noChangeAspect="1"/>
                          </pic:cNvPicPr>
                        </pic:nvPicPr>
                        <pic:blipFill>
                          <a:blip r:embed="rId45"/>
                          <a:stretch>
                            <a:fillRect/>
                          </a:stretch>
                        </pic:blipFill>
                        <pic:spPr>
                          <a:xfrm rot="16200000">
                            <a:off x="0" y="0"/>
                            <a:ext cx="2005965" cy="2674620"/>
                          </a:xfrm>
                          <a:prstGeom prst="rect">
                            <a:avLst/>
                          </a:prstGeom>
                        </pic:spPr>
                      </pic:pic>
                    </a:graphicData>
                  </a:graphic>
                </wp:inline>
              </w:drawing>
            </w:r>
          </w:p>
        </w:tc>
        <w:tc>
          <w:tcPr>
            <w:tcW w:w="4467" w:type="dxa"/>
          </w:tcPr>
          <w:p w14:paraId="16398D92">
            <w:pPr>
              <w:pStyle w:val="52"/>
              <w:keepNext w:val="0"/>
              <w:keepLines w:val="0"/>
              <w:suppressLineNumbers w:val="0"/>
              <w:spacing w:before="0" w:beforeAutospacing="0" w:after="0" w:afterAutospacing="0"/>
              <w:ind w:left="0" w:right="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005965" cy="2674620"/>
                  <wp:effectExtent l="0" t="0" r="11430" b="13335"/>
                  <wp:docPr id="68" name="图片 68" descr="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南"/>
                          <pic:cNvPicPr>
                            <a:picLocks noChangeAspect="1"/>
                          </pic:cNvPicPr>
                        </pic:nvPicPr>
                        <pic:blipFill>
                          <a:blip r:embed="rId46"/>
                          <a:stretch>
                            <a:fillRect/>
                          </a:stretch>
                        </pic:blipFill>
                        <pic:spPr>
                          <a:xfrm rot="16200000">
                            <a:off x="0" y="0"/>
                            <a:ext cx="2005965" cy="2674620"/>
                          </a:xfrm>
                          <a:prstGeom prst="rect">
                            <a:avLst/>
                          </a:prstGeom>
                        </pic:spPr>
                      </pic:pic>
                    </a:graphicData>
                  </a:graphic>
                </wp:inline>
              </w:drawing>
            </w:r>
          </w:p>
        </w:tc>
      </w:tr>
      <w:tr w14:paraId="27AB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492" w:type="dxa"/>
          </w:tcPr>
          <w:p w14:paraId="1FEAD7AE">
            <w:pPr>
              <w:pStyle w:val="5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东侧</w:t>
            </w:r>
          </w:p>
        </w:tc>
        <w:tc>
          <w:tcPr>
            <w:tcW w:w="4467" w:type="dxa"/>
          </w:tcPr>
          <w:p w14:paraId="1798C058">
            <w:pPr>
              <w:pStyle w:val="5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南侧</w:t>
            </w:r>
          </w:p>
        </w:tc>
      </w:tr>
      <w:tr w14:paraId="4075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492" w:type="dxa"/>
          </w:tcPr>
          <w:p w14:paraId="460DC51E">
            <w:pPr>
              <w:pStyle w:val="52"/>
              <w:keepNext w:val="0"/>
              <w:keepLines w:val="0"/>
              <w:suppressLineNumbers w:val="0"/>
              <w:spacing w:before="0" w:beforeAutospacing="0" w:after="0" w:afterAutospacing="0"/>
              <w:ind w:left="0" w:right="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698750" cy="2023745"/>
                  <wp:effectExtent l="0" t="0" r="6350" b="14605"/>
                  <wp:docPr id="69" name="图片 69" descr="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西"/>
                          <pic:cNvPicPr>
                            <a:picLocks noChangeAspect="1"/>
                          </pic:cNvPicPr>
                        </pic:nvPicPr>
                        <pic:blipFill>
                          <a:blip r:embed="rId47"/>
                          <a:stretch>
                            <a:fillRect/>
                          </a:stretch>
                        </pic:blipFill>
                        <pic:spPr>
                          <a:xfrm>
                            <a:off x="0" y="0"/>
                            <a:ext cx="2698750" cy="2023745"/>
                          </a:xfrm>
                          <a:prstGeom prst="rect">
                            <a:avLst/>
                          </a:prstGeom>
                        </pic:spPr>
                      </pic:pic>
                    </a:graphicData>
                  </a:graphic>
                </wp:inline>
              </w:drawing>
            </w:r>
          </w:p>
        </w:tc>
        <w:tc>
          <w:tcPr>
            <w:tcW w:w="4467" w:type="dxa"/>
          </w:tcPr>
          <w:p w14:paraId="6684DEC6">
            <w:pPr>
              <w:pStyle w:val="52"/>
              <w:keepNext w:val="0"/>
              <w:keepLines w:val="0"/>
              <w:suppressLineNumbers w:val="0"/>
              <w:spacing w:before="0" w:beforeAutospacing="0" w:after="0" w:afterAutospacing="0"/>
              <w:ind w:left="0" w:right="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005965" cy="2674620"/>
                  <wp:effectExtent l="0" t="0" r="11430" b="13335"/>
                  <wp:docPr id="70" name="图片 70" descr="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北"/>
                          <pic:cNvPicPr>
                            <a:picLocks noChangeAspect="1"/>
                          </pic:cNvPicPr>
                        </pic:nvPicPr>
                        <pic:blipFill>
                          <a:blip r:embed="rId48"/>
                          <a:stretch>
                            <a:fillRect/>
                          </a:stretch>
                        </pic:blipFill>
                        <pic:spPr>
                          <a:xfrm rot="16200000">
                            <a:off x="0" y="0"/>
                            <a:ext cx="2005965" cy="2674620"/>
                          </a:xfrm>
                          <a:prstGeom prst="rect">
                            <a:avLst/>
                          </a:prstGeom>
                        </pic:spPr>
                      </pic:pic>
                    </a:graphicData>
                  </a:graphic>
                </wp:inline>
              </w:drawing>
            </w:r>
          </w:p>
        </w:tc>
      </w:tr>
      <w:tr w14:paraId="4066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4492" w:type="dxa"/>
          </w:tcPr>
          <w:p w14:paraId="79A1E889">
            <w:pPr>
              <w:pStyle w:val="5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西侧</w:t>
            </w:r>
          </w:p>
        </w:tc>
        <w:tc>
          <w:tcPr>
            <w:tcW w:w="4467" w:type="dxa"/>
          </w:tcPr>
          <w:p w14:paraId="730452AD">
            <w:pPr>
              <w:pStyle w:val="5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北侧</w:t>
            </w:r>
          </w:p>
        </w:tc>
      </w:tr>
    </w:tbl>
    <w:p w14:paraId="0A9714BE">
      <w:pPr>
        <w:jc w:val="both"/>
        <w:rPr>
          <w:rFonts w:hint="default" w:ascii="Times New Roman" w:hAnsi="Times New Roman" w:eastAsia="宋体" w:cs="Times New Roman"/>
          <w:color w:val="auto"/>
          <w:highlight w:val="none"/>
          <w:lang w:val="en-US" w:eastAsia="zh-CN"/>
        </w:rPr>
      </w:pPr>
    </w:p>
    <w:p w14:paraId="1C287CB5">
      <w:pPr>
        <w:keepNext w:val="0"/>
        <w:keepLines w:val="0"/>
        <w:pageBreakBefore/>
        <w:widowControl w:val="0"/>
        <w:kinsoku/>
        <w:wordWrap/>
        <w:overflowPunct/>
        <w:topLinePunct w:val="0"/>
        <w:autoSpaceDE/>
        <w:autoSpaceDN/>
        <w:bidi w:val="0"/>
        <w:adjustRightInd/>
        <w:snapToGrid/>
        <w:spacing w:line="360" w:lineRule="auto"/>
        <w:jc w:val="left"/>
        <w:textAlignment w:val="auto"/>
        <w:outlineLvl w:val="0"/>
        <w:rPr>
          <w:rFonts w:hint="default" w:ascii="Times New Roman" w:hAnsi="Times New Roman" w:eastAsia="宋体" w:cs="Times New Roman"/>
          <w:b/>
          <w:bCs/>
          <w:color w:val="auto"/>
          <w:kern w:val="0"/>
          <w:szCs w:val="21"/>
          <w:highlight w:val="none"/>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601AFA62">
      <w:pPr>
        <w:keepNext w:val="0"/>
        <w:keepLines w:val="0"/>
        <w:pageBreakBefore/>
        <w:widowControl w:val="0"/>
        <w:kinsoku/>
        <w:wordWrap/>
        <w:overflowPunct/>
        <w:topLinePunct w:val="0"/>
        <w:autoSpaceDE/>
        <w:autoSpaceDN/>
        <w:bidi w:val="0"/>
        <w:adjustRightInd/>
        <w:snapToGrid/>
        <w:spacing w:line="360" w:lineRule="auto"/>
        <w:jc w:val="left"/>
        <w:textAlignment w:val="auto"/>
        <w:outlineLvl w:val="0"/>
        <w:rPr>
          <w:rFonts w:hint="eastAsia" w:ascii="Times New Roman" w:hAnsi="Times New Roman" w:eastAsia="宋体" w:cs="Times New Roman"/>
          <w:b/>
          <w:bCs/>
          <w:color w:val="auto"/>
          <w:kern w:val="0"/>
          <w:szCs w:val="21"/>
          <w:highlight w:val="none"/>
          <w:lang w:eastAsia="zh-CN"/>
        </w:rPr>
      </w:pPr>
      <w:bookmarkStart w:id="37" w:name="_Toc2122"/>
      <w:r>
        <w:rPr>
          <w:rFonts w:hint="default" w:ascii="Times New Roman" w:hAnsi="Times New Roman" w:eastAsia="宋体" w:cs="Times New Roman"/>
          <w:b/>
          <w:bCs/>
          <w:color w:val="auto"/>
          <w:kern w:val="0"/>
          <w:szCs w:val="21"/>
          <w:highlight w:val="none"/>
        </w:rPr>
        <w:t>附件1营业执照</w:t>
      </w:r>
      <w:bookmarkEnd w:id="29"/>
      <w:r>
        <w:rPr>
          <w:rFonts w:hint="eastAsia" w:ascii="Times New Roman" w:hAnsi="Times New Roman" w:eastAsia="宋体" w:cs="Times New Roman"/>
          <w:b/>
          <w:bCs/>
          <w:color w:val="auto"/>
          <w:kern w:val="0"/>
          <w:szCs w:val="21"/>
          <w:highlight w:val="none"/>
          <w:lang w:eastAsia="zh-CN"/>
        </w:rPr>
        <w:drawing>
          <wp:inline distT="0" distB="0" distL="114300" distR="114300">
            <wp:extent cx="4834890" cy="7946390"/>
            <wp:effectExtent l="0" t="0" r="3810" b="16510"/>
            <wp:docPr id="11" name="图片 11" descr="b617c8e3d94258369c57da241497e7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617c8e3d94258369c57da241497e73d"/>
                    <pic:cNvPicPr>
                      <a:picLocks noChangeAspect="1"/>
                    </pic:cNvPicPr>
                  </pic:nvPicPr>
                  <pic:blipFill>
                    <a:blip r:embed="rId49"/>
                    <a:srcRect l="1149" t="2404" r="529" b="6690"/>
                    <a:stretch>
                      <a:fillRect/>
                    </a:stretch>
                  </pic:blipFill>
                  <pic:spPr>
                    <a:xfrm rot="10800000">
                      <a:off x="0" y="0"/>
                      <a:ext cx="4834890" cy="7946390"/>
                    </a:xfrm>
                    <a:prstGeom prst="rect">
                      <a:avLst/>
                    </a:prstGeom>
                  </pic:spPr>
                </pic:pic>
              </a:graphicData>
            </a:graphic>
          </wp:inline>
        </w:drawing>
      </w:r>
      <w:bookmarkEnd w:id="37"/>
    </w:p>
    <w:p w14:paraId="410B6C28">
      <w:pPr>
        <w:bidi w:val="0"/>
        <w:jc w:val="center"/>
        <w:rPr>
          <w:rFonts w:hint="default" w:ascii="Times New Roman" w:hAnsi="Times New Roman" w:eastAsia="宋体" w:cs="Times New Roman"/>
          <w:color w:val="auto"/>
          <w:highlight w:val="none"/>
          <w:lang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4E7E2490">
      <w:pPr>
        <w:pStyle w:val="2"/>
        <w:tabs>
          <w:tab w:val="left" w:pos="3600"/>
        </w:tabs>
        <w:spacing w:line="360" w:lineRule="auto"/>
        <w:outlineLvl w:val="0"/>
        <w:rPr>
          <w:rFonts w:hint="default" w:ascii="Times New Roman" w:hAnsi="Times New Roman" w:eastAsia="宋体" w:cs="Times New Roman"/>
          <w:color w:val="auto"/>
          <w:sz w:val="21"/>
          <w:szCs w:val="21"/>
          <w:highlight w:val="none"/>
          <w:lang w:val="en-US" w:eastAsia="zh-CN"/>
        </w:rPr>
      </w:pPr>
      <w:bookmarkStart w:id="38" w:name="_Toc20207"/>
      <w:bookmarkStart w:id="39" w:name="_Toc9049"/>
      <w:r>
        <w:rPr>
          <w:rFonts w:hint="default" w:ascii="Times New Roman" w:hAnsi="Times New Roman" w:eastAsia="宋体" w:cs="Times New Roman"/>
          <w:color w:val="auto"/>
          <w:sz w:val="21"/>
          <w:szCs w:val="21"/>
          <w:highlight w:val="none"/>
        </w:rPr>
        <w:t>附件</w:t>
      </w:r>
      <w:r>
        <w:rPr>
          <w:rFonts w:hint="eastAsia"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检测报告</w:t>
      </w:r>
      <w:bookmarkEnd w:id="38"/>
      <w:bookmarkEnd w:id="39"/>
    </w:p>
    <w:p w14:paraId="7B255682">
      <w:pPr>
        <w:rPr>
          <w:rFonts w:hint="default"/>
          <w:color w:val="auto"/>
          <w:highlight w:val="none"/>
          <w:lang w:val="en-US" w:eastAsia="zh-CN"/>
        </w:rPr>
      </w:pPr>
      <w:r>
        <w:rPr>
          <w:rFonts w:hint="default"/>
          <w:color w:val="auto"/>
          <w:highlight w:val="none"/>
          <w:lang w:val="en-US" w:eastAsia="zh-CN"/>
        </w:rPr>
        <w:drawing>
          <wp:inline distT="0" distB="0" distL="114300" distR="114300">
            <wp:extent cx="5748020" cy="8127365"/>
            <wp:effectExtent l="0" t="0" r="5080" b="6985"/>
            <wp:docPr id="6" name="图片 6" descr="星华粮油(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星华粮油(1)_01"/>
                    <pic:cNvPicPr>
                      <a:picLocks noChangeAspect="1"/>
                    </pic:cNvPicPr>
                  </pic:nvPicPr>
                  <pic:blipFill>
                    <a:blip r:embed="rId50"/>
                    <a:stretch>
                      <a:fillRect/>
                    </a:stretch>
                  </pic:blipFill>
                  <pic:spPr>
                    <a:xfrm>
                      <a:off x="0" y="0"/>
                      <a:ext cx="5748020" cy="8127365"/>
                    </a:xfrm>
                    <a:prstGeom prst="rect">
                      <a:avLst/>
                    </a:prstGeom>
                  </pic:spPr>
                </pic:pic>
              </a:graphicData>
            </a:graphic>
          </wp:inline>
        </w:drawing>
      </w:r>
      <w:r>
        <w:rPr>
          <w:rFonts w:hint="default"/>
          <w:color w:val="auto"/>
          <w:highlight w:val="none"/>
          <w:lang w:val="en-US" w:eastAsia="zh-CN"/>
        </w:rPr>
        <w:drawing>
          <wp:inline distT="0" distB="0" distL="114300" distR="114300">
            <wp:extent cx="5748020" cy="8127365"/>
            <wp:effectExtent l="0" t="0" r="5080" b="6985"/>
            <wp:docPr id="5" name="图片 5" descr="星华粮油(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星华粮油(1)_02"/>
                    <pic:cNvPicPr>
                      <a:picLocks noChangeAspect="1"/>
                    </pic:cNvPicPr>
                  </pic:nvPicPr>
                  <pic:blipFill>
                    <a:blip r:embed="rId51"/>
                    <a:stretch>
                      <a:fillRect/>
                    </a:stretch>
                  </pic:blipFill>
                  <pic:spPr>
                    <a:xfrm>
                      <a:off x="0" y="0"/>
                      <a:ext cx="5748020" cy="8127365"/>
                    </a:xfrm>
                    <a:prstGeom prst="rect">
                      <a:avLst/>
                    </a:prstGeom>
                  </pic:spPr>
                </pic:pic>
              </a:graphicData>
            </a:graphic>
          </wp:inline>
        </w:drawing>
      </w:r>
      <w:r>
        <w:rPr>
          <w:rFonts w:hint="default"/>
          <w:color w:val="auto"/>
          <w:highlight w:val="none"/>
          <w:lang w:val="en-US" w:eastAsia="zh-CN"/>
        </w:rPr>
        <w:drawing>
          <wp:inline distT="0" distB="0" distL="114300" distR="114300">
            <wp:extent cx="5748020" cy="8127365"/>
            <wp:effectExtent l="0" t="0" r="5080" b="6985"/>
            <wp:docPr id="4" name="图片 4" descr="星华粮油(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星华粮油(1)_03"/>
                    <pic:cNvPicPr>
                      <a:picLocks noChangeAspect="1"/>
                    </pic:cNvPicPr>
                  </pic:nvPicPr>
                  <pic:blipFill>
                    <a:blip r:embed="rId52"/>
                    <a:stretch>
                      <a:fillRect/>
                    </a:stretch>
                  </pic:blipFill>
                  <pic:spPr>
                    <a:xfrm>
                      <a:off x="0" y="0"/>
                      <a:ext cx="5748020" cy="8127365"/>
                    </a:xfrm>
                    <a:prstGeom prst="rect">
                      <a:avLst/>
                    </a:prstGeom>
                  </pic:spPr>
                </pic:pic>
              </a:graphicData>
            </a:graphic>
          </wp:inline>
        </w:drawing>
      </w:r>
      <w:r>
        <w:rPr>
          <w:rFonts w:hint="default"/>
          <w:color w:val="auto"/>
          <w:highlight w:val="none"/>
          <w:lang w:val="en-US" w:eastAsia="zh-CN"/>
        </w:rPr>
        <w:drawing>
          <wp:inline distT="0" distB="0" distL="114300" distR="114300">
            <wp:extent cx="5748020" cy="8127365"/>
            <wp:effectExtent l="0" t="0" r="5080" b="6985"/>
            <wp:docPr id="3" name="图片 3" descr="星华粮油(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星华粮油(1)_04"/>
                    <pic:cNvPicPr>
                      <a:picLocks noChangeAspect="1"/>
                    </pic:cNvPicPr>
                  </pic:nvPicPr>
                  <pic:blipFill>
                    <a:blip r:embed="rId53"/>
                    <a:stretch>
                      <a:fillRect/>
                    </a:stretch>
                  </pic:blipFill>
                  <pic:spPr>
                    <a:xfrm>
                      <a:off x="0" y="0"/>
                      <a:ext cx="5748020" cy="8127365"/>
                    </a:xfrm>
                    <a:prstGeom prst="rect">
                      <a:avLst/>
                    </a:prstGeom>
                  </pic:spPr>
                </pic:pic>
              </a:graphicData>
            </a:graphic>
          </wp:inline>
        </w:drawing>
      </w:r>
      <w:r>
        <w:rPr>
          <w:rFonts w:hint="default"/>
          <w:color w:val="auto"/>
          <w:highlight w:val="none"/>
          <w:lang w:val="en-US" w:eastAsia="zh-CN"/>
        </w:rPr>
        <w:drawing>
          <wp:inline distT="0" distB="0" distL="114300" distR="114300">
            <wp:extent cx="5748020" cy="8127365"/>
            <wp:effectExtent l="0" t="0" r="5080" b="6985"/>
            <wp:docPr id="2" name="图片 2" descr="星华粮油(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星华粮油(1)_05"/>
                    <pic:cNvPicPr>
                      <a:picLocks noChangeAspect="1"/>
                    </pic:cNvPicPr>
                  </pic:nvPicPr>
                  <pic:blipFill>
                    <a:blip r:embed="rId54"/>
                    <a:stretch>
                      <a:fillRect/>
                    </a:stretch>
                  </pic:blipFill>
                  <pic:spPr>
                    <a:xfrm>
                      <a:off x="0" y="0"/>
                      <a:ext cx="5748020" cy="8127365"/>
                    </a:xfrm>
                    <a:prstGeom prst="rect">
                      <a:avLst/>
                    </a:prstGeom>
                  </pic:spPr>
                </pic:pic>
              </a:graphicData>
            </a:graphic>
          </wp:inline>
        </w:drawing>
      </w:r>
    </w:p>
    <w:p w14:paraId="735C523D">
      <w:pPr>
        <w:rPr>
          <w:rFonts w:hint="default"/>
          <w:color w:val="auto"/>
          <w:highlight w:val="none"/>
          <w:lang w:val="en-US" w:eastAsia="zh-CN"/>
        </w:rPr>
      </w:pPr>
    </w:p>
    <w:p w14:paraId="6DA2049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highlight w:val="none"/>
        </w:rPr>
      </w:pPr>
    </w:p>
    <w:p w14:paraId="4DD7C35D">
      <w:pPr>
        <w:pStyle w:val="54"/>
        <w:ind w:firstLine="0" w:firstLineChars="0"/>
        <w:jc w:val="left"/>
        <w:outlineLvl w:val="0"/>
        <w:rPr>
          <w:rFonts w:hint="default" w:ascii="Times New Roman" w:hAnsi="Times New Roman" w:eastAsia="宋体" w:cs="Times New Roman"/>
          <w:b/>
          <w:color w:val="auto"/>
          <w:sz w:val="21"/>
          <w:szCs w:val="21"/>
          <w:highlight w:val="none"/>
        </w:rPr>
      </w:pPr>
      <w:bookmarkStart w:id="40" w:name="_Toc21317"/>
      <w:bookmarkStart w:id="41" w:name="_Toc25183"/>
      <w:r>
        <w:rPr>
          <w:rFonts w:hint="default" w:ascii="Times New Roman" w:hAnsi="Times New Roman" w:eastAsia="宋体" w:cs="Times New Roman"/>
          <w:b/>
          <w:color w:val="auto"/>
          <w:sz w:val="21"/>
          <w:szCs w:val="21"/>
          <w:highlight w:val="none"/>
        </w:rPr>
        <w:t>附件</w:t>
      </w:r>
      <w:r>
        <w:rPr>
          <w:rFonts w:hint="eastAsia" w:ascii="Times New Roman" w:hAnsi="Times New Roman" w:cs="Times New Roman"/>
          <w:b/>
          <w:color w:val="auto"/>
          <w:sz w:val="21"/>
          <w:szCs w:val="21"/>
          <w:highlight w:val="none"/>
          <w:lang w:val="en-US" w:eastAsia="zh-CN"/>
        </w:rPr>
        <w:t>3</w:t>
      </w:r>
      <w:r>
        <w:rPr>
          <w:rFonts w:hint="default" w:ascii="Times New Roman" w:hAnsi="Times New Roman" w:eastAsia="宋体" w:cs="Times New Roman"/>
          <w:b/>
          <w:color w:val="auto"/>
          <w:sz w:val="21"/>
          <w:szCs w:val="21"/>
          <w:highlight w:val="none"/>
        </w:rPr>
        <w:t>燃料检测报告</w:t>
      </w:r>
      <w:bookmarkEnd w:id="40"/>
      <w:bookmarkEnd w:id="41"/>
    </w:p>
    <w:p w14:paraId="7BFFA2C6">
      <w:pPr>
        <w:pStyle w:val="54"/>
        <w:keepNext w:val="0"/>
        <w:keepLines w:val="0"/>
        <w:pageBreakBefore w:val="0"/>
        <w:widowControl w:val="0"/>
        <w:kinsoku/>
        <w:wordWrap/>
        <w:overflowPunct/>
        <w:topLinePunct w:val="0"/>
        <w:autoSpaceDE/>
        <w:autoSpaceDN/>
        <w:bidi w:val="0"/>
        <w:adjustRightInd/>
        <w:snapToGrid/>
        <w:ind w:firstLine="0" w:firstLineChars="0"/>
        <w:jc w:val="left"/>
        <w:textAlignment w:val="auto"/>
        <w:outlineLvl w:val="9"/>
        <w:rPr>
          <w:rFonts w:hint="eastAsia" w:ascii="Times New Roman" w:hAnsi="Times New Roman" w:eastAsia="宋体" w:cs="Times New Roman"/>
          <w:b/>
          <w:color w:val="auto"/>
          <w:sz w:val="44"/>
          <w:szCs w:val="44"/>
          <w:highlight w:val="none"/>
          <w:lang w:eastAsia="zh-CN"/>
        </w:rPr>
      </w:pPr>
      <w:r>
        <w:rPr>
          <w:color w:val="auto"/>
          <w:highlight w:val="none"/>
        </w:rPr>
        <w:drawing>
          <wp:inline distT="0" distB="0" distL="114300" distR="114300">
            <wp:extent cx="5976620" cy="8451215"/>
            <wp:effectExtent l="0" t="0" r="5080" b="6985"/>
            <wp:docPr id="1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5"/>
                    <pic:cNvPicPr>
                      <a:picLocks noChangeAspect="1"/>
                    </pic:cNvPicPr>
                  </pic:nvPicPr>
                  <pic:blipFill>
                    <a:blip r:embed="rId55"/>
                    <a:stretch>
                      <a:fillRect/>
                    </a:stretch>
                  </pic:blipFill>
                  <pic:spPr>
                    <a:xfrm>
                      <a:off x="0" y="0"/>
                      <a:ext cx="5976620" cy="8451215"/>
                    </a:xfrm>
                    <a:prstGeom prst="rect">
                      <a:avLst/>
                    </a:prstGeom>
                    <a:noFill/>
                    <a:ln w="9525">
                      <a:noFill/>
                    </a:ln>
                  </pic:spPr>
                </pic:pic>
              </a:graphicData>
            </a:graphic>
          </wp:inline>
        </w:drawing>
      </w:r>
    </w:p>
    <w:p w14:paraId="79BFA2EF">
      <w:pPr>
        <w:jc w:val="left"/>
        <w:outlineLvl w:val="0"/>
        <w:rPr>
          <w:rFonts w:hint="default" w:ascii="Times New Roman" w:hAnsi="Times New Roman" w:eastAsia="宋体" w:cs="Times New Roman"/>
          <w:color w:val="auto"/>
          <w:highlight w:val="none"/>
          <w:lang w:val="en-US" w:eastAsia="zh-CN"/>
        </w:rPr>
      </w:pPr>
      <w:bookmarkStart w:id="42" w:name="_Toc12461"/>
      <w:bookmarkStart w:id="43" w:name="_Toc4234"/>
      <w:r>
        <w:rPr>
          <w:rFonts w:hint="default" w:ascii="Times New Roman" w:hAnsi="Times New Roman" w:eastAsia="宋体" w:cs="Times New Roman"/>
          <w:b/>
          <w:color w:val="auto"/>
          <w:kern w:val="2"/>
          <w:sz w:val="21"/>
          <w:szCs w:val="21"/>
          <w:highlight w:val="none"/>
          <w:lang w:val="en-US" w:eastAsia="zh-CN" w:bidi="ar-SA"/>
        </w:rPr>
        <w:t>附件</w:t>
      </w:r>
      <w:r>
        <w:rPr>
          <w:rFonts w:hint="eastAsia" w:cs="Times New Roman"/>
          <w:b/>
          <w:color w:val="auto"/>
          <w:kern w:val="2"/>
          <w:sz w:val="21"/>
          <w:szCs w:val="21"/>
          <w:highlight w:val="none"/>
          <w:lang w:val="en-US" w:eastAsia="zh-CN" w:bidi="ar-SA"/>
        </w:rPr>
        <w:t>4</w:t>
      </w:r>
      <w:r>
        <w:rPr>
          <w:rFonts w:hint="default" w:ascii="Times New Roman" w:hAnsi="Times New Roman" w:eastAsia="宋体" w:cs="Times New Roman"/>
          <w:b/>
          <w:color w:val="auto"/>
          <w:kern w:val="2"/>
          <w:sz w:val="21"/>
          <w:szCs w:val="21"/>
          <w:highlight w:val="none"/>
          <w:lang w:val="en-US" w:eastAsia="zh-CN" w:bidi="ar-SA"/>
        </w:rPr>
        <w:t>生态环境分区管控分析报告</w:t>
      </w:r>
      <w:bookmarkEnd w:id="42"/>
      <w:bookmarkEnd w:id="43"/>
    </w:p>
    <w:p w14:paraId="4715EEFC">
      <w:pPr>
        <w:tabs>
          <w:tab w:val="left" w:pos="222"/>
        </w:tabs>
        <w:bidi w:val="0"/>
        <w:jc w:val="center"/>
        <w:rPr>
          <w:rFonts w:hint="default" w:ascii="Times New Roman" w:hAnsi="Times New Roman" w:eastAsia="宋体" w:cs="Times New Roman"/>
          <w:color w:val="auto"/>
          <w:kern w:val="2"/>
          <w:sz w:val="21"/>
          <w:szCs w:val="24"/>
          <w:highlight w:val="none"/>
          <w:lang w:val="en-US" w:eastAsia="zh-CN" w:bidi="ar-SA"/>
        </w:rPr>
      </w:pPr>
    </w:p>
    <w:p w14:paraId="5FA1B94A">
      <w:pPr>
        <w:tabs>
          <w:tab w:val="left" w:pos="222"/>
        </w:tabs>
        <w:bidi w:val="0"/>
        <w:jc w:val="center"/>
        <w:rPr>
          <w:rFonts w:hint="default" w:ascii="Times New Roman" w:hAnsi="Times New Roman" w:eastAsia="宋体" w:cs="Times New Roman"/>
          <w:color w:val="auto"/>
          <w:kern w:val="2"/>
          <w:sz w:val="21"/>
          <w:szCs w:val="24"/>
          <w:highlight w:val="none"/>
          <w:lang w:val="en-US" w:eastAsia="zh-CN" w:bidi="ar-SA"/>
        </w:rPr>
        <w:sectPr>
          <w:pgSz w:w="11906" w:h="16838"/>
          <w:pgMar w:top="1418" w:right="1418" w:bottom="1418" w:left="1418" w:header="851" w:footer="1208" w:gutter="0"/>
          <w:pgBorders>
            <w:top w:val="none" w:sz="0" w:space="0"/>
            <w:left w:val="none" w:sz="0" w:space="0"/>
            <w:bottom w:val="none" w:sz="0" w:space="0"/>
            <w:right w:val="none" w:sz="0" w:space="0"/>
          </w:pgBorders>
          <w:cols w:space="720" w:num="1"/>
          <w:docGrid w:type="lines" w:linePitch="312" w:charSpace="0"/>
        </w:sectPr>
      </w:pP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42" name="图片 42" descr="黑龙江省锦畴粮食贸易有限公司建设_2026年08月13日153841_分析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黑龙江省锦畴粮食贸易有限公司建设_2026年08月13日153841_分析报告_01"/>
                    <pic:cNvPicPr>
                      <a:picLocks noChangeAspect="1"/>
                    </pic:cNvPicPr>
                  </pic:nvPicPr>
                  <pic:blipFill>
                    <a:blip r:embed="rId56"/>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41" name="图片 41" descr="黑龙江省锦畴粮食贸易有限公司建设_2026年08月13日153841_分析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黑龙江省锦畴粮食贸易有限公司建设_2026年08月13日153841_分析报告_02"/>
                    <pic:cNvPicPr>
                      <a:picLocks noChangeAspect="1"/>
                    </pic:cNvPicPr>
                  </pic:nvPicPr>
                  <pic:blipFill>
                    <a:blip r:embed="rId57"/>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40" name="图片 40" descr="黑龙江省锦畴粮食贸易有限公司建设_2026年08月13日153841_分析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黑龙江省锦畴粮食贸易有限公司建设_2026年08月13日153841_分析报告_03"/>
                    <pic:cNvPicPr>
                      <a:picLocks noChangeAspect="1"/>
                    </pic:cNvPicPr>
                  </pic:nvPicPr>
                  <pic:blipFill>
                    <a:blip r:embed="rId58"/>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36" name="图片 36" descr="黑龙江省锦畴粮食贸易有限公司建设_2026年08月13日153841_分析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黑龙江省锦畴粮食贸易有限公司建设_2026年08月13日153841_分析报告_04"/>
                    <pic:cNvPicPr>
                      <a:picLocks noChangeAspect="1"/>
                    </pic:cNvPicPr>
                  </pic:nvPicPr>
                  <pic:blipFill>
                    <a:blip r:embed="rId59"/>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35" name="图片 35" descr="黑龙江省锦畴粮食贸易有限公司建设_2026年08月13日153841_分析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黑龙江省锦畴粮食贸易有限公司建设_2026年08月13日153841_分析报告_05"/>
                    <pic:cNvPicPr>
                      <a:picLocks noChangeAspect="1"/>
                    </pic:cNvPicPr>
                  </pic:nvPicPr>
                  <pic:blipFill>
                    <a:blip r:embed="rId60"/>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34" name="图片 34" descr="黑龙江省锦畴粮食贸易有限公司建设_2026年08月13日153841_分析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黑龙江省锦畴粮食贸易有限公司建设_2026年08月13日153841_分析报告_06"/>
                    <pic:cNvPicPr>
                      <a:picLocks noChangeAspect="1"/>
                    </pic:cNvPicPr>
                  </pic:nvPicPr>
                  <pic:blipFill>
                    <a:blip r:embed="rId61"/>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33" name="图片 33" descr="黑龙江省锦畴粮食贸易有限公司建设_2026年08月13日153841_分析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黑龙江省锦畴粮食贸易有限公司建设_2026年08月13日153841_分析报告_07"/>
                    <pic:cNvPicPr>
                      <a:picLocks noChangeAspect="1"/>
                    </pic:cNvPicPr>
                  </pic:nvPicPr>
                  <pic:blipFill>
                    <a:blip r:embed="rId12"/>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30" name="图片 30" descr="黑龙江省锦畴粮食贸易有限公司建设_2026年08月13日153841_分析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黑龙江省锦畴粮食贸易有限公司建设_2026年08月13日153841_分析报告_08"/>
                    <pic:cNvPicPr>
                      <a:picLocks noChangeAspect="1"/>
                    </pic:cNvPicPr>
                  </pic:nvPicPr>
                  <pic:blipFill>
                    <a:blip r:embed="rId13"/>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29" name="图片 29" descr="黑龙江省锦畴粮食贸易有限公司建设_2026年08月13日153841_分析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黑龙江省锦畴粮食贸易有限公司建设_2026年08月13日153841_分析报告_09"/>
                    <pic:cNvPicPr>
                      <a:picLocks noChangeAspect="1"/>
                    </pic:cNvPicPr>
                  </pic:nvPicPr>
                  <pic:blipFill>
                    <a:blip r:embed="rId62"/>
                    <a:stretch>
                      <a:fillRect/>
                    </a:stretch>
                  </pic:blipFill>
                  <pic:spPr>
                    <a:xfrm>
                      <a:off x="0" y="0"/>
                      <a:ext cx="5730875" cy="4052570"/>
                    </a:xfrm>
                    <a:prstGeom prst="rect">
                      <a:avLst/>
                    </a:prstGeom>
                  </pic:spPr>
                </pic:pic>
              </a:graphicData>
            </a:graphic>
          </wp:inline>
        </w:drawing>
      </w:r>
      <w:r>
        <w:rPr>
          <w:rFonts w:hint="default" w:ascii="Times New Roman" w:hAnsi="Times New Roman" w:eastAsia="宋体" w:cs="Times New Roman"/>
          <w:color w:val="auto"/>
          <w:kern w:val="2"/>
          <w:sz w:val="21"/>
          <w:szCs w:val="24"/>
          <w:highlight w:val="none"/>
          <w:lang w:val="en-US" w:eastAsia="zh-CN" w:bidi="ar-SA"/>
        </w:rPr>
        <w:drawing>
          <wp:inline distT="0" distB="0" distL="114300" distR="114300">
            <wp:extent cx="5730875" cy="4052570"/>
            <wp:effectExtent l="0" t="0" r="3175" b="5080"/>
            <wp:docPr id="24" name="图片 24" descr="黑龙江省锦畴粮食贸易有限公司建设_2026年08月13日153841_分析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黑龙江省锦畴粮食贸易有限公司建设_2026年08月13日153841_分析报告_10"/>
                    <pic:cNvPicPr>
                      <a:picLocks noChangeAspect="1"/>
                    </pic:cNvPicPr>
                  </pic:nvPicPr>
                  <pic:blipFill>
                    <a:blip r:embed="rId63"/>
                    <a:stretch>
                      <a:fillRect/>
                    </a:stretch>
                  </pic:blipFill>
                  <pic:spPr>
                    <a:xfrm>
                      <a:off x="0" y="0"/>
                      <a:ext cx="5730875" cy="4052570"/>
                    </a:xfrm>
                    <a:prstGeom prst="rect">
                      <a:avLst/>
                    </a:prstGeom>
                  </pic:spPr>
                </pic:pic>
              </a:graphicData>
            </a:graphic>
          </wp:inline>
        </w:drawing>
      </w:r>
    </w:p>
    <w:p w14:paraId="19D796D5">
      <w:pPr>
        <w:jc w:val="left"/>
        <w:outlineLvl w:val="0"/>
        <w:rPr>
          <w:rFonts w:hint="eastAsia" w:cs="Times New Roman"/>
          <w:b/>
          <w:color w:val="auto"/>
          <w:kern w:val="2"/>
          <w:sz w:val="21"/>
          <w:szCs w:val="21"/>
          <w:highlight w:val="none"/>
          <w:lang w:val="en-US" w:eastAsia="zh-CN" w:bidi="ar-SA"/>
        </w:rPr>
      </w:pPr>
      <w:bookmarkStart w:id="44" w:name="_Toc14082"/>
      <w:bookmarkStart w:id="45" w:name="_Toc3891"/>
      <w:bookmarkStart w:id="46" w:name="_Toc4828"/>
      <w:bookmarkStart w:id="47" w:name="_Toc13969"/>
      <w:bookmarkStart w:id="48" w:name="_Toc20106"/>
      <w:bookmarkStart w:id="49" w:name="_Toc10352"/>
      <w:r>
        <w:rPr>
          <w:rFonts w:hint="default" w:ascii="Times New Roman" w:hAnsi="Times New Roman" w:eastAsia="宋体" w:cs="Times New Roman"/>
          <w:b/>
          <w:color w:val="auto"/>
          <w:kern w:val="2"/>
          <w:sz w:val="21"/>
          <w:szCs w:val="21"/>
          <w:highlight w:val="none"/>
          <w:lang w:val="en-US" w:eastAsia="zh-CN" w:bidi="ar-SA"/>
        </w:rPr>
        <w:t>附件</w:t>
      </w:r>
      <w:r>
        <w:rPr>
          <w:rFonts w:hint="eastAsia" w:cs="Times New Roman"/>
          <w:b/>
          <w:color w:val="auto"/>
          <w:kern w:val="2"/>
          <w:sz w:val="21"/>
          <w:szCs w:val="21"/>
          <w:highlight w:val="none"/>
          <w:lang w:val="en-US" w:eastAsia="zh-CN" w:bidi="ar-SA"/>
        </w:rPr>
        <w:t>5土地手续</w:t>
      </w:r>
      <w:bookmarkEnd w:id="44"/>
    </w:p>
    <w:p w14:paraId="4A9FEF6D">
      <w:pPr>
        <w:jc w:val="center"/>
        <w:outlineLvl w:val="0"/>
        <w:rPr>
          <w:rFonts w:hint="eastAsia" w:cs="Times New Roman"/>
          <w:b/>
          <w:color w:val="auto"/>
          <w:kern w:val="2"/>
          <w:sz w:val="21"/>
          <w:szCs w:val="21"/>
          <w:highlight w:val="none"/>
          <w:lang w:val="en-US" w:eastAsia="zh-CN" w:bidi="ar-SA"/>
        </w:rPr>
        <w:sectPr>
          <w:footerReference r:id="rId9"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bookmarkStart w:id="50" w:name="_Toc6303"/>
      <w:bookmarkStart w:id="51" w:name="_Toc15179"/>
      <w:r>
        <w:rPr>
          <w:rFonts w:hint="eastAsia" w:cs="Times New Roman"/>
          <w:b/>
          <w:color w:val="auto"/>
          <w:kern w:val="2"/>
          <w:sz w:val="21"/>
          <w:szCs w:val="21"/>
          <w:highlight w:val="none"/>
          <w:lang w:val="en-US" w:eastAsia="zh-CN" w:bidi="ar-SA"/>
        </w:rPr>
        <w:drawing>
          <wp:inline distT="0" distB="0" distL="114300" distR="114300">
            <wp:extent cx="5339080" cy="7621270"/>
            <wp:effectExtent l="0" t="0" r="13970" b="17780"/>
            <wp:docPr id="19" name="图片 19" descr="5e37b412e5cc52cbd9337039d2578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e37b412e5cc52cbd9337039d2578ba1"/>
                    <pic:cNvPicPr>
                      <a:picLocks noChangeAspect="1"/>
                    </pic:cNvPicPr>
                  </pic:nvPicPr>
                  <pic:blipFill>
                    <a:blip r:embed="rId64"/>
                    <a:srcRect l="695" t="11862" r="-1490" b="23404"/>
                    <a:stretch>
                      <a:fillRect/>
                    </a:stretch>
                  </pic:blipFill>
                  <pic:spPr>
                    <a:xfrm rot="10800000">
                      <a:off x="0" y="0"/>
                      <a:ext cx="5339080" cy="7621270"/>
                    </a:xfrm>
                    <a:prstGeom prst="rect">
                      <a:avLst/>
                    </a:prstGeom>
                  </pic:spPr>
                </pic:pic>
              </a:graphicData>
            </a:graphic>
          </wp:inline>
        </w:drawing>
      </w:r>
      <w:bookmarkEnd w:id="50"/>
      <w:bookmarkEnd w:id="51"/>
      <w:r>
        <w:rPr>
          <w:rFonts w:hint="eastAsia" w:cs="Times New Roman"/>
          <w:b/>
          <w:color w:val="auto"/>
          <w:kern w:val="2"/>
          <w:sz w:val="21"/>
          <w:szCs w:val="21"/>
          <w:highlight w:val="none"/>
          <w:lang w:val="en-US" w:eastAsia="zh-CN" w:bidi="ar-SA"/>
        </w:rPr>
        <w:drawing>
          <wp:inline distT="0" distB="0" distL="114300" distR="114300">
            <wp:extent cx="5614670" cy="7823835"/>
            <wp:effectExtent l="0" t="0" r="5080" b="5715"/>
            <wp:docPr id="23" name="图片 23" descr="9d4b641861f6354743cd2311672d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9d4b641861f6354743cd2311672d6318"/>
                    <pic:cNvPicPr>
                      <a:picLocks noChangeAspect="1"/>
                    </pic:cNvPicPr>
                  </pic:nvPicPr>
                  <pic:blipFill>
                    <a:blip r:embed="rId65"/>
                    <a:stretch>
                      <a:fillRect/>
                    </a:stretch>
                  </pic:blipFill>
                  <pic:spPr>
                    <a:xfrm>
                      <a:off x="0" y="0"/>
                      <a:ext cx="5614670" cy="7823835"/>
                    </a:xfrm>
                    <a:prstGeom prst="rect">
                      <a:avLst/>
                    </a:prstGeom>
                  </pic:spPr>
                </pic:pic>
              </a:graphicData>
            </a:graphic>
          </wp:inline>
        </w:drawing>
      </w:r>
    </w:p>
    <w:p w14:paraId="3BB285F8">
      <w:pPr>
        <w:jc w:val="left"/>
        <w:outlineLvl w:val="0"/>
        <w:rPr>
          <w:rFonts w:hint="eastAsia" w:ascii="Times New Roman" w:hAnsi="Times New Roman" w:eastAsia="宋体" w:cs="Times New Roman"/>
          <w:b/>
          <w:color w:val="auto"/>
          <w:kern w:val="2"/>
          <w:sz w:val="21"/>
          <w:szCs w:val="21"/>
          <w:highlight w:val="none"/>
          <w:lang w:val="en-US" w:eastAsia="zh-CN" w:bidi="ar-SA"/>
        </w:rPr>
      </w:pPr>
      <w:bookmarkStart w:id="52" w:name="_Toc31981"/>
      <w:r>
        <w:rPr>
          <w:rFonts w:hint="default" w:ascii="Times New Roman" w:hAnsi="Times New Roman" w:eastAsia="宋体" w:cs="Times New Roman"/>
          <w:b/>
          <w:color w:val="auto"/>
          <w:kern w:val="2"/>
          <w:sz w:val="21"/>
          <w:szCs w:val="21"/>
          <w:highlight w:val="none"/>
          <w:lang w:val="en-US" w:eastAsia="zh-CN" w:bidi="ar-SA"/>
        </w:rPr>
        <w:t>附件</w:t>
      </w:r>
      <w:r>
        <w:rPr>
          <w:rFonts w:hint="eastAsia" w:cs="Times New Roman"/>
          <w:b/>
          <w:color w:val="auto"/>
          <w:kern w:val="2"/>
          <w:sz w:val="21"/>
          <w:szCs w:val="21"/>
          <w:highlight w:val="none"/>
          <w:lang w:val="en-US" w:eastAsia="zh-CN" w:bidi="ar-SA"/>
        </w:rPr>
        <w:t>6</w:t>
      </w:r>
      <w:r>
        <w:rPr>
          <w:rFonts w:hint="eastAsia" w:ascii="Times New Roman" w:hAnsi="Times New Roman" w:eastAsia="宋体" w:cs="Times New Roman"/>
          <w:b/>
          <w:color w:val="auto"/>
          <w:kern w:val="2"/>
          <w:sz w:val="21"/>
          <w:szCs w:val="21"/>
          <w:highlight w:val="none"/>
          <w:lang w:val="en-US" w:eastAsia="zh-CN" w:bidi="ar-SA"/>
        </w:rPr>
        <w:t>公示截图</w:t>
      </w:r>
      <w:bookmarkEnd w:id="45"/>
      <w:bookmarkEnd w:id="46"/>
      <w:bookmarkEnd w:id="47"/>
      <w:bookmarkEnd w:id="48"/>
      <w:bookmarkEnd w:id="49"/>
      <w:bookmarkEnd w:id="52"/>
    </w:p>
    <w:p w14:paraId="7364E23F">
      <w:pPr>
        <w:pStyle w:val="31"/>
        <w:rPr>
          <w:rFonts w:hint="default"/>
          <w:color w:val="auto"/>
          <w:highlight w:val="none"/>
          <w:lang w:val="en-US" w:eastAsia="zh-CN"/>
        </w:rPr>
      </w:pPr>
      <w:r>
        <w:rPr>
          <w:color w:val="auto"/>
          <w:highlight w:val="none"/>
        </w:rPr>
        <w:drawing>
          <wp:inline distT="0" distB="0" distL="114300" distR="114300">
            <wp:extent cx="5605780" cy="4102100"/>
            <wp:effectExtent l="0" t="0" r="13970" b="1270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6"/>
                    <a:stretch>
                      <a:fillRect/>
                    </a:stretch>
                  </pic:blipFill>
                  <pic:spPr>
                    <a:xfrm>
                      <a:off x="0" y="0"/>
                      <a:ext cx="5605780" cy="4102100"/>
                    </a:xfrm>
                    <a:prstGeom prst="rect">
                      <a:avLst/>
                    </a:prstGeom>
                    <a:noFill/>
                    <a:ln>
                      <a:noFill/>
                    </a:ln>
                  </pic:spPr>
                </pic:pic>
              </a:graphicData>
            </a:graphic>
          </wp:inline>
        </w:drawing>
      </w: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decorative"/>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ED30">
    <w:pPr>
      <w:pStyle w:val="21"/>
      <w:ind w:right="360" w:firstLine="360"/>
    </w:pPr>
  </w:p>
  <w:p w14:paraId="5922E7C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3E2B2">
    <w:pPr>
      <w:pStyle w:val="21"/>
      <w:framePr w:wrap="around" w:vAnchor="text" w:hAnchor="margin" w:xAlign="center" w:y="1"/>
      <w:rPr>
        <w:rStyle w:val="36"/>
      </w:rPr>
    </w:pPr>
    <w:r>
      <w:fldChar w:fldCharType="begin"/>
    </w:r>
    <w:r>
      <w:rPr>
        <w:rStyle w:val="36"/>
      </w:rPr>
      <w:instrText xml:space="preserve">PAGE  </w:instrText>
    </w:r>
    <w:r>
      <w:fldChar w:fldCharType="end"/>
    </w:r>
  </w:p>
  <w:p w14:paraId="111FB00B">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0BAE">
    <w:pPr>
      <w:pStyle w:val="21"/>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E5ACC">
    <w:pPr>
      <w:pStyle w:val="2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50F111">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9</w:t>
                          </w:r>
                          <w:r>
                            <w:rPr>
                              <w:rStyle w:val="36"/>
                              <w:rFonts w:ascii="宋体" w:hAnsi="宋体"/>
                              <w:sz w:val="26"/>
                              <w:szCs w:val="26"/>
                            </w:rPr>
                            <w:fldChar w:fldCharType="end"/>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6D50F111">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9</w:t>
                    </w:r>
                    <w:r>
                      <w:rPr>
                        <w:rStyle w:val="36"/>
                        <w:rFonts w:ascii="宋体" w:hAnsi="宋体"/>
                        <w:sz w:val="26"/>
                        <w:szCs w:val="26"/>
                      </w:rPr>
                      <w:fldChar w:fldCharType="end"/>
                    </w:r>
                    <w:r>
                      <w:rPr>
                        <w:rStyle w:val="36"/>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CCBF7">
    <w:pPr>
      <w:pStyle w:val="21"/>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BF4F1">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10</w:t>
                          </w:r>
                          <w:r>
                            <w:rPr>
                              <w:rStyle w:val="36"/>
                              <w:rFonts w:ascii="宋体" w:hAnsi="宋体"/>
                              <w:sz w:val="26"/>
                              <w:szCs w:val="26"/>
                            </w:rPr>
                            <w:fldChar w:fldCharType="end"/>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176BF4F1">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10</w:t>
                    </w:r>
                    <w:r>
                      <w:rPr>
                        <w:rStyle w:val="36"/>
                        <w:rFonts w:ascii="宋体" w:hAnsi="宋体"/>
                        <w:sz w:val="26"/>
                        <w:szCs w:val="26"/>
                      </w:rPr>
                      <w:fldChar w:fldCharType="end"/>
                    </w:r>
                    <w:r>
                      <w:rPr>
                        <w:rStyle w:val="36"/>
                        <w:rFonts w:hint="eastAsia" w:ascii="宋体" w:hAnsi="宋体"/>
                        <w:sz w:val="28"/>
                        <w:szCs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32A76">
    <w:pPr>
      <w:pStyle w:val="21"/>
      <w:ind w:right="360" w:firstLine="36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B4FDAE">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11</w:t>
                          </w:r>
                          <w:r>
                            <w:rPr>
                              <w:rStyle w:val="36"/>
                              <w:rFonts w:ascii="宋体" w:hAnsi="宋体"/>
                              <w:sz w:val="26"/>
                              <w:szCs w:val="26"/>
                            </w:rPr>
                            <w:fldChar w:fldCharType="end"/>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0B4FDAE">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11</w:t>
                    </w:r>
                    <w:r>
                      <w:rPr>
                        <w:rStyle w:val="36"/>
                        <w:rFonts w:ascii="宋体" w:hAnsi="宋体"/>
                        <w:sz w:val="26"/>
                        <w:szCs w:val="26"/>
                      </w:rPr>
                      <w:fldChar w:fldCharType="end"/>
                    </w:r>
                    <w:r>
                      <w:rPr>
                        <w:rStyle w:val="36"/>
                        <w:rFonts w:hint="eastAsia" w:ascii="宋体" w:hAnsi="宋体"/>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55639">
    <w:pPr>
      <w:pStyle w:val="21"/>
      <w:ind w:right="360"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DE884">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11</w:t>
                          </w:r>
                          <w:r>
                            <w:rPr>
                              <w:rStyle w:val="36"/>
                              <w:rFonts w:ascii="宋体" w:hAnsi="宋体"/>
                              <w:sz w:val="26"/>
                              <w:szCs w:val="26"/>
                            </w:rPr>
                            <w:fldChar w:fldCharType="end"/>
                          </w:r>
                          <w:r>
                            <w:rPr>
                              <w:rStyle w:val="3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9DE884">
                    <w:pPr>
                      <w:pStyle w:val="2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11</w:t>
                    </w:r>
                    <w:r>
                      <w:rPr>
                        <w:rStyle w:val="36"/>
                        <w:rFonts w:ascii="宋体" w:hAnsi="宋体"/>
                        <w:sz w:val="26"/>
                        <w:szCs w:val="26"/>
                      </w:rPr>
                      <w:fldChar w:fldCharType="end"/>
                    </w:r>
                    <w:r>
                      <w:rPr>
                        <w:rStyle w:val="36"/>
                        <w:rFonts w:hint="eastAsia" w:ascii="宋体" w:hAnsi="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D620D"/>
    <w:multiLevelType w:val="singleLevel"/>
    <w:tmpl w:val="9C3D620D"/>
    <w:lvl w:ilvl="0" w:tentative="0">
      <w:start w:val="2"/>
      <w:numFmt w:val="decimal"/>
      <w:suff w:val="nothing"/>
      <w:lvlText w:val="（%1）"/>
      <w:lvlJc w:val="left"/>
    </w:lvl>
  </w:abstractNum>
  <w:abstractNum w:abstractNumId="1">
    <w:nsid w:val="B97F3FD9"/>
    <w:multiLevelType w:val="singleLevel"/>
    <w:tmpl w:val="B97F3FD9"/>
    <w:lvl w:ilvl="0" w:tentative="0">
      <w:start w:val="1"/>
      <w:numFmt w:val="bullet"/>
      <w:pStyle w:val="19"/>
      <w:lvlText w:val=""/>
      <w:lvlJc w:val="left"/>
      <w:pPr>
        <w:tabs>
          <w:tab w:val="left" w:pos="2040"/>
        </w:tabs>
        <w:ind w:left="2040" w:hanging="360"/>
      </w:pPr>
      <w:rPr>
        <w:rFonts w:hint="default" w:ascii="Wingdings" w:hAnsi="Wingdings"/>
      </w:rPr>
    </w:lvl>
  </w:abstractNum>
  <w:abstractNum w:abstractNumId="2">
    <w:nsid w:val="C35A60AB"/>
    <w:multiLevelType w:val="singleLevel"/>
    <w:tmpl w:val="C35A60AB"/>
    <w:lvl w:ilvl="0" w:tentative="0">
      <w:start w:val="1"/>
      <w:numFmt w:val="bullet"/>
      <w:pStyle w:val="13"/>
      <w:lvlText w:val=""/>
      <w:lvlJc w:val="left"/>
      <w:pPr>
        <w:tabs>
          <w:tab w:val="left" w:pos="780"/>
        </w:tabs>
        <w:ind w:left="780" w:hanging="360"/>
      </w:pPr>
      <w:rPr>
        <w:rFonts w:hint="default" w:ascii="Wingdings" w:hAnsi="Wingdings"/>
      </w:rPr>
    </w:lvl>
  </w:abstractNum>
  <w:abstractNum w:abstractNumId="3">
    <w:nsid w:val="0D663E45"/>
    <w:multiLevelType w:val="multilevel"/>
    <w:tmpl w:val="0D663E45"/>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567" w:hanging="567"/>
      </w:pPr>
      <w:rPr>
        <w:rFonts w:hint="eastAsia"/>
      </w:rPr>
    </w:lvl>
    <w:lvl w:ilvl="2" w:tentative="0">
      <w:start w:val="1"/>
      <w:numFmt w:val="decimal"/>
      <w:suff w:val="space"/>
      <w:lvlText w:val="%1.%2.%3"/>
      <w:lvlJc w:val="left"/>
      <w:pPr>
        <w:ind w:left="709" w:hanging="709"/>
      </w:pPr>
      <w:rPr>
        <w:rFonts w:hint="eastAsia"/>
      </w:rPr>
    </w:lvl>
    <w:lvl w:ilvl="3" w:tentative="0">
      <w:start w:val="1"/>
      <w:numFmt w:val="decimal"/>
      <w:pStyle w:val="5"/>
      <w:lvlText w:val="%1.%2.%3.%4"/>
      <w:lvlJc w:val="left"/>
      <w:pPr>
        <w:tabs>
          <w:tab w:val="left" w:pos="0"/>
        </w:tabs>
        <w:ind w:left="630" w:firstLine="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3C05F8C1"/>
    <w:multiLevelType w:val="singleLevel"/>
    <w:tmpl w:val="3C05F8C1"/>
    <w:lvl w:ilvl="0" w:tentative="0">
      <w:start w:val="6"/>
      <w:numFmt w:val="decimal"/>
      <w:suff w:val="nothing"/>
      <w:lvlText w:val="%1、"/>
      <w:lvlJc w:val="left"/>
    </w:lvl>
  </w:abstractNum>
  <w:abstractNum w:abstractNumId="5">
    <w:nsid w:val="57CAD3BE"/>
    <w:multiLevelType w:val="singleLevel"/>
    <w:tmpl w:val="57CAD3BE"/>
    <w:lvl w:ilvl="0" w:tentative="0">
      <w:start w:val="5"/>
      <w:numFmt w:val="decimal"/>
      <w:suff w:val="nothing"/>
      <w:lvlText w:val="%1、"/>
      <w:lvlJc w:val="left"/>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M2MzMzE5YjRmZTU0ZTMwMzRiYTE3NzI3NjA4YzUifQ=="/>
  </w:docVars>
  <w:rsids>
    <w:rsidRoot w:val="00172A27"/>
    <w:rsid w:val="000011FF"/>
    <w:rsid w:val="00060C6A"/>
    <w:rsid w:val="000725CD"/>
    <w:rsid w:val="000E49E2"/>
    <w:rsid w:val="002120EB"/>
    <w:rsid w:val="00250EED"/>
    <w:rsid w:val="00261299"/>
    <w:rsid w:val="002651BF"/>
    <w:rsid w:val="00305CE7"/>
    <w:rsid w:val="003D21B2"/>
    <w:rsid w:val="003F29E4"/>
    <w:rsid w:val="00430633"/>
    <w:rsid w:val="00440241"/>
    <w:rsid w:val="005141A4"/>
    <w:rsid w:val="00584BC9"/>
    <w:rsid w:val="00694D38"/>
    <w:rsid w:val="006B0807"/>
    <w:rsid w:val="006F02F1"/>
    <w:rsid w:val="00702588"/>
    <w:rsid w:val="007622FE"/>
    <w:rsid w:val="00831C23"/>
    <w:rsid w:val="00976FD3"/>
    <w:rsid w:val="00AB58C2"/>
    <w:rsid w:val="00C213E6"/>
    <w:rsid w:val="00D5688F"/>
    <w:rsid w:val="00D760AE"/>
    <w:rsid w:val="00D91EDB"/>
    <w:rsid w:val="00DD39BE"/>
    <w:rsid w:val="00EC0290"/>
    <w:rsid w:val="00F8685F"/>
    <w:rsid w:val="00FD223C"/>
    <w:rsid w:val="0112077C"/>
    <w:rsid w:val="01154EDD"/>
    <w:rsid w:val="0116678C"/>
    <w:rsid w:val="011904B1"/>
    <w:rsid w:val="012A1ADD"/>
    <w:rsid w:val="013D67D6"/>
    <w:rsid w:val="018F0BBA"/>
    <w:rsid w:val="01B57C13"/>
    <w:rsid w:val="01D17003"/>
    <w:rsid w:val="01D31020"/>
    <w:rsid w:val="01DC1BB9"/>
    <w:rsid w:val="01E46D89"/>
    <w:rsid w:val="01E871EF"/>
    <w:rsid w:val="01FF1661"/>
    <w:rsid w:val="020F79CD"/>
    <w:rsid w:val="020F7B7E"/>
    <w:rsid w:val="02393A77"/>
    <w:rsid w:val="023A0830"/>
    <w:rsid w:val="025C1E8E"/>
    <w:rsid w:val="028D7421"/>
    <w:rsid w:val="02903F44"/>
    <w:rsid w:val="02965762"/>
    <w:rsid w:val="0298460C"/>
    <w:rsid w:val="02A86BB2"/>
    <w:rsid w:val="02A97FD3"/>
    <w:rsid w:val="02B27E77"/>
    <w:rsid w:val="02B32C00"/>
    <w:rsid w:val="02B726F0"/>
    <w:rsid w:val="02E132C9"/>
    <w:rsid w:val="02F200B2"/>
    <w:rsid w:val="02F254D6"/>
    <w:rsid w:val="03065425"/>
    <w:rsid w:val="0314369E"/>
    <w:rsid w:val="031C69F7"/>
    <w:rsid w:val="03264B28"/>
    <w:rsid w:val="032A4E78"/>
    <w:rsid w:val="0334178C"/>
    <w:rsid w:val="033654A5"/>
    <w:rsid w:val="03525F75"/>
    <w:rsid w:val="03565CCB"/>
    <w:rsid w:val="0361091F"/>
    <w:rsid w:val="0368103A"/>
    <w:rsid w:val="036B4CD9"/>
    <w:rsid w:val="0375601B"/>
    <w:rsid w:val="03830824"/>
    <w:rsid w:val="03943FDE"/>
    <w:rsid w:val="03A622A7"/>
    <w:rsid w:val="03A823C3"/>
    <w:rsid w:val="03B55892"/>
    <w:rsid w:val="03C2759E"/>
    <w:rsid w:val="03C72872"/>
    <w:rsid w:val="03E65362"/>
    <w:rsid w:val="03E94B2B"/>
    <w:rsid w:val="03EC2FA8"/>
    <w:rsid w:val="03F434D0"/>
    <w:rsid w:val="03FB5A5B"/>
    <w:rsid w:val="03FF51A8"/>
    <w:rsid w:val="041D5D64"/>
    <w:rsid w:val="041E0DF8"/>
    <w:rsid w:val="04206073"/>
    <w:rsid w:val="04275653"/>
    <w:rsid w:val="042F0EFB"/>
    <w:rsid w:val="043B7FCA"/>
    <w:rsid w:val="0460074E"/>
    <w:rsid w:val="04630A40"/>
    <w:rsid w:val="04683F9E"/>
    <w:rsid w:val="047D6348"/>
    <w:rsid w:val="048216AC"/>
    <w:rsid w:val="048D3646"/>
    <w:rsid w:val="04915F07"/>
    <w:rsid w:val="04956A61"/>
    <w:rsid w:val="04AB3A0E"/>
    <w:rsid w:val="04AE18D1"/>
    <w:rsid w:val="04AE505A"/>
    <w:rsid w:val="04BA3DF1"/>
    <w:rsid w:val="04BF1054"/>
    <w:rsid w:val="04C9752F"/>
    <w:rsid w:val="04D53301"/>
    <w:rsid w:val="04DF7CDC"/>
    <w:rsid w:val="04F70879"/>
    <w:rsid w:val="04F76DD4"/>
    <w:rsid w:val="05177476"/>
    <w:rsid w:val="054933A7"/>
    <w:rsid w:val="054D10EA"/>
    <w:rsid w:val="05502988"/>
    <w:rsid w:val="05504B38"/>
    <w:rsid w:val="055406CA"/>
    <w:rsid w:val="055923B7"/>
    <w:rsid w:val="056401E1"/>
    <w:rsid w:val="05651755"/>
    <w:rsid w:val="05681A7F"/>
    <w:rsid w:val="056C49FA"/>
    <w:rsid w:val="056D178C"/>
    <w:rsid w:val="05803398"/>
    <w:rsid w:val="05834B0B"/>
    <w:rsid w:val="05A42F4A"/>
    <w:rsid w:val="05AB7BBE"/>
    <w:rsid w:val="05B04089"/>
    <w:rsid w:val="05B127AC"/>
    <w:rsid w:val="05B60A3D"/>
    <w:rsid w:val="05BE447A"/>
    <w:rsid w:val="05BE78F1"/>
    <w:rsid w:val="05C72213"/>
    <w:rsid w:val="05D06823"/>
    <w:rsid w:val="05D07A7F"/>
    <w:rsid w:val="05D11D1B"/>
    <w:rsid w:val="05D7534F"/>
    <w:rsid w:val="06020126"/>
    <w:rsid w:val="060B24DC"/>
    <w:rsid w:val="06135229"/>
    <w:rsid w:val="061C7A97"/>
    <w:rsid w:val="063522A9"/>
    <w:rsid w:val="063D4CBA"/>
    <w:rsid w:val="06627C49"/>
    <w:rsid w:val="06655E1E"/>
    <w:rsid w:val="06754648"/>
    <w:rsid w:val="067568DE"/>
    <w:rsid w:val="067E02C3"/>
    <w:rsid w:val="069A34CB"/>
    <w:rsid w:val="069B7C33"/>
    <w:rsid w:val="069E4688"/>
    <w:rsid w:val="06A50AB1"/>
    <w:rsid w:val="06B2148E"/>
    <w:rsid w:val="06B70F10"/>
    <w:rsid w:val="06BA02B4"/>
    <w:rsid w:val="06BA27AF"/>
    <w:rsid w:val="06BB3E7B"/>
    <w:rsid w:val="06BD404D"/>
    <w:rsid w:val="06D25D4A"/>
    <w:rsid w:val="06E65352"/>
    <w:rsid w:val="07100621"/>
    <w:rsid w:val="07232D4E"/>
    <w:rsid w:val="073267E9"/>
    <w:rsid w:val="073836D3"/>
    <w:rsid w:val="074B1659"/>
    <w:rsid w:val="074D53D1"/>
    <w:rsid w:val="07575CA8"/>
    <w:rsid w:val="076218F6"/>
    <w:rsid w:val="07741536"/>
    <w:rsid w:val="07755C25"/>
    <w:rsid w:val="077566D6"/>
    <w:rsid w:val="0776560E"/>
    <w:rsid w:val="077C680D"/>
    <w:rsid w:val="07910674"/>
    <w:rsid w:val="07917FDC"/>
    <w:rsid w:val="079C3C62"/>
    <w:rsid w:val="07A91EDF"/>
    <w:rsid w:val="07AD380F"/>
    <w:rsid w:val="07B002E1"/>
    <w:rsid w:val="07B509B3"/>
    <w:rsid w:val="07C86708"/>
    <w:rsid w:val="07C86D9E"/>
    <w:rsid w:val="07CA0B06"/>
    <w:rsid w:val="07CD02C0"/>
    <w:rsid w:val="07CF04AF"/>
    <w:rsid w:val="07CF4E9D"/>
    <w:rsid w:val="07DF01B8"/>
    <w:rsid w:val="07E8792A"/>
    <w:rsid w:val="07EA2C20"/>
    <w:rsid w:val="07F12200"/>
    <w:rsid w:val="08147C9D"/>
    <w:rsid w:val="0817778D"/>
    <w:rsid w:val="081952B3"/>
    <w:rsid w:val="082B571B"/>
    <w:rsid w:val="082D0D5E"/>
    <w:rsid w:val="08356CC6"/>
    <w:rsid w:val="083A342A"/>
    <w:rsid w:val="08400A92"/>
    <w:rsid w:val="084A7AD8"/>
    <w:rsid w:val="084C7436"/>
    <w:rsid w:val="08500BB1"/>
    <w:rsid w:val="085202FC"/>
    <w:rsid w:val="085C7F21"/>
    <w:rsid w:val="085D33D8"/>
    <w:rsid w:val="08602958"/>
    <w:rsid w:val="087370B9"/>
    <w:rsid w:val="08966904"/>
    <w:rsid w:val="08AA1D90"/>
    <w:rsid w:val="08B576D2"/>
    <w:rsid w:val="08C43471"/>
    <w:rsid w:val="08C568EA"/>
    <w:rsid w:val="08E70994"/>
    <w:rsid w:val="08ED372A"/>
    <w:rsid w:val="08F47141"/>
    <w:rsid w:val="09000221"/>
    <w:rsid w:val="090C4403"/>
    <w:rsid w:val="090E61F2"/>
    <w:rsid w:val="09187370"/>
    <w:rsid w:val="09324868"/>
    <w:rsid w:val="093C424A"/>
    <w:rsid w:val="09695826"/>
    <w:rsid w:val="0972053F"/>
    <w:rsid w:val="09727371"/>
    <w:rsid w:val="097310FF"/>
    <w:rsid w:val="097711BC"/>
    <w:rsid w:val="09875F67"/>
    <w:rsid w:val="0988465A"/>
    <w:rsid w:val="099E259B"/>
    <w:rsid w:val="09A573B2"/>
    <w:rsid w:val="09A8602C"/>
    <w:rsid w:val="09AD5B9C"/>
    <w:rsid w:val="09B41737"/>
    <w:rsid w:val="09BF138A"/>
    <w:rsid w:val="09C6146A"/>
    <w:rsid w:val="09E0697D"/>
    <w:rsid w:val="09F61177"/>
    <w:rsid w:val="0A006153"/>
    <w:rsid w:val="0A0E62F2"/>
    <w:rsid w:val="0A1246B0"/>
    <w:rsid w:val="0A145B94"/>
    <w:rsid w:val="0A1C72DC"/>
    <w:rsid w:val="0A244E20"/>
    <w:rsid w:val="0A25783A"/>
    <w:rsid w:val="0A283AAC"/>
    <w:rsid w:val="0A2C221F"/>
    <w:rsid w:val="0A375EC4"/>
    <w:rsid w:val="0A5401AE"/>
    <w:rsid w:val="0A67318D"/>
    <w:rsid w:val="0A76589C"/>
    <w:rsid w:val="0A786C09"/>
    <w:rsid w:val="0A7A0C07"/>
    <w:rsid w:val="0A876E4C"/>
    <w:rsid w:val="0A8E475F"/>
    <w:rsid w:val="0A9652E1"/>
    <w:rsid w:val="0A9A7B48"/>
    <w:rsid w:val="0AA551DA"/>
    <w:rsid w:val="0AB90E98"/>
    <w:rsid w:val="0AC62ADE"/>
    <w:rsid w:val="0AEC3153"/>
    <w:rsid w:val="0AEF054D"/>
    <w:rsid w:val="0AF7539B"/>
    <w:rsid w:val="0AFF5E49"/>
    <w:rsid w:val="0B097861"/>
    <w:rsid w:val="0B246449"/>
    <w:rsid w:val="0B262F2A"/>
    <w:rsid w:val="0B315722"/>
    <w:rsid w:val="0B381EF4"/>
    <w:rsid w:val="0B584344"/>
    <w:rsid w:val="0B5A6EFC"/>
    <w:rsid w:val="0B642CE9"/>
    <w:rsid w:val="0B7F62AE"/>
    <w:rsid w:val="0B885568"/>
    <w:rsid w:val="0B905875"/>
    <w:rsid w:val="0B934E9A"/>
    <w:rsid w:val="0B9470A7"/>
    <w:rsid w:val="0B986811"/>
    <w:rsid w:val="0BA15CEB"/>
    <w:rsid w:val="0BA17A99"/>
    <w:rsid w:val="0BAD1BD9"/>
    <w:rsid w:val="0BC814CA"/>
    <w:rsid w:val="0BCB4B16"/>
    <w:rsid w:val="0BCB76EF"/>
    <w:rsid w:val="0BD414C0"/>
    <w:rsid w:val="0BD460C1"/>
    <w:rsid w:val="0BF43CC0"/>
    <w:rsid w:val="0BF73B5D"/>
    <w:rsid w:val="0BFF569C"/>
    <w:rsid w:val="0C0A0CE8"/>
    <w:rsid w:val="0C110E52"/>
    <w:rsid w:val="0C232BA4"/>
    <w:rsid w:val="0C2B05B0"/>
    <w:rsid w:val="0C2F6111"/>
    <w:rsid w:val="0C45012D"/>
    <w:rsid w:val="0C484448"/>
    <w:rsid w:val="0C4B197C"/>
    <w:rsid w:val="0C52404E"/>
    <w:rsid w:val="0C5A4160"/>
    <w:rsid w:val="0C5C1C12"/>
    <w:rsid w:val="0C640AE5"/>
    <w:rsid w:val="0C684A5B"/>
    <w:rsid w:val="0C7D1DD1"/>
    <w:rsid w:val="0C7E04F6"/>
    <w:rsid w:val="0C8B02FF"/>
    <w:rsid w:val="0CA66724"/>
    <w:rsid w:val="0CBB04AB"/>
    <w:rsid w:val="0CBE467B"/>
    <w:rsid w:val="0CBF0B1F"/>
    <w:rsid w:val="0CD218F6"/>
    <w:rsid w:val="0CD961FF"/>
    <w:rsid w:val="0CDE7BC7"/>
    <w:rsid w:val="0CDF3393"/>
    <w:rsid w:val="0CE20369"/>
    <w:rsid w:val="0CE42333"/>
    <w:rsid w:val="0CE4467C"/>
    <w:rsid w:val="0CEE0C06"/>
    <w:rsid w:val="0CFD1647"/>
    <w:rsid w:val="0D0B3D64"/>
    <w:rsid w:val="0D1117BF"/>
    <w:rsid w:val="0D1C448B"/>
    <w:rsid w:val="0D215336"/>
    <w:rsid w:val="0D2A3ABE"/>
    <w:rsid w:val="0D42705A"/>
    <w:rsid w:val="0D5C19EC"/>
    <w:rsid w:val="0D5D3E94"/>
    <w:rsid w:val="0D7817AE"/>
    <w:rsid w:val="0D9033E3"/>
    <w:rsid w:val="0D971EF9"/>
    <w:rsid w:val="0D994044"/>
    <w:rsid w:val="0DC161D1"/>
    <w:rsid w:val="0DDF60A2"/>
    <w:rsid w:val="0DDF6F9F"/>
    <w:rsid w:val="0DF540CC"/>
    <w:rsid w:val="0DFA5B87"/>
    <w:rsid w:val="0E107158"/>
    <w:rsid w:val="0E342E47"/>
    <w:rsid w:val="0E413AC5"/>
    <w:rsid w:val="0E4F7176"/>
    <w:rsid w:val="0E707BF7"/>
    <w:rsid w:val="0E7161AC"/>
    <w:rsid w:val="0E863DEA"/>
    <w:rsid w:val="0E926D4C"/>
    <w:rsid w:val="0E9F31C9"/>
    <w:rsid w:val="0EC817E1"/>
    <w:rsid w:val="0ECB340D"/>
    <w:rsid w:val="0ECC7523"/>
    <w:rsid w:val="0EDC7981"/>
    <w:rsid w:val="0EDD34DE"/>
    <w:rsid w:val="0F052A35"/>
    <w:rsid w:val="0F12423D"/>
    <w:rsid w:val="0F176FE4"/>
    <w:rsid w:val="0F1B7AF0"/>
    <w:rsid w:val="0F2A5EBD"/>
    <w:rsid w:val="0F504CE9"/>
    <w:rsid w:val="0F560251"/>
    <w:rsid w:val="0F5D2661"/>
    <w:rsid w:val="0F601A19"/>
    <w:rsid w:val="0F6129AE"/>
    <w:rsid w:val="0F6E2388"/>
    <w:rsid w:val="0F7166FB"/>
    <w:rsid w:val="0F76123D"/>
    <w:rsid w:val="0F762090"/>
    <w:rsid w:val="0F85236A"/>
    <w:rsid w:val="0F875D14"/>
    <w:rsid w:val="0F881E00"/>
    <w:rsid w:val="0F942E19"/>
    <w:rsid w:val="0FAB155C"/>
    <w:rsid w:val="0FD25AEF"/>
    <w:rsid w:val="0FD348E1"/>
    <w:rsid w:val="0FDA5278"/>
    <w:rsid w:val="0FDB555F"/>
    <w:rsid w:val="0FDC5544"/>
    <w:rsid w:val="0FDE7ACF"/>
    <w:rsid w:val="0FEE34C9"/>
    <w:rsid w:val="0FEE5277"/>
    <w:rsid w:val="0FF94348"/>
    <w:rsid w:val="101734A1"/>
    <w:rsid w:val="10196798"/>
    <w:rsid w:val="101B6EFC"/>
    <w:rsid w:val="103A1F10"/>
    <w:rsid w:val="104C49AD"/>
    <w:rsid w:val="1064174C"/>
    <w:rsid w:val="10790FE5"/>
    <w:rsid w:val="107C6D27"/>
    <w:rsid w:val="109E5E6D"/>
    <w:rsid w:val="10BE2E9B"/>
    <w:rsid w:val="10BE4C49"/>
    <w:rsid w:val="10C04E65"/>
    <w:rsid w:val="10C9531F"/>
    <w:rsid w:val="10E84F81"/>
    <w:rsid w:val="10EC5C5A"/>
    <w:rsid w:val="10EC6E4C"/>
    <w:rsid w:val="11357601"/>
    <w:rsid w:val="113B44EC"/>
    <w:rsid w:val="116D086E"/>
    <w:rsid w:val="118842BB"/>
    <w:rsid w:val="1194488D"/>
    <w:rsid w:val="119B176A"/>
    <w:rsid w:val="11AB0F1C"/>
    <w:rsid w:val="11AE2F10"/>
    <w:rsid w:val="11B103D0"/>
    <w:rsid w:val="11BB0E58"/>
    <w:rsid w:val="11C56AAF"/>
    <w:rsid w:val="11CD3EE3"/>
    <w:rsid w:val="11D5049D"/>
    <w:rsid w:val="11DA7587"/>
    <w:rsid w:val="11E20E0C"/>
    <w:rsid w:val="11E608FC"/>
    <w:rsid w:val="11EB7CC0"/>
    <w:rsid w:val="11F22FD3"/>
    <w:rsid w:val="11F54030"/>
    <w:rsid w:val="12377C77"/>
    <w:rsid w:val="123D1830"/>
    <w:rsid w:val="12647A72"/>
    <w:rsid w:val="126F08F1"/>
    <w:rsid w:val="12737421"/>
    <w:rsid w:val="12887AF9"/>
    <w:rsid w:val="12971BF6"/>
    <w:rsid w:val="12AB56A1"/>
    <w:rsid w:val="12B04A66"/>
    <w:rsid w:val="12B22DFF"/>
    <w:rsid w:val="12B57855"/>
    <w:rsid w:val="12C10042"/>
    <w:rsid w:val="12D40754"/>
    <w:rsid w:val="12E12E71"/>
    <w:rsid w:val="12EC1DC3"/>
    <w:rsid w:val="12EC7849"/>
    <w:rsid w:val="12FD2AB7"/>
    <w:rsid w:val="130B1D43"/>
    <w:rsid w:val="131E5E73"/>
    <w:rsid w:val="131F5307"/>
    <w:rsid w:val="13220E71"/>
    <w:rsid w:val="132C66F5"/>
    <w:rsid w:val="136A2E67"/>
    <w:rsid w:val="13830454"/>
    <w:rsid w:val="13A91BE1"/>
    <w:rsid w:val="13B91121"/>
    <w:rsid w:val="13BF7656"/>
    <w:rsid w:val="13C00E46"/>
    <w:rsid w:val="13D5217F"/>
    <w:rsid w:val="140C03C2"/>
    <w:rsid w:val="140D0E07"/>
    <w:rsid w:val="14162226"/>
    <w:rsid w:val="141B0CB1"/>
    <w:rsid w:val="142E1B4C"/>
    <w:rsid w:val="14303DA6"/>
    <w:rsid w:val="14483D22"/>
    <w:rsid w:val="144A39ED"/>
    <w:rsid w:val="14542E95"/>
    <w:rsid w:val="14565CA3"/>
    <w:rsid w:val="14700951"/>
    <w:rsid w:val="1479388A"/>
    <w:rsid w:val="147E12BF"/>
    <w:rsid w:val="14824672"/>
    <w:rsid w:val="149C7998"/>
    <w:rsid w:val="14A95C11"/>
    <w:rsid w:val="14B161C4"/>
    <w:rsid w:val="14B21D93"/>
    <w:rsid w:val="14B5553D"/>
    <w:rsid w:val="14B720DC"/>
    <w:rsid w:val="14C42D08"/>
    <w:rsid w:val="14E1232E"/>
    <w:rsid w:val="14E34CFE"/>
    <w:rsid w:val="14E51352"/>
    <w:rsid w:val="14F90661"/>
    <w:rsid w:val="150037A8"/>
    <w:rsid w:val="150712B5"/>
    <w:rsid w:val="15082937"/>
    <w:rsid w:val="1509746F"/>
    <w:rsid w:val="15103A81"/>
    <w:rsid w:val="151E73B2"/>
    <w:rsid w:val="152446DB"/>
    <w:rsid w:val="15280A08"/>
    <w:rsid w:val="15326E2E"/>
    <w:rsid w:val="153812C2"/>
    <w:rsid w:val="15511622"/>
    <w:rsid w:val="15555F4F"/>
    <w:rsid w:val="155913E5"/>
    <w:rsid w:val="1562473D"/>
    <w:rsid w:val="156C736A"/>
    <w:rsid w:val="1585042C"/>
    <w:rsid w:val="158D108E"/>
    <w:rsid w:val="159B19FD"/>
    <w:rsid w:val="159F546F"/>
    <w:rsid w:val="15A47B04"/>
    <w:rsid w:val="15AD0B11"/>
    <w:rsid w:val="15AF76A1"/>
    <w:rsid w:val="15CA22E2"/>
    <w:rsid w:val="15EA64E1"/>
    <w:rsid w:val="15F52A63"/>
    <w:rsid w:val="1604702E"/>
    <w:rsid w:val="161F262E"/>
    <w:rsid w:val="16241E2A"/>
    <w:rsid w:val="16257519"/>
    <w:rsid w:val="16471E92"/>
    <w:rsid w:val="16557DFE"/>
    <w:rsid w:val="166C0B57"/>
    <w:rsid w:val="16761F5C"/>
    <w:rsid w:val="168D3A3C"/>
    <w:rsid w:val="169828CD"/>
    <w:rsid w:val="16AB475D"/>
    <w:rsid w:val="16B94831"/>
    <w:rsid w:val="16BA5EB3"/>
    <w:rsid w:val="16E32AC7"/>
    <w:rsid w:val="16E66C6E"/>
    <w:rsid w:val="16FF205F"/>
    <w:rsid w:val="17005E29"/>
    <w:rsid w:val="170653B0"/>
    <w:rsid w:val="170D6078"/>
    <w:rsid w:val="1715128F"/>
    <w:rsid w:val="171958DD"/>
    <w:rsid w:val="17201509"/>
    <w:rsid w:val="17217BBD"/>
    <w:rsid w:val="172F064F"/>
    <w:rsid w:val="17377504"/>
    <w:rsid w:val="17397D36"/>
    <w:rsid w:val="174877D6"/>
    <w:rsid w:val="174D31CB"/>
    <w:rsid w:val="174F484D"/>
    <w:rsid w:val="17503CF1"/>
    <w:rsid w:val="175E2CE2"/>
    <w:rsid w:val="175E5149"/>
    <w:rsid w:val="17815298"/>
    <w:rsid w:val="178E7A6B"/>
    <w:rsid w:val="1793338A"/>
    <w:rsid w:val="17977E4F"/>
    <w:rsid w:val="179C1FE7"/>
    <w:rsid w:val="17B80499"/>
    <w:rsid w:val="17BC040C"/>
    <w:rsid w:val="17BC189D"/>
    <w:rsid w:val="17F84EE5"/>
    <w:rsid w:val="17F92A0B"/>
    <w:rsid w:val="181F06C4"/>
    <w:rsid w:val="1835515B"/>
    <w:rsid w:val="183C1D65"/>
    <w:rsid w:val="18474E99"/>
    <w:rsid w:val="184D2BCE"/>
    <w:rsid w:val="186528AD"/>
    <w:rsid w:val="188243DB"/>
    <w:rsid w:val="188D022E"/>
    <w:rsid w:val="18A132D7"/>
    <w:rsid w:val="18A1767E"/>
    <w:rsid w:val="18A21388"/>
    <w:rsid w:val="18A45F03"/>
    <w:rsid w:val="18DA428E"/>
    <w:rsid w:val="18DE00ED"/>
    <w:rsid w:val="18E51EF0"/>
    <w:rsid w:val="190A41D3"/>
    <w:rsid w:val="190A4292"/>
    <w:rsid w:val="19103753"/>
    <w:rsid w:val="191254B5"/>
    <w:rsid w:val="19153875"/>
    <w:rsid w:val="192B3098"/>
    <w:rsid w:val="192D32CA"/>
    <w:rsid w:val="19320572"/>
    <w:rsid w:val="19404D95"/>
    <w:rsid w:val="19451F34"/>
    <w:rsid w:val="19675B8F"/>
    <w:rsid w:val="196B3644"/>
    <w:rsid w:val="1991739F"/>
    <w:rsid w:val="199B2808"/>
    <w:rsid w:val="19B149FA"/>
    <w:rsid w:val="19B7492C"/>
    <w:rsid w:val="19C534ED"/>
    <w:rsid w:val="19E020D4"/>
    <w:rsid w:val="19FD4A34"/>
    <w:rsid w:val="19FE1985"/>
    <w:rsid w:val="1A17459F"/>
    <w:rsid w:val="1A355C89"/>
    <w:rsid w:val="1A445924"/>
    <w:rsid w:val="1A4C36CB"/>
    <w:rsid w:val="1A534654"/>
    <w:rsid w:val="1A550118"/>
    <w:rsid w:val="1A564145"/>
    <w:rsid w:val="1A630E17"/>
    <w:rsid w:val="1A6360F1"/>
    <w:rsid w:val="1A6870C8"/>
    <w:rsid w:val="1A8A243F"/>
    <w:rsid w:val="1A8B7526"/>
    <w:rsid w:val="1AA475A6"/>
    <w:rsid w:val="1AB01AA7"/>
    <w:rsid w:val="1AB4704E"/>
    <w:rsid w:val="1ACE1D74"/>
    <w:rsid w:val="1AD00BF4"/>
    <w:rsid w:val="1AE6371B"/>
    <w:rsid w:val="1AF61D19"/>
    <w:rsid w:val="1B0A35C3"/>
    <w:rsid w:val="1B193602"/>
    <w:rsid w:val="1B1E2EB4"/>
    <w:rsid w:val="1B252495"/>
    <w:rsid w:val="1B2B737F"/>
    <w:rsid w:val="1B5569AC"/>
    <w:rsid w:val="1B707488"/>
    <w:rsid w:val="1B923FB5"/>
    <w:rsid w:val="1B9969DF"/>
    <w:rsid w:val="1B9B5D47"/>
    <w:rsid w:val="1B9B600E"/>
    <w:rsid w:val="1BAA234B"/>
    <w:rsid w:val="1BB87E40"/>
    <w:rsid w:val="1C062BD8"/>
    <w:rsid w:val="1C2D7FB3"/>
    <w:rsid w:val="1C4F0E85"/>
    <w:rsid w:val="1C6074FD"/>
    <w:rsid w:val="1C6078B6"/>
    <w:rsid w:val="1C67088B"/>
    <w:rsid w:val="1C6A3ED7"/>
    <w:rsid w:val="1C6C68B8"/>
    <w:rsid w:val="1C731E9C"/>
    <w:rsid w:val="1C752FA8"/>
    <w:rsid w:val="1C760ACE"/>
    <w:rsid w:val="1C800036"/>
    <w:rsid w:val="1C84143D"/>
    <w:rsid w:val="1C9A0B26"/>
    <w:rsid w:val="1CA43C68"/>
    <w:rsid w:val="1CB03FE0"/>
    <w:rsid w:val="1CC57360"/>
    <w:rsid w:val="1CC655B2"/>
    <w:rsid w:val="1CD31A7D"/>
    <w:rsid w:val="1CD74DF2"/>
    <w:rsid w:val="1CDE31C3"/>
    <w:rsid w:val="1CDF6B52"/>
    <w:rsid w:val="1CE1063D"/>
    <w:rsid w:val="1CEE22A2"/>
    <w:rsid w:val="1CEF73D0"/>
    <w:rsid w:val="1CF32970"/>
    <w:rsid w:val="1D05389B"/>
    <w:rsid w:val="1D0962DE"/>
    <w:rsid w:val="1D0C51A8"/>
    <w:rsid w:val="1D186C81"/>
    <w:rsid w:val="1D25050C"/>
    <w:rsid w:val="1D323153"/>
    <w:rsid w:val="1D412E8A"/>
    <w:rsid w:val="1D436C02"/>
    <w:rsid w:val="1D4D182F"/>
    <w:rsid w:val="1D660B43"/>
    <w:rsid w:val="1D7E40DE"/>
    <w:rsid w:val="1D855446"/>
    <w:rsid w:val="1D9A259A"/>
    <w:rsid w:val="1DA87DC9"/>
    <w:rsid w:val="1DC6338F"/>
    <w:rsid w:val="1DD9245C"/>
    <w:rsid w:val="1DDA783D"/>
    <w:rsid w:val="1DDB32DF"/>
    <w:rsid w:val="1E081BFA"/>
    <w:rsid w:val="1E0F45E2"/>
    <w:rsid w:val="1E135CC5"/>
    <w:rsid w:val="1E326C77"/>
    <w:rsid w:val="1E3D5039"/>
    <w:rsid w:val="1E5B77BA"/>
    <w:rsid w:val="1E6373F8"/>
    <w:rsid w:val="1E7D4396"/>
    <w:rsid w:val="1E997892"/>
    <w:rsid w:val="1EB65D77"/>
    <w:rsid w:val="1EBF050A"/>
    <w:rsid w:val="1EC43D73"/>
    <w:rsid w:val="1EE45D47"/>
    <w:rsid w:val="1EE66CA9"/>
    <w:rsid w:val="1EE709B0"/>
    <w:rsid w:val="1EF51396"/>
    <w:rsid w:val="1F073C5F"/>
    <w:rsid w:val="1F277F3D"/>
    <w:rsid w:val="1F38206B"/>
    <w:rsid w:val="1F38650F"/>
    <w:rsid w:val="1F3F789D"/>
    <w:rsid w:val="1F612539"/>
    <w:rsid w:val="1F7A08D5"/>
    <w:rsid w:val="1F7A3CB3"/>
    <w:rsid w:val="1F843502"/>
    <w:rsid w:val="1F925C1F"/>
    <w:rsid w:val="1F9E45C4"/>
    <w:rsid w:val="1FAA3FE4"/>
    <w:rsid w:val="1FB522CF"/>
    <w:rsid w:val="1FB9412A"/>
    <w:rsid w:val="1FCA638A"/>
    <w:rsid w:val="1FCE6554"/>
    <w:rsid w:val="1FD41A8A"/>
    <w:rsid w:val="1FEA7809"/>
    <w:rsid w:val="2012028D"/>
    <w:rsid w:val="201B6A96"/>
    <w:rsid w:val="20210D51"/>
    <w:rsid w:val="20356F3C"/>
    <w:rsid w:val="20755DD0"/>
    <w:rsid w:val="208438D2"/>
    <w:rsid w:val="208A7CD2"/>
    <w:rsid w:val="208D5C91"/>
    <w:rsid w:val="208F7A8A"/>
    <w:rsid w:val="20933547"/>
    <w:rsid w:val="209C5930"/>
    <w:rsid w:val="20A0436C"/>
    <w:rsid w:val="20A7394C"/>
    <w:rsid w:val="20B63B8F"/>
    <w:rsid w:val="20C056D4"/>
    <w:rsid w:val="20D64231"/>
    <w:rsid w:val="20D83371"/>
    <w:rsid w:val="20F40301"/>
    <w:rsid w:val="20F701FA"/>
    <w:rsid w:val="210040D4"/>
    <w:rsid w:val="21075DA5"/>
    <w:rsid w:val="21084D17"/>
    <w:rsid w:val="21224D81"/>
    <w:rsid w:val="21355B5D"/>
    <w:rsid w:val="213D4EB6"/>
    <w:rsid w:val="213F5933"/>
    <w:rsid w:val="21466CC1"/>
    <w:rsid w:val="215E7734"/>
    <w:rsid w:val="217742D8"/>
    <w:rsid w:val="218562F2"/>
    <w:rsid w:val="21914F4E"/>
    <w:rsid w:val="219519F6"/>
    <w:rsid w:val="219D08AB"/>
    <w:rsid w:val="21A67B45"/>
    <w:rsid w:val="21AA4BCD"/>
    <w:rsid w:val="21B005DE"/>
    <w:rsid w:val="21B07155"/>
    <w:rsid w:val="21B34857"/>
    <w:rsid w:val="21B55A5D"/>
    <w:rsid w:val="21BA320B"/>
    <w:rsid w:val="21BF3B5D"/>
    <w:rsid w:val="21C975B9"/>
    <w:rsid w:val="21CC797F"/>
    <w:rsid w:val="21D342CD"/>
    <w:rsid w:val="21D4251F"/>
    <w:rsid w:val="21DA565B"/>
    <w:rsid w:val="21EE4DAA"/>
    <w:rsid w:val="21FA5D52"/>
    <w:rsid w:val="21FD4681"/>
    <w:rsid w:val="21FE759C"/>
    <w:rsid w:val="220509B7"/>
    <w:rsid w:val="2225279A"/>
    <w:rsid w:val="222673C0"/>
    <w:rsid w:val="224376A4"/>
    <w:rsid w:val="22513B6F"/>
    <w:rsid w:val="22611DE0"/>
    <w:rsid w:val="227819DE"/>
    <w:rsid w:val="228A52D3"/>
    <w:rsid w:val="228D0920"/>
    <w:rsid w:val="22953AEA"/>
    <w:rsid w:val="229A3496"/>
    <w:rsid w:val="22A5210D"/>
    <w:rsid w:val="22B45E4A"/>
    <w:rsid w:val="22B97967"/>
    <w:rsid w:val="22BD1294"/>
    <w:rsid w:val="22D0536B"/>
    <w:rsid w:val="22D24584"/>
    <w:rsid w:val="22E80541"/>
    <w:rsid w:val="22F031F2"/>
    <w:rsid w:val="22F4341E"/>
    <w:rsid w:val="22F51FAC"/>
    <w:rsid w:val="231D7560"/>
    <w:rsid w:val="231F4397"/>
    <w:rsid w:val="232D0468"/>
    <w:rsid w:val="23595906"/>
    <w:rsid w:val="23647381"/>
    <w:rsid w:val="23743A7A"/>
    <w:rsid w:val="23A6613D"/>
    <w:rsid w:val="23B3128C"/>
    <w:rsid w:val="23B56380"/>
    <w:rsid w:val="23BC326A"/>
    <w:rsid w:val="23C6058D"/>
    <w:rsid w:val="23E10F23"/>
    <w:rsid w:val="23EE24B9"/>
    <w:rsid w:val="242F5EE0"/>
    <w:rsid w:val="24351B60"/>
    <w:rsid w:val="24455956"/>
    <w:rsid w:val="24594A1C"/>
    <w:rsid w:val="2459739C"/>
    <w:rsid w:val="245C1981"/>
    <w:rsid w:val="246D6C5B"/>
    <w:rsid w:val="246F54CD"/>
    <w:rsid w:val="247C0C4C"/>
    <w:rsid w:val="24831FDA"/>
    <w:rsid w:val="2485290C"/>
    <w:rsid w:val="249D12EE"/>
    <w:rsid w:val="24A974EB"/>
    <w:rsid w:val="24B41C1B"/>
    <w:rsid w:val="24C5739B"/>
    <w:rsid w:val="24CA650D"/>
    <w:rsid w:val="24D87C4A"/>
    <w:rsid w:val="24DC16EA"/>
    <w:rsid w:val="24DE7D70"/>
    <w:rsid w:val="24DF4CA5"/>
    <w:rsid w:val="25253091"/>
    <w:rsid w:val="252B7B5C"/>
    <w:rsid w:val="253D3E45"/>
    <w:rsid w:val="254406E3"/>
    <w:rsid w:val="25495689"/>
    <w:rsid w:val="254968C3"/>
    <w:rsid w:val="2580476C"/>
    <w:rsid w:val="258850CD"/>
    <w:rsid w:val="2589549B"/>
    <w:rsid w:val="258B24DE"/>
    <w:rsid w:val="258C2B25"/>
    <w:rsid w:val="2593624D"/>
    <w:rsid w:val="25A533D7"/>
    <w:rsid w:val="25A8314A"/>
    <w:rsid w:val="25B95B60"/>
    <w:rsid w:val="25CA1F2F"/>
    <w:rsid w:val="25E92311"/>
    <w:rsid w:val="25F153F9"/>
    <w:rsid w:val="25F7724B"/>
    <w:rsid w:val="25F93D57"/>
    <w:rsid w:val="26020F16"/>
    <w:rsid w:val="261470BE"/>
    <w:rsid w:val="261904D2"/>
    <w:rsid w:val="26215F4F"/>
    <w:rsid w:val="26217CFD"/>
    <w:rsid w:val="262B1F12"/>
    <w:rsid w:val="26341C2C"/>
    <w:rsid w:val="26545306"/>
    <w:rsid w:val="265C3D07"/>
    <w:rsid w:val="265D4D42"/>
    <w:rsid w:val="26766C32"/>
    <w:rsid w:val="2677791D"/>
    <w:rsid w:val="267859A5"/>
    <w:rsid w:val="268527A3"/>
    <w:rsid w:val="269229A8"/>
    <w:rsid w:val="26A1499A"/>
    <w:rsid w:val="26A5092E"/>
    <w:rsid w:val="26B50445"/>
    <w:rsid w:val="26D23852"/>
    <w:rsid w:val="26DD1E76"/>
    <w:rsid w:val="26DE5BEE"/>
    <w:rsid w:val="26DF1937"/>
    <w:rsid w:val="26E56163"/>
    <w:rsid w:val="26FC44F7"/>
    <w:rsid w:val="27035654"/>
    <w:rsid w:val="270513CC"/>
    <w:rsid w:val="271912FC"/>
    <w:rsid w:val="2719721A"/>
    <w:rsid w:val="271A7F1C"/>
    <w:rsid w:val="271F27F9"/>
    <w:rsid w:val="27225A29"/>
    <w:rsid w:val="272A2BE1"/>
    <w:rsid w:val="272B0C7B"/>
    <w:rsid w:val="273C0EE5"/>
    <w:rsid w:val="274C2B57"/>
    <w:rsid w:val="274E68CF"/>
    <w:rsid w:val="275A645F"/>
    <w:rsid w:val="27B04EA2"/>
    <w:rsid w:val="27B16EF7"/>
    <w:rsid w:val="27BC5F2F"/>
    <w:rsid w:val="27C6422B"/>
    <w:rsid w:val="27D1465E"/>
    <w:rsid w:val="27D176F1"/>
    <w:rsid w:val="27DF5779"/>
    <w:rsid w:val="27DF7C2B"/>
    <w:rsid w:val="27E94D69"/>
    <w:rsid w:val="27F60D15"/>
    <w:rsid w:val="27FD1D81"/>
    <w:rsid w:val="28081174"/>
    <w:rsid w:val="280C0339"/>
    <w:rsid w:val="2810627B"/>
    <w:rsid w:val="28127485"/>
    <w:rsid w:val="2818648E"/>
    <w:rsid w:val="281E30DC"/>
    <w:rsid w:val="28234431"/>
    <w:rsid w:val="28304227"/>
    <w:rsid w:val="28464A49"/>
    <w:rsid w:val="284A56C6"/>
    <w:rsid w:val="285000BD"/>
    <w:rsid w:val="2858552C"/>
    <w:rsid w:val="285A38FC"/>
    <w:rsid w:val="286914E7"/>
    <w:rsid w:val="2870290D"/>
    <w:rsid w:val="289444BD"/>
    <w:rsid w:val="28982582"/>
    <w:rsid w:val="289C28CA"/>
    <w:rsid w:val="28AA249C"/>
    <w:rsid w:val="28AB4499"/>
    <w:rsid w:val="28B33BAD"/>
    <w:rsid w:val="28B766F6"/>
    <w:rsid w:val="28BC42CC"/>
    <w:rsid w:val="28C31E6D"/>
    <w:rsid w:val="28D56B7C"/>
    <w:rsid w:val="28DA4193"/>
    <w:rsid w:val="28DE1ED5"/>
    <w:rsid w:val="28E60D8A"/>
    <w:rsid w:val="28EF7C3E"/>
    <w:rsid w:val="28F214DC"/>
    <w:rsid w:val="29061A17"/>
    <w:rsid w:val="29101E93"/>
    <w:rsid w:val="291853E7"/>
    <w:rsid w:val="293672E8"/>
    <w:rsid w:val="293D746B"/>
    <w:rsid w:val="29572373"/>
    <w:rsid w:val="295C5A5F"/>
    <w:rsid w:val="296B2169"/>
    <w:rsid w:val="296F6AE0"/>
    <w:rsid w:val="29727017"/>
    <w:rsid w:val="297665B1"/>
    <w:rsid w:val="297A26A8"/>
    <w:rsid w:val="2984482A"/>
    <w:rsid w:val="29A34238"/>
    <w:rsid w:val="29AB77DD"/>
    <w:rsid w:val="29BB5D72"/>
    <w:rsid w:val="29BD7D3C"/>
    <w:rsid w:val="29C7407A"/>
    <w:rsid w:val="29CC7F7F"/>
    <w:rsid w:val="29D22436"/>
    <w:rsid w:val="29DB01C2"/>
    <w:rsid w:val="29F64ED0"/>
    <w:rsid w:val="2A0177EC"/>
    <w:rsid w:val="2A0F1BF2"/>
    <w:rsid w:val="2A11626C"/>
    <w:rsid w:val="2A1410FD"/>
    <w:rsid w:val="2A1D31F1"/>
    <w:rsid w:val="2A224043"/>
    <w:rsid w:val="2A273408"/>
    <w:rsid w:val="2A300A37"/>
    <w:rsid w:val="2A5F4540"/>
    <w:rsid w:val="2A625EEB"/>
    <w:rsid w:val="2A6D4DAB"/>
    <w:rsid w:val="2A7A4F03"/>
    <w:rsid w:val="2A8475A7"/>
    <w:rsid w:val="2A93599D"/>
    <w:rsid w:val="2A997342"/>
    <w:rsid w:val="2AA44A58"/>
    <w:rsid w:val="2AA50EFC"/>
    <w:rsid w:val="2AC12920"/>
    <w:rsid w:val="2ACF3CEB"/>
    <w:rsid w:val="2AD0584D"/>
    <w:rsid w:val="2AD616F8"/>
    <w:rsid w:val="2AD82639"/>
    <w:rsid w:val="2AF325AB"/>
    <w:rsid w:val="2AFB0A91"/>
    <w:rsid w:val="2AFB4B18"/>
    <w:rsid w:val="2AFF2EF6"/>
    <w:rsid w:val="2AFF60B4"/>
    <w:rsid w:val="2B0B4AD7"/>
    <w:rsid w:val="2B25203D"/>
    <w:rsid w:val="2B2A1C67"/>
    <w:rsid w:val="2B2F6A18"/>
    <w:rsid w:val="2B365FF8"/>
    <w:rsid w:val="2B3A531B"/>
    <w:rsid w:val="2B431A5A"/>
    <w:rsid w:val="2B447161"/>
    <w:rsid w:val="2B457FE9"/>
    <w:rsid w:val="2B483D44"/>
    <w:rsid w:val="2B552BDC"/>
    <w:rsid w:val="2B766E03"/>
    <w:rsid w:val="2B814238"/>
    <w:rsid w:val="2B834F5F"/>
    <w:rsid w:val="2B8E1625"/>
    <w:rsid w:val="2B8F395A"/>
    <w:rsid w:val="2BA41A4C"/>
    <w:rsid w:val="2BAD66FB"/>
    <w:rsid w:val="2BC67260"/>
    <w:rsid w:val="2BDC4ABF"/>
    <w:rsid w:val="2BDF3F0E"/>
    <w:rsid w:val="2BF612E4"/>
    <w:rsid w:val="2BFC6415"/>
    <w:rsid w:val="2C002570"/>
    <w:rsid w:val="2C0A4D8F"/>
    <w:rsid w:val="2C131E96"/>
    <w:rsid w:val="2C1F083A"/>
    <w:rsid w:val="2C212804"/>
    <w:rsid w:val="2C271DE5"/>
    <w:rsid w:val="2C287932"/>
    <w:rsid w:val="2C3342E6"/>
    <w:rsid w:val="2C47098C"/>
    <w:rsid w:val="2C491D5B"/>
    <w:rsid w:val="2C695F59"/>
    <w:rsid w:val="2C6B12E3"/>
    <w:rsid w:val="2C755127"/>
    <w:rsid w:val="2C78619D"/>
    <w:rsid w:val="2C9B4422"/>
    <w:rsid w:val="2CAB6572"/>
    <w:rsid w:val="2CD520DA"/>
    <w:rsid w:val="2D193C99"/>
    <w:rsid w:val="2D214A86"/>
    <w:rsid w:val="2D2D25FE"/>
    <w:rsid w:val="2D393B7E"/>
    <w:rsid w:val="2D3E3216"/>
    <w:rsid w:val="2D4A7B39"/>
    <w:rsid w:val="2D5E1E66"/>
    <w:rsid w:val="2D6949AB"/>
    <w:rsid w:val="2D722E96"/>
    <w:rsid w:val="2D937732"/>
    <w:rsid w:val="2DA2379A"/>
    <w:rsid w:val="2DA52174"/>
    <w:rsid w:val="2DAC1F58"/>
    <w:rsid w:val="2DB66F7C"/>
    <w:rsid w:val="2DCA0C7A"/>
    <w:rsid w:val="2DD83397"/>
    <w:rsid w:val="2DDB3709"/>
    <w:rsid w:val="2DE147A0"/>
    <w:rsid w:val="2DF31F7F"/>
    <w:rsid w:val="2DF41B83"/>
    <w:rsid w:val="2DF45CF7"/>
    <w:rsid w:val="2DF852DB"/>
    <w:rsid w:val="2E221380"/>
    <w:rsid w:val="2E350EB1"/>
    <w:rsid w:val="2E3D31FA"/>
    <w:rsid w:val="2E485486"/>
    <w:rsid w:val="2E516CA5"/>
    <w:rsid w:val="2E5E50BC"/>
    <w:rsid w:val="2E737B77"/>
    <w:rsid w:val="2E756E38"/>
    <w:rsid w:val="2E781BDD"/>
    <w:rsid w:val="2E8F3DCE"/>
    <w:rsid w:val="2E9F1B81"/>
    <w:rsid w:val="2EA92D81"/>
    <w:rsid w:val="2EA95F61"/>
    <w:rsid w:val="2EBD3586"/>
    <w:rsid w:val="2ED36A75"/>
    <w:rsid w:val="2EDC2C37"/>
    <w:rsid w:val="2EDE49DD"/>
    <w:rsid w:val="2EE04EF4"/>
    <w:rsid w:val="2EE97A93"/>
    <w:rsid w:val="2F137F56"/>
    <w:rsid w:val="2F192DA2"/>
    <w:rsid w:val="2F2859BB"/>
    <w:rsid w:val="2F2A5C90"/>
    <w:rsid w:val="2F4A2072"/>
    <w:rsid w:val="2F551599"/>
    <w:rsid w:val="2F6C326A"/>
    <w:rsid w:val="2F764F97"/>
    <w:rsid w:val="2F823EB2"/>
    <w:rsid w:val="2FA33530"/>
    <w:rsid w:val="2FAF1ED5"/>
    <w:rsid w:val="2FB15C39"/>
    <w:rsid w:val="2FBF4B99"/>
    <w:rsid w:val="2FC811E9"/>
    <w:rsid w:val="2FEC4ED7"/>
    <w:rsid w:val="30063EE1"/>
    <w:rsid w:val="300C557A"/>
    <w:rsid w:val="300F506A"/>
    <w:rsid w:val="30226B4B"/>
    <w:rsid w:val="30281B67"/>
    <w:rsid w:val="302835A5"/>
    <w:rsid w:val="3029612C"/>
    <w:rsid w:val="302C3F5B"/>
    <w:rsid w:val="30456A53"/>
    <w:rsid w:val="30587DBD"/>
    <w:rsid w:val="305C6868"/>
    <w:rsid w:val="30664386"/>
    <w:rsid w:val="306C426A"/>
    <w:rsid w:val="306E3B3E"/>
    <w:rsid w:val="30742179"/>
    <w:rsid w:val="307A0735"/>
    <w:rsid w:val="307C289A"/>
    <w:rsid w:val="307F3F9D"/>
    <w:rsid w:val="309061AB"/>
    <w:rsid w:val="309B210D"/>
    <w:rsid w:val="309F1F4A"/>
    <w:rsid w:val="30A9726C"/>
    <w:rsid w:val="30B71989"/>
    <w:rsid w:val="30B8125D"/>
    <w:rsid w:val="30CF3E65"/>
    <w:rsid w:val="30E6401D"/>
    <w:rsid w:val="30EA17A6"/>
    <w:rsid w:val="30ED1751"/>
    <w:rsid w:val="30ED2B93"/>
    <w:rsid w:val="30F57DBC"/>
    <w:rsid w:val="30F73B34"/>
    <w:rsid w:val="31126ABD"/>
    <w:rsid w:val="31181CFC"/>
    <w:rsid w:val="311E0DAC"/>
    <w:rsid w:val="312545DC"/>
    <w:rsid w:val="315272F2"/>
    <w:rsid w:val="315A2F0D"/>
    <w:rsid w:val="315C398E"/>
    <w:rsid w:val="315F792B"/>
    <w:rsid w:val="31642300"/>
    <w:rsid w:val="31796C3F"/>
    <w:rsid w:val="317E6003"/>
    <w:rsid w:val="31837ABD"/>
    <w:rsid w:val="31873769"/>
    <w:rsid w:val="31945827"/>
    <w:rsid w:val="3199316A"/>
    <w:rsid w:val="319A6200"/>
    <w:rsid w:val="31A126F3"/>
    <w:rsid w:val="31A249C6"/>
    <w:rsid w:val="31AF7AB0"/>
    <w:rsid w:val="31B71515"/>
    <w:rsid w:val="31C26A70"/>
    <w:rsid w:val="31C674EE"/>
    <w:rsid w:val="31C935DF"/>
    <w:rsid w:val="31D871B1"/>
    <w:rsid w:val="31DA34FE"/>
    <w:rsid w:val="31DD5420"/>
    <w:rsid w:val="31E04995"/>
    <w:rsid w:val="31E3055C"/>
    <w:rsid w:val="31E56082"/>
    <w:rsid w:val="31F42769"/>
    <w:rsid w:val="31F9440D"/>
    <w:rsid w:val="32025E59"/>
    <w:rsid w:val="320C675D"/>
    <w:rsid w:val="322A38C2"/>
    <w:rsid w:val="323112C7"/>
    <w:rsid w:val="323701D4"/>
    <w:rsid w:val="324234D5"/>
    <w:rsid w:val="325129E7"/>
    <w:rsid w:val="32547FF2"/>
    <w:rsid w:val="325B00F2"/>
    <w:rsid w:val="328B299C"/>
    <w:rsid w:val="32933D30"/>
    <w:rsid w:val="32982486"/>
    <w:rsid w:val="32A33B61"/>
    <w:rsid w:val="32A47CEB"/>
    <w:rsid w:val="32A66E34"/>
    <w:rsid w:val="32B240EB"/>
    <w:rsid w:val="32B42E64"/>
    <w:rsid w:val="32B67A1F"/>
    <w:rsid w:val="32DD4FAB"/>
    <w:rsid w:val="33036385"/>
    <w:rsid w:val="33235693"/>
    <w:rsid w:val="33306BD6"/>
    <w:rsid w:val="33401EE2"/>
    <w:rsid w:val="3360723D"/>
    <w:rsid w:val="336456CD"/>
    <w:rsid w:val="336A4DB2"/>
    <w:rsid w:val="336B30A3"/>
    <w:rsid w:val="33745910"/>
    <w:rsid w:val="337F42B4"/>
    <w:rsid w:val="338C4089"/>
    <w:rsid w:val="339A4C4A"/>
    <w:rsid w:val="339C09C3"/>
    <w:rsid w:val="33D939C5"/>
    <w:rsid w:val="33DF2D6C"/>
    <w:rsid w:val="33E67E90"/>
    <w:rsid w:val="33E840E7"/>
    <w:rsid w:val="33EB36F8"/>
    <w:rsid w:val="33FC76B3"/>
    <w:rsid w:val="34050C5E"/>
    <w:rsid w:val="340B78F6"/>
    <w:rsid w:val="341E587B"/>
    <w:rsid w:val="34511DF7"/>
    <w:rsid w:val="3459273C"/>
    <w:rsid w:val="34594B05"/>
    <w:rsid w:val="34610249"/>
    <w:rsid w:val="34664261"/>
    <w:rsid w:val="346A286F"/>
    <w:rsid w:val="34873339"/>
    <w:rsid w:val="3491604D"/>
    <w:rsid w:val="34963664"/>
    <w:rsid w:val="34974E37"/>
    <w:rsid w:val="34A51B2B"/>
    <w:rsid w:val="34B166F0"/>
    <w:rsid w:val="34B2310F"/>
    <w:rsid w:val="34BB56EC"/>
    <w:rsid w:val="34BB681E"/>
    <w:rsid w:val="34C44675"/>
    <w:rsid w:val="34CF35D9"/>
    <w:rsid w:val="34D643A8"/>
    <w:rsid w:val="350D601C"/>
    <w:rsid w:val="352B0250"/>
    <w:rsid w:val="35352E7D"/>
    <w:rsid w:val="35521C81"/>
    <w:rsid w:val="35527E1C"/>
    <w:rsid w:val="355758DE"/>
    <w:rsid w:val="355C2C2D"/>
    <w:rsid w:val="356F3CBC"/>
    <w:rsid w:val="35A931C6"/>
    <w:rsid w:val="35D24B6F"/>
    <w:rsid w:val="35D31A3C"/>
    <w:rsid w:val="35E45EC4"/>
    <w:rsid w:val="35E55944"/>
    <w:rsid w:val="35E87EEF"/>
    <w:rsid w:val="35EF5040"/>
    <w:rsid w:val="35FA7C22"/>
    <w:rsid w:val="360D204B"/>
    <w:rsid w:val="360E0429"/>
    <w:rsid w:val="360F7B72"/>
    <w:rsid w:val="36213401"/>
    <w:rsid w:val="36356EAC"/>
    <w:rsid w:val="36433BB5"/>
    <w:rsid w:val="364F7F6E"/>
    <w:rsid w:val="36603F29"/>
    <w:rsid w:val="367D28AE"/>
    <w:rsid w:val="367F4CF7"/>
    <w:rsid w:val="369E4A52"/>
    <w:rsid w:val="36BF3346"/>
    <w:rsid w:val="36E2187F"/>
    <w:rsid w:val="36E55504"/>
    <w:rsid w:val="36EE7B6C"/>
    <w:rsid w:val="370F5D0D"/>
    <w:rsid w:val="370F5DB1"/>
    <w:rsid w:val="37120011"/>
    <w:rsid w:val="371615F3"/>
    <w:rsid w:val="371A67CE"/>
    <w:rsid w:val="37206D95"/>
    <w:rsid w:val="37373880"/>
    <w:rsid w:val="37387421"/>
    <w:rsid w:val="374142AD"/>
    <w:rsid w:val="3748030C"/>
    <w:rsid w:val="37590935"/>
    <w:rsid w:val="376F42E9"/>
    <w:rsid w:val="37780630"/>
    <w:rsid w:val="3786692C"/>
    <w:rsid w:val="378A352C"/>
    <w:rsid w:val="378C0316"/>
    <w:rsid w:val="378E3F01"/>
    <w:rsid w:val="37931D11"/>
    <w:rsid w:val="37934AC1"/>
    <w:rsid w:val="37A05773"/>
    <w:rsid w:val="37B96298"/>
    <w:rsid w:val="37BA53C4"/>
    <w:rsid w:val="37BF7375"/>
    <w:rsid w:val="37C24A54"/>
    <w:rsid w:val="37C47469"/>
    <w:rsid w:val="37C62556"/>
    <w:rsid w:val="37C90785"/>
    <w:rsid w:val="37D0253A"/>
    <w:rsid w:val="37D61448"/>
    <w:rsid w:val="37DC76D7"/>
    <w:rsid w:val="380B6117"/>
    <w:rsid w:val="381A63F2"/>
    <w:rsid w:val="382516C5"/>
    <w:rsid w:val="38252EF0"/>
    <w:rsid w:val="38481054"/>
    <w:rsid w:val="38521F98"/>
    <w:rsid w:val="387269F1"/>
    <w:rsid w:val="387D686F"/>
    <w:rsid w:val="38827A57"/>
    <w:rsid w:val="388C7258"/>
    <w:rsid w:val="38B07AE4"/>
    <w:rsid w:val="38C70290"/>
    <w:rsid w:val="38D676C9"/>
    <w:rsid w:val="38DA3195"/>
    <w:rsid w:val="38E30EE3"/>
    <w:rsid w:val="38EF4739"/>
    <w:rsid w:val="38F2729F"/>
    <w:rsid w:val="39010928"/>
    <w:rsid w:val="39025C9D"/>
    <w:rsid w:val="390C5008"/>
    <w:rsid w:val="391A4B2B"/>
    <w:rsid w:val="392240E1"/>
    <w:rsid w:val="39300492"/>
    <w:rsid w:val="393879C1"/>
    <w:rsid w:val="3949339B"/>
    <w:rsid w:val="394C3839"/>
    <w:rsid w:val="39551D3F"/>
    <w:rsid w:val="395C1320"/>
    <w:rsid w:val="395C1674"/>
    <w:rsid w:val="39661562"/>
    <w:rsid w:val="396C26B6"/>
    <w:rsid w:val="397B064F"/>
    <w:rsid w:val="399F2FBB"/>
    <w:rsid w:val="39B10F55"/>
    <w:rsid w:val="39B60850"/>
    <w:rsid w:val="39CB3D75"/>
    <w:rsid w:val="39DC59D8"/>
    <w:rsid w:val="39DF1625"/>
    <w:rsid w:val="39F00CB4"/>
    <w:rsid w:val="39FB3881"/>
    <w:rsid w:val="39FC3546"/>
    <w:rsid w:val="39FE4185"/>
    <w:rsid w:val="39FF62DB"/>
    <w:rsid w:val="3A0B14F7"/>
    <w:rsid w:val="3A0C422A"/>
    <w:rsid w:val="3A0D03B7"/>
    <w:rsid w:val="3A0D389E"/>
    <w:rsid w:val="3A0E1554"/>
    <w:rsid w:val="3A183191"/>
    <w:rsid w:val="3A1C41CD"/>
    <w:rsid w:val="3A1F234D"/>
    <w:rsid w:val="3A30530C"/>
    <w:rsid w:val="3A4673E0"/>
    <w:rsid w:val="3A557951"/>
    <w:rsid w:val="3A5E69D2"/>
    <w:rsid w:val="3A6C2245"/>
    <w:rsid w:val="3AA05D00"/>
    <w:rsid w:val="3AAB0EF3"/>
    <w:rsid w:val="3AB50103"/>
    <w:rsid w:val="3AB903F2"/>
    <w:rsid w:val="3ABD5DEE"/>
    <w:rsid w:val="3AC727C9"/>
    <w:rsid w:val="3AC75A6B"/>
    <w:rsid w:val="3ACC7DDF"/>
    <w:rsid w:val="3ADC3018"/>
    <w:rsid w:val="3AE45EC9"/>
    <w:rsid w:val="3AEA521D"/>
    <w:rsid w:val="3AEA64B7"/>
    <w:rsid w:val="3B003F2D"/>
    <w:rsid w:val="3B0C60CF"/>
    <w:rsid w:val="3B100D86"/>
    <w:rsid w:val="3B181276"/>
    <w:rsid w:val="3B191501"/>
    <w:rsid w:val="3B1C1856"/>
    <w:rsid w:val="3B1D611E"/>
    <w:rsid w:val="3B2E793F"/>
    <w:rsid w:val="3B4A1523"/>
    <w:rsid w:val="3B4F27BE"/>
    <w:rsid w:val="3B6C5C8A"/>
    <w:rsid w:val="3B730DCE"/>
    <w:rsid w:val="3B7364AD"/>
    <w:rsid w:val="3B844B5E"/>
    <w:rsid w:val="3B8B1A48"/>
    <w:rsid w:val="3B9B3E6B"/>
    <w:rsid w:val="3B9F54F4"/>
    <w:rsid w:val="3BB2490D"/>
    <w:rsid w:val="3BD26037"/>
    <w:rsid w:val="3BD34F10"/>
    <w:rsid w:val="3BDA29D0"/>
    <w:rsid w:val="3BE964F8"/>
    <w:rsid w:val="3BF515B8"/>
    <w:rsid w:val="3BFE7AFC"/>
    <w:rsid w:val="3BFF0A22"/>
    <w:rsid w:val="3C0A0F88"/>
    <w:rsid w:val="3C221C81"/>
    <w:rsid w:val="3C381705"/>
    <w:rsid w:val="3C3F5AD5"/>
    <w:rsid w:val="3C68688C"/>
    <w:rsid w:val="3C792F8B"/>
    <w:rsid w:val="3C9115B1"/>
    <w:rsid w:val="3CA40BE8"/>
    <w:rsid w:val="3CA90722"/>
    <w:rsid w:val="3CC21E55"/>
    <w:rsid w:val="3CC53D9E"/>
    <w:rsid w:val="3CC66AB0"/>
    <w:rsid w:val="3CC83191"/>
    <w:rsid w:val="3CC92BAC"/>
    <w:rsid w:val="3CCE58A2"/>
    <w:rsid w:val="3CCE6FE3"/>
    <w:rsid w:val="3CD020A8"/>
    <w:rsid w:val="3CD226DE"/>
    <w:rsid w:val="3CD35C82"/>
    <w:rsid w:val="3CDA236A"/>
    <w:rsid w:val="3CF03B2D"/>
    <w:rsid w:val="3CF1267B"/>
    <w:rsid w:val="3CF96E86"/>
    <w:rsid w:val="3CFB4687"/>
    <w:rsid w:val="3CFC24D2"/>
    <w:rsid w:val="3D044CBD"/>
    <w:rsid w:val="3D08495A"/>
    <w:rsid w:val="3D2B0342"/>
    <w:rsid w:val="3D2B23E0"/>
    <w:rsid w:val="3D334208"/>
    <w:rsid w:val="3D432F0F"/>
    <w:rsid w:val="3D4E5423"/>
    <w:rsid w:val="3D562440"/>
    <w:rsid w:val="3D7C0D43"/>
    <w:rsid w:val="3D8373C7"/>
    <w:rsid w:val="3D8B4904"/>
    <w:rsid w:val="3D8D74B5"/>
    <w:rsid w:val="3D991233"/>
    <w:rsid w:val="3D9B3137"/>
    <w:rsid w:val="3D9C5F88"/>
    <w:rsid w:val="3DA6700D"/>
    <w:rsid w:val="3DAE5EC2"/>
    <w:rsid w:val="3DB039E8"/>
    <w:rsid w:val="3DB17517"/>
    <w:rsid w:val="3DB54EC7"/>
    <w:rsid w:val="3DC72AE0"/>
    <w:rsid w:val="3DE10046"/>
    <w:rsid w:val="3DE34B98"/>
    <w:rsid w:val="3DF27DB9"/>
    <w:rsid w:val="3DF5118C"/>
    <w:rsid w:val="3E043D34"/>
    <w:rsid w:val="3E137334"/>
    <w:rsid w:val="3E366647"/>
    <w:rsid w:val="3E596311"/>
    <w:rsid w:val="3E686071"/>
    <w:rsid w:val="3E6E11AD"/>
    <w:rsid w:val="3E7E5894"/>
    <w:rsid w:val="3E81566A"/>
    <w:rsid w:val="3E8D1F7B"/>
    <w:rsid w:val="3E9C5D1B"/>
    <w:rsid w:val="3EAB0654"/>
    <w:rsid w:val="3EAD617A"/>
    <w:rsid w:val="3EBD62D6"/>
    <w:rsid w:val="3EC11C25"/>
    <w:rsid w:val="3ED64D24"/>
    <w:rsid w:val="3EDC25BB"/>
    <w:rsid w:val="3EDF510F"/>
    <w:rsid w:val="3EE17BD1"/>
    <w:rsid w:val="3EE83E49"/>
    <w:rsid w:val="3EEB00E7"/>
    <w:rsid w:val="3EEC1CE4"/>
    <w:rsid w:val="3EF142B8"/>
    <w:rsid w:val="3EF71CE3"/>
    <w:rsid w:val="3F0D3F0A"/>
    <w:rsid w:val="3F1B6CCD"/>
    <w:rsid w:val="3F281EB3"/>
    <w:rsid w:val="3F32553B"/>
    <w:rsid w:val="3F3A7CA4"/>
    <w:rsid w:val="3F3B1256"/>
    <w:rsid w:val="3F3E4AD5"/>
    <w:rsid w:val="3F5E52AE"/>
    <w:rsid w:val="3F631C2F"/>
    <w:rsid w:val="3F7B3236"/>
    <w:rsid w:val="3F87243F"/>
    <w:rsid w:val="3F9833C3"/>
    <w:rsid w:val="3FA71C27"/>
    <w:rsid w:val="3FBC0BF0"/>
    <w:rsid w:val="3FE756BB"/>
    <w:rsid w:val="3FF537B9"/>
    <w:rsid w:val="3FFD0EBA"/>
    <w:rsid w:val="3FFF2A05"/>
    <w:rsid w:val="400B3BB8"/>
    <w:rsid w:val="400E49F6"/>
    <w:rsid w:val="4011275E"/>
    <w:rsid w:val="402B1A4C"/>
    <w:rsid w:val="402D2C5C"/>
    <w:rsid w:val="408B3E57"/>
    <w:rsid w:val="40A87B4D"/>
    <w:rsid w:val="40B3129A"/>
    <w:rsid w:val="40B51316"/>
    <w:rsid w:val="40B530C4"/>
    <w:rsid w:val="40B90E06"/>
    <w:rsid w:val="40C07840"/>
    <w:rsid w:val="40CE260D"/>
    <w:rsid w:val="40CF525F"/>
    <w:rsid w:val="40D80116"/>
    <w:rsid w:val="40DC4AF4"/>
    <w:rsid w:val="40E93BC0"/>
    <w:rsid w:val="40FE6F93"/>
    <w:rsid w:val="41103C3B"/>
    <w:rsid w:val="412F10C8"/>
    <w:rsid w:val="412F47E6"/>
    <w:rsid w:val="41850CE8"/>
    <w:rsid w:val="418D4040"/>
    <w:rsid w:val="419109F5"/>
    <w:rsid w:val="41994793"/>
    <w:rsid w:val="419A1097"/>
    <w:rsid w:val="419D24D5"/>
    <w:rsid w:val="41B4781F"/>
    <w:rsid w:val="41C94C3A"/>
    <w:rsid w:val="41CE4C50"/>
    <w:rsid w:val="41E02352"/>
    <w:rsid w:val="41E42CF6"/>
    <w:rsid w:val="41E5236A"/>
    <w:rsid w:val="41E76104"/>
    <w:rsid w:val="41EA240C"/>
    <w:rsid w:val="41EE4ADF"/>
    <w:rsid w:val="41F12821"/>
    <w:rsid w:val="41FA2C96"/>
    <w:rsid w:val="41FD427D"/>
    <w:rsid w:val="420004D8"/>
    <w:rsid w:val="42162288"/>
    <w:rsid w:val="42251E3E"/>
    <w:rsid w:val="42267C93"/>
    <w:rsid w:val="422E312E"/>
    <w:rsid w:val="42351C26"/>
    <w:rsid w:val="424D1378"/>
    <w:rsid w:val="424E37D0"/>
    <w:rsid w:val="42507232"/>
    <w:rsid w:val="42584344"/>
    <w:rsid w:val="425B3188"/>
    <w:rsid w:val="42664FBD"/>
    <w:rsid w:val="427A7609"/>
    <w:rsid w:val="42957651"/>
    <w:rsid w:val="42975177"/>
    <w:rsid w:val="42A33B1C"/>
    <w:rsid w:val="42AC4713"/>
    <w:rsid w:val="42B67B76"/>
    <w:rsid w:val="42CA0102"/>
    <w:rsid w:val="42D33CD5"/>
    <w:rsid w:val="42D83D47"/>
    <w:rsid w:val="42DC16BF"/>
    <w:rsid w:val="42E45EE2"/>
    <w:rsid w:val="42E53B03"/>
    <w:rsid w:val="42E87ED2"/>
    <w:rsid w:val="42ED2FE9"/>
    <w:rsid w:val="42FA6BE5"/>
    <w:rsid w:val="43063DC7"/>
    <w:rsid w:val="431805FE"/>
    <w:rsid w:val="431B5484"/>
    <w:rsid w:val="433573A9"/>
    <w:rsid w:val="43362BE2"/>
    <w:rsid w:val="4339622E"/>
    <w:rsid w:val="43476B9D"/>
    <w:rsid w:val="434D1CD9"/>
    <w:rsid w:val="434E727C"/>
    <w:rsid w:val="435B43F6"/>
    <w:rsid w:val="435D7AF7"/>
    <w:rsid w:val="43635059"/>
    <w:rsid w:val="436532AA"/>
    <w:rsid w:val="43712CDF"/>
    <w:rsid w:val="43833676"/>
    <w:rsid w:val="43836CE5"/>
    <w:rsid w:val="439B5935"/>
    <w:rsid w:val="43A044FF"/>
    <w:rsid w:val="43A44F92"/>
    <w:rsid w:val="43AE2905"/>
    <w:rsid w:val="43B458B4"/>
    <w:rsid w:val="43B6787E"/>
    <w:rsid w:val="43C32489"/>
    <w:rsid w:val="43CC2BFE"/>
    <w:rsid w:val="43D3615D"/>
    <w:rsid w:val="43D57507"/>
    <w:rsid w:val="43D9531B"/>
    <w:rsid w:val="43E50164"/>
    <w:rsid w:val="43E54170"/>
    <w:rsid w:val="43E923B7"/>
    <w:rsid w:val="44024979"/>
    <w:rsid w:val="4421006E"/>
    <w:rsid w:val="44226CC2"/>
    <w:rsid w:val="442A5B77"/>
    <w:rsid w:val="443F7115"/>
    <w:rsid w:val="44435D3A"/>
    <w:rsid w:val="44444E8A"/>
    <w:rsid w:val="44496945"/>
    <w:rsid w:val="445D2C4C"/>
    <w:rsid w:val="447334B4"/>
    <w:rsid w:val="44735795"/>
    <w:rsid w:val="4481692F"/>
    <w:rsid w:val="44896D41"/>
    <w:rsid w:val="448C05DF"/>
    <w:rsid w:val="44A45929"/>
    <w:rsid w:val="44AF6894"/>
    <w:rsid w:val="44B33DBE"/>
    <w:rsid w:val="44C50125"/>
    <w:rsid w:val="44CA4B3E"/>
    <w:rsid w:val="44CB170E"/>
    <w:rsid w:val="44CE0BF8"/>
    <w:rsid w:val="44CF4924"/>
    <w:rsid w:val="44D57096"/>
    <w:rsid w:val="44D75CFE"/>
    <w:rsid w:val="44E21A5B"/>
    <w:rsid w:val="45100B57"/>
    <w:rsid w:val="45196317"/>
    <w:rsid w:val="45345CB8"/>
    <w:rsid w:val="45352E5C"/>
    <w:rsid w:val="457D7781"/>
    <w:rsid w:val="458F24A2"/>
    <w:rsid w:val="45A57DB5"/>
    <w:rsid w:val="45AE54CB"/>
    <w:rsid w:val="45B3035E"/>
    <w:rsid w:val="45B548F0"/>
    <w:rsid w:val="45BE6EBE"/>
    <w:rsid w:val="45CF2E79"/>
    <w:rsid w:val="45D30732"/>
    <w:rsid w:val="45D71D2E"/>
    <w:rsid w:val="45D97826"/>
    <w:rsid w:val="45DC1C20"/>
    <w:rsid w:val="45F77F1F"/>
    <w:rsid w:val="4615224D"/>
    <w:rsid w:val="4647123E"/>
    <w:rsid w:val="46513F59"/>
    <w:rsid w:val="46712183"/>
    <w:rsid w:val="467E3F53"/>
    <w:rsid w:val="46807F04"/>
    <w:rsid w:val="469556B5"/>
    <w:rsid w:val="46B91EE6"/>
    <w:rsid w:val="46BD0F24"/>
    <w:rsid w:val="46BD2B0D"/>
    <w:rsid w:val="46D8457B"/>
    <w:rsid w:val="46DA7AE8"/>
    <w:rsid w:val="46E464B1"/>
    <w:rsid w:val="46F0122C"/>
    <w:rsid w:val="46F75570"/>
    <w:rsid w:val="4707219F"/>
    <w:rsid w:val="47174AD8"/>
    <w:rsid w:val="472114B3"/>
    <w:rsid w:val="472965B9"/>
    <w:rsid w:val="47372A84"/>
    <w:rsid w:val="473A6997"/>
    <w:rsid w:val="4748624D"/>
    <w:rsid w:val="474B0490"/>
    <w:rsid w:val="47637A8E"/>
    <w:rsid w:val="477A17E7"/>
    <w:rsid w:val="477B5067"/>
    <w:rsid w:val="47910CF4"/>
    <w:rsid w:val="479954ED"/>
    <w:rsid w:val="47A91A9C"/>
    <w:rsid w:val="47AB5220"/>
    <w:rsid w:val="47AB52F6"/>
    <w:rsid w:val="47B2035D"/>
    <w:rsid w:val="47B916EB"/>
    <w:rsid w:val="47B93F31"/>
    <w:rsid w:val="47C50090"/>
    <w:rsid w:val="47CB7671"/>
    <w:rsid w:val="47D263FD"/>
    <w:rsid w:val="47E729B9"/>
    <w:rsid w:val="47E81FD1"/>
    <w:rsid w:val="47F4158C"/>
    <w:rsid w:val="47F80D0E"/>
    <w:rsid w:val="47F92430"/>
    <w:rsid w:val="47F941DE"/>
    <w:rsid w:val="48030BB8"/>
    <w:rsid w:val="48041805"/>
    <w:rsid w:val="48111527"/>
    <w:rsid w:val="481132D5"/>
    <w:rsid w:val="481C3988"/>
    <w:rsid w:val="482E588F"/>
    <w:rsid w:val="483B2A48"/>
    <w:rsid w:val="483B65A4"/>
    <w:rsid w:val="48482A6F"/>
    <w:rsid w:val="484F3135"/>
    <w:rsid w:val="485A1120"/>
    <w:rsid w:val="48731725"/>
    <w:rsid w:val="48743864"/>
    <w:rsid w:val="487B4BF3"/>
    <w:rsid w:val="488F0C66"/>
    <w:rsid w:val="48916F5A"/>
    <w:rsid w:val="48961A2D"/>
    <w:rsid w:val="48967C7F"/>
    <w:rsid w:val="48B53108"/>
    <w:rsid w:val="48C20A74"/>
    <w:rsid w:val="48CC36A0"/>
    <w:rsid w:val="48E72A05"/>
    <w:rsid w:val="490746D8"/>
    <w:rsid w:val="490B67D7"/>
    <w:rsid w:val="4911265C"/>
    <w:rsid w:val="49151081"/>
    <w:rsid w:val="491F1A22"/>
    <w:rsid w:val="49247038"/>
    <w:rsid w:val="49296D45"/>
    <w:rsid w:val="492B486B"/>
    <w:rsid w:val="492B62DA"/>
    <w:rsid w:val="493858B0"/>
    <w:rsid w:val="49463453"/>
    <w:rsid w:val="494C2319"/>
    <w:rsid w:val="49601D37"/>
    <w:rsid w:val="496647B0"/>
    <w:rsid w:val="49695393"/>
    <w:rsid w:val="49744582"/>
    <w:rsid w:val="4977360C"/>
    <w:rsid w:val="49886E4D"/>
    <w:rsid w:val="498E12ED"/>
    <w:rsid w:val="499627A9"/>
    <w:rsid w:val="49AD702E"/>
    <w:rsid w:val="49C378A5"/>
    <w:rsid w:val="49ED77DE"/>
    <w:rsid w:val="4A062BE2"/>
    <w:rsid w:val="4A0F3AA0"/>
    <w:rsid w:val="4A17314E"/>
    <w:rsid w:val="4A317C5F"/>
    <w:rsid w:val="4A392FB7"/>
    <w:rsid w:val="4A51126D"/>
    <w:rsid w:val="4A72617A"/>
    <w:rsid w:val="4A7463D1"/>
    <w:rsid w:val="4A792FBD"/>
    <w:rsid w:val="4A7F584E"/>
    <w:rsid w:val="4A8A736F"/>
    <w:rsid w:val="4A9621B8"/>
    <w:rsid w:val="4AA20B5D"/>
    <w:rsid w:val="4ABD7744"/>
    <w:rsid w:val="4AC26B09"/>
    <w:rsid w:val="4AC2736B"/>
    <w:rsid w:val="4ACF0F07"/>
    <w:rsid w:val="4AE271AB"/>
    <w:rsid w:val="4AE751F1"/>
    <w:rsid w:val="4AE90539"/>
    <w:rsid w:val="4B027C55"/>
    <w:rsid w:val="4B052E99"/>
    <w:rsid w:val="4B201A81"/>
    <w:rsid w:val="4B2257F9"/>
    <w:rsid w:val="4B4713C3"/>
    <w:rsid w:val="4B4B3962"/>
    <w:rsid w:val="4B5856BF"/>
    <w:rsid w:val="4B5A31E5"/>
    <w:rsid w:val="4B684257"/>
    <w:rsid w:val="4B797B0F"/>
    <w:rsid w:val="4B890858"/>
    <w:rsid w:val="4B8B38A7"/>
    <w:rsid w:val="4B90639C"/>
    <w:rsid w:val="4B9F6E4A"/>
    <w:rsid w:val="4BA6642B"/>
    <w:rsid w:val="4BD81B39"/>
    <w:rsid w:val="4BDA08B9"/>
    <w:rsid w:val="4BE17463"/>
    <w:rsid w:val="4BEF1B80"/>
    <w:rsid w:val="4C0D2006"/>
    <w:rsid w:val="4C0F67E2"/>
    <w:rsid w:val="4C4C6CED"/>
    <w:rsid w:val="4C4E3957"/>
    <w:rsid w:val="4C52321B"/>
    <w:rsid w:val="4C634A0F"/>
    <w:rsid w:val="4C714C8A"/>
    <w:rsid w:val="4C762671"/>
    <w:rsid w:val="4C7B7B45"/>
    <w:rsid w:val="4C8A7D81"/>
    <w:rsid w:val="4C912C37"/>
    <w:rsid w:val="4C9921B7"/>
    <w:rsid w:val="4C9B3AB5"/>
    <w:rsid w:val="4CA07BC6"/>
    <w:rsid w:val="4CA26BF2"/>
    <w:rsid w:val="4CAD7399"/>
    <w:rsid w:val="4CB30DFF"/>
    <w:rsid w:val="4CBB5F06"/>
    <w:rsid w:val="4CD62D3F"/>
    <w:rsid w:val="4CDE5BD3"/>
    <w:rsid w:val="4CF60C26"/>
    <w:rsid w:val="4D0372FC"/>
    <w:rsid w:val="4D2B35A7"/>
    <w:rsid w:val="4D2B4E4D"/>
    <w:rsid w:val="4D343E46"/>
    <w:rsid w:val="4D3A1520"/>
    <w:rsid w:val="4D3C7046"/>
    <w:rsid w:val="4D46724C"/>
    <w:rsid w:val="4D561208"/>
    <w:rsid w:val="4D90789C"/>
    <w:rsid w:val="4DA17ECE"/>
    <w:rsid w:val="4DBE3EFF"/>
    <w:rsid w:val="4DC843A5"/>
    <w:rsid w:val="4DD23507"/>
    <w:rsid w:val="4DD67B34"/>
    <w:rsid w:val="4DEE5E67"/>
    <w:rsid w:val="4E0A60CA"/>
    <w:rsid w:val="4E151645"/>
    <w:rsid w:val="4E192B90"/>
    <w:rsid w:val="4E1B35C4"/>
    <w:rsid w:val="4E1B63C8"/>
    <w:rsid w:val="4E3917D8"/>
    <w:rsid w:val="4E4D3C1B"/>
    <w:rsid w:val="4E7572B6"/>
    <w:rsid w:val="4E764A36"/>
    <w:rsid w:val="4E922C96"/>
    <w:rsid w:val="4E9B5FEF"/>
    <w:rsid w:val="4ECC264C"/>
    <w:rsid w:val="4EE04F09"/>
    <w:rsid w:val="4F061A14"/>
    <w:rsid w:val="4F0E0F61"/>
    <w:rsid w:val="4F204746"/>
    <w:rsid w:val="4F24273B"/>
    <w:rsid w:val="4F367AC5"/>
    <w:rsid w:val="4F6317C3"/>
    <w:rsid w:val="4F65001B"/>
    <w:rsid w:val="4F6B5FB0"/>
    <w:rsid w:val="4F7A20A8"/>
    <w:rsid w:val="4F892E78"/>
    <w:rsid w:val="4F973257"/>
    <w:rsid w:val="4F995F33"/>
    <w:rsid w:val="4F9F30B6"/>
    <w:rsid w:val="4FA2361E"/>
    <w:rsid w:val="4FA3493A"/>
    <w:rsid w:val="4FB85168"/>
    <w:rsid w:val="4FC22971"/>
    <w:rsid w:val="4FC652ED"/>
    <w:rsid w:val="4FCB449C"/>
    <w:rsid w:val="4FD35314"/>
    <w:rsid w:val="4FE51CA7"/>
    <w:rsid w:val="4FE635C3"/>
    <w:rsid w:val="4FF15C31"/>
    <w:rsid w:val="50005C7E"/>
    <w:rsid w:val="501E0C85"/>
    <w:rsid w:val="50243AD5"/>
    <w:rsid w:val="502F450F"/>
    <w:rsid w:val="503334D4"/>
    <w:rsid w:val="503C0DC6"/>
    <w:rsid w:val="504718C4"/>
    <w:rsid w:val="505A77E4"/>
    <w:rsid w:val="5072026C"/>
    <w:rsid w:val="50746A1B"/>
    <w:rsid w:val="507F23E8"/>
    <w:rsid w:val="50870323"/>
    <w:rsid w:val="50A2158B"/>
    <w:rsid w:val="50A80CD7"/>
    <w:rsid w:val="50BE7D72"/>
    <w:rsid w:val="50D37CC2"/>
    <w:rsid w:val="50E56BC4"/>
    <w:rsid w:val="50F21048"/>
    <w:rsid w:val="50F45296"/>
    <w:rsid w:val="50FA5ADF"/>
    <w:rsid w:val="51053BF3"/>
    <w:rsid w:val="510A4649"/>
    <w:rsid w:val="511625FC"/>
    <w:rsid w:val="511F771D"/>
    <w:rsid w:val="51226553"/>
    <w:rsid w:val="51316796"/>
    <w:rsid w:val="5137016C"/>
    <w:rsid w:val="513B7615"/>
    <w:rsid w:val="51426BF5"/>
    <w:rsid w:val="51441B43"/>
    <w:rsid w:val="515F58CB"/>
    <w:rsid w:val="51705511"/>
    <w:rsid w:val="517465F2"/>
    <w:rsid w:val="51752349"/>
    <w:rsid w:val="517D3696"/>
    <w:rsid w:val="51804301"/>
    <w:rsid w:val="518E7DF8"/>
    <w:rsid w:val="51A42D3D"/>
    <w:rsid w:val="51A87C0F"/>
    <w:rsid w:val="51B5627D"/>
    <w:rsid w:val="51B74EB7"/>
    <w:rsid w:val="51CB2747"/>
    <w:rsid w:val="51CB78FE"/>
    <w:rsid w:val="51CD2963"/>
    <w:rsid w:val="51D07D5D"/>
    <w:rsid w:val="51E7284C"/>
    <w:rsid w:val="51ED5BF1"/>
    <w:rsid w:val="52020E9A"/>
    <w:rsid w:val="520908F3"/>
    <w:rsid w:val="521B775A"/>
    <w:rsid w:val="522E2CD6"/>
    <w:rsid w:val="524E5126"/>
    <w:rsid w:val="526801AD"/>
    <w:rsid w:val="527942A5"/>
    <w:rsid w:val="52846D9A"/>
    <w:rsid w:val="528829A3"/>
    <w:rsid w:val="528867F3"/>
    <w:rsid w:val="52A116FA"/>
    <w:rsid w:val="52AD5CF4"/>
    <w:rsid w:val="52B70F1D"/>
    <w:rsid w:val="52B72CCB"/>
    <w:rsid w:val="52C6511E"/>
    <w:rsid w:val="52D66E3F"/>
    <w:rsid w:val="52D7511B"/>
    <w:rsid w:val="52E6128B"/>
    <w:rsid w:val="52F72E2D"/>
    <w:rsid w:val="531447B9"/>
    <w:rsid w:val="53227120"/>
    <w:rsid w:val="535449BE"/>
    <w:rsid w:val="536A2433"/>
    <w:rsid w:val="537A08C9"/>
    <w:rsid w:val="538F2C99"/>
    <w:rsid w:val="53964FD7"/>
    <w:rsid w:val="53D004E8"/>
    <w:rsid w:val="53D6104A"/>
    <w:rsid w:val="53E144A4"/>
    <w:rsid w:val="53FD45F1"/>
    <w:rsid w:val="5402095A"/>
    <w:rsid w:val="54065012"/>
    <w:rsid w:val="540F6813"/>
    <w:rsid w:val="54126D2E"/>
    <w:rsid w:val="542D76E9"/>
    <w:rsid w:val="542E16B3"/>
    <w:rsid w:val="543366E2"/>
    <w:rsid w:val="543502BD"/>
    <w:rsid w:val="543A30B4"/>
    <w:rsid w:val="543F11CA"/>
    <w:rsid w:val="54434FDD"/>
    <w:rsid w:val="54551996"/>
    <w:rsid w:val="546B6463"/>
    <w:rsid w:val="54803D68"/>
    <w:rsid w:val="54945E2E"/>
    <w:rsid w:val="549C72CE"/>
    <w:rsid w:val="54A343F4"/>
    <w:rsid w:val="54A86D6F"/>
    <w:rsid w:val="54CB6F02"/>
    <w:rsid w:val="54E81862"/>
    <w:rsid w:val="54F9581D"/>
    <w:rsid w:val="55004201"/>
    <w:rsid w:val="55122D61"/>
    <w:rsid w:val="55172B69"/>
    <w:rsid w:val="55306D65"/>
    <w:rsid w:val="553920BD"/>
    <w:rsid w:val="55481935"/>
    <w:rsid w:val="555C3CBC"/>
    <w:rsid w:val="556F1F83"/>
    <w:rsid w:val="55797FBA"/>
    <w:rsid w:val="559D43FA"/>
    <w:rsid w:val="55A03EEB"/>
    <w:rsid w:val="55AB5B98"/>
    <w:rsid w:val="55B47A2A"/>
    <w:rsid w:val="55C73B6D"/>
    <w:rsid w:val="55D907AD"/>
    <w:rsid w:val="55DD2EEF"/>
    <w:rsid w:val="55E27144"/>
    <w:rsid w:val="55E847F2"/>
    <w:rsid w:val="55FF50B5"/>
    <w:rsid w:val="560C0A43"/>
    <w:rsid w:val="56100079"/>
    <w:rsid w:val="56251EE4"/>
    <w:rsid w:val="56386A7C"/>
    <w:rsid w:val="564855E0"/>
    <w:rsid w:val="564F2B09"/>
    <w:rsid w:val="56521689"/>
    <w:rsid w:val="56576C9F"/>
    <w:rsid w:val="565A7B1F"/>
    <w:rsid w:val="56627C20"/>
    <w:rsid w:val="56664956"/>
    <w:rsid w:val="56726A98"/>
    <w:rsid w:val="567315FF"/>
    <w:rsid w:val="567B46D5"/>
    <w:rsid w:val="56A11B28"/>
    <w:rsid w:val="56B85264"/>
    <w:rsid w:val="56BE70B1"/>
    <w:rsid w:val="56C54CD4"/>
    <w:rsid w:val="56E85B49"/>
    <w:rsid w:val="56F5765A"/>
    <w:rsid w:val="56FC33A3"/>
    <w:rsid w:val="56FE711B"/>
    <w:rsid w:val="570122F7"/>
    <w:rsid w:val="571B5158"/>
    <w:rsid w:val="571B6867"/>
    <w:rsid w:val="57227540"/>
    <w:rsid w:val="57392849"/>
    <w:rsid w:val="5780349A"/>
    <w:rsid w:val="57841110"/>
    <w:rsid w:val="578507C0"/>
    <w:rsid w:val="578A4E52"/>
    <w:rsid w:val="57945CD1"/>
    <w:rsid w:val="57AA0610"/>
    <w:rsid w:val="57AA104B"/>
    <w:rsid w:val="57AE0558"/>
    <w:rsid w:val="57C32112"/>
    <w:rsid w:val="57D04F5B"/>
    <w:rsid w:val="57D32355"/>
    <w:rsid w:val="58065AD5"/>
    <w:rsid w:val="580F7106"/>
    <w:rsid w:val="58111660"/>
    <w:rsid w:val="5814471C"/>
    <w:rsid w:val="581C2F61"/>
    <w:rsid w:val="5829221A"/>
    <w:rsid w:val="58297442"/>
    <w:rsid w:val="583F7715"/>
    <w:rsid w:val="584C2108"/>
    <w:rsid w:val="58501BF8"/>
    <w:rsid w:val="585267E8"/>
    <w:rsid w:val="587664FC"/>
    <w:rsid w:val="587D0513"/>
    <w:rsid w:val="587F072F"/>
    <w:rsid w:val="58831FCD"/>
    <w:rsid w:val="588A3D6A"/>
    <w:rsid w:val="5896536D"/>
    <w:rsid w:val="58A261CC"/>
    <w:rsid w:val="58B33BE7"/>
    <w:rsid w:val="58B57158"/>
    <w:rsid w:val="58B971FC"/>
    <w:rsid w:val="58BA1767"/>
    <w:rsid w:val="58D565A1"/>
    <w:rsid w:val="58D934E2"/>
    <w:rsid w:val="58DB3067"/>
    <w:rsid w:val="58E169C3"/>
    <w:rsid w:val="58E97957"/>
    <w:rsid w:val="58FC58DC"/>
    <w:rsid w:val="58FE78A6"/>
    <w:rsid w:val="591276BE"/>
    <w:rsid w:val="5929493D"/>
    <w:rsid w:val="592E21E6"/>
    <w:rsid w:val="593603E8"/>
    <w:rsid w:val="593C3F2A"/>
    <w:rsid w:val="597436C4"/>
    <w:rsid w:val="59780880"/>
    <w:rsid w:val="597B28C5"/>
    <w:rsid w:val="598002BB"/>
    <w:rsid w:val="598853C1"/>
    <w:rsid w:val="598B33A2"/>
    <w:rsid w:val="598F769E"/>
    <w:rsid w:val="59904EF5"/>
    <w:rsid w:val="599B481D"/>
    <w:rsid w:val="599C7F9A"/>
    <w:rsid w:val="59AE7815"/>
    <w:rsid w:val="59B91508"/>
    <w:rsid w:val="59D95C1D"/>
    <w:rsid w:val="59DB132F"/>
    <w:rsid w:val="59DF76D7"/>
    <w:rsid w:val="59E26347"/>
    <w:rsid w:val="59E7658C"/>
    <w:rsid w:val="5A04713E"/>
    <w:rsid w:val="5A481B21"/>
    <w:rsid w:val="5A4A2677"/>
    <w:rsid w:val="5A640F10"/>
    <w:rsid w:val="5A757CA3"/>
    <w:rsid w:val="5A8E2FFF"/>
    <w:rsid w:val="5ABD72ED"/>
    <w:rsid w:val="5ACE32A8"/>
    <w:rsid w:val="5AF54CD9"/>
    <w:rsid w:val="5B03515E"/>
    <w:rsid w:val="5B0867BA"/>
    <w:rsid w:val="5B087DD5"/>
    <w:rsid w:val="5B0B0058"/>
    <w:rsid w:val="5B150A03"/>
    <w:rsid w:val="5B174C4F"/>
    <w:rsid w:val="5B29073E"/>
    <w:rsid w:val="5B3255E5"/>
    <w:rsid w:val="5B354900"/>
    <w:rsid w:val="5B4204A3"/>
    <w:rsid w:val="5B5437AD"/>
    <w:rsid w:val="5B6138E8"/>
    <w:rsid w:val="5B7B221C"/>
    <w:rsid w:val="5B876808"/>
    <w:rsid w:val="5B8F6A94"/>
    <w:rsid w:val="5B90055D"/>
    <w:rsid w:val="5B9C6F02"/>
    <w:rsid w:val="5BB60859"/>
    <w:rsid w:val="5BD4177D"/>
    <w:rsid w:val="5BD551C2"/>
    <w:rsid w:val="5BD62414"/>
    <w:rsid w:val="5BE72873"/>
    <w:rsid w:val="5BF42115"/>
    <w:rsid w:val="5BF64864"/>
    <w:rsid w:val="5C142867"/>
    <w:rsid w:val="5C154FB0"/>
    <w:rsid w:val="5C2E6034"/>
    <w:rsid w:val="5C307177"/>
    <w:rsid w:val="5C3377FC"/>
    <w:rsid w:val="5C515F3F"/>
    <w:rsid w:val="5C6043D4"/>
    <w:rsid w:val="5C787938"/>
    <w:rsid w:val="5C8C51C9"/>
    <w:rsid w:val="5CB17754"/>
    <w:rsid w:val="5CC91F79"/>
    <w:rsid w:val="5CCF4F47"/>
    <w:rsid w:val="5D027239"/>
    <w:rsid w:val="5D096819"/>
    <w:rsid w:val="5D1F5DC9"/>
    <w:rsid w:val="5D26561D"/>
    <w:rsid w:val="5D2C288D"/>
    <w:rsid w:val="5D5A72EE"/>
    <w:rsid w:val="5D5C4B9B"/>
    <w:rsid w:val="5D5F28DD"/>
    <w:rsid w:val="5D6677C8"/>
    <w:rsid w:val="5D722BA0"/>
    <w:rsid w:val="5D8440F2"/>
    <w:rsid w:val="5D8D310D"/>
    <w:rsid w:val="5DA56542"/>
    <w:rsid w:val="5DA81501"/>
    <w:rsid w:val="5DCA1372"/>
    <w:rsid w:val="5DD155AC"/>
    <w:rsid w:val="5DE51034"/>
    <w:rsid w:val="5DEF3441"/>
    <w:rsid w:val="5DF72B16"/>
    <w:rsid w:val="5DFA7B3C"/>
    <w:rsid w:val="5DFC54C6"/>
    <w:rsid w:val="5DFE3EA4"/>
    <w:rsid w:val="5E033269"/>
    <w:rsid w:val="5E155EC7"/>
    <w:rsid w:val="5E1D07CE"/>
    <w:rsid w:val="5E244E86"/>
    <w:rsid w:val="5E2F22B0"/>
    <w:rsid w:val="5E3E4683"/>
    <w:rsid w:val="5E520B77"/>
    <w:rsid w:val="5E58012C"/>
    <w:rsid w:val="5E5B745B"/>
    <w:rsid w:val="5E604B5F"/>
    <w:rsid w:val="5E73602C"/>
    <w:rsid w:val="5E746563"/>
    <w:rsid w:val="5E783D07"/>
    <w:rsid w:val="5E800D5D"/>
    <w:rsid w:val="5E886ACB"/>
    <w:rsid w:val="5E9C7069"/>
    <w:rsid w:val="5EA44206"/>
    <w:rsid w:val="5EA54938"/>
    <w:rsid w:val="5EB17168"/>
    <w:rsid w:val="5EB804F7"/>
    <w:rsid w:val="5ED01686"/>
    <w:rsid w:val="5ED52E57"/>
    <w:rsid w:val="5EEC63F2"/>
    <w:rsid w:val="5EF14AD5"/>
    <w:rsid w:val="5EFA598A"/>
    <w:rsid w:val="5EFC725B"/>
    <w:rsid w:val="5EFD5F0A"/>
    <w:rsid w:val="5F052390"/>
    <w:rsid w:val="5F06129B"/>
    <w:rsid w:val="5F482700"/>
    <w:rsid w:val="5F5E7019"/>
    <w:rsid w:val="5F623764"/>
    <w:rsid w:val="5F7408C2"/>
    <w:rsid w:val="5F8108E9"/>
    <w:rsid w:val="5F9E4C02"/>
    <w:rsid w:val="5F9F2D75"/>
    <w:rsid w:val="5FB567E4"/>
    <w:rsid w:val="5FBC4017"/>
    <w:rsid w:val="5FD55896"/>
    <w:rsid w:val="5FE514E0"/>
    <w:rsid w:val="5FF437B1"/>
    <w:rsid w:val="5FF81B89"/>
    <w:rsid w:val="5FFF0A5C"/>
    <w:rsid w:val="6000078C"/>
    <w:rsid w:val="6013249E"/>
    <w:rsid w:val="601F5ACF"/>
    <w:rsid w:val="60201767"/>
    <w:rsid w:val="602045A6"/>
    <w:rsid w:val="602A40C1"/>
    <w:rsid w:val="602B51F2"/>
    <w:rsid w:val="604229D5"/>
    <w:rsid w:val="604A4363"/>
    <w:rsid w:val="60631B06"/>
    <w:rsid w:val="60777C56"/>
    <w:rsid w:val="607B5C80"/>
    <w:rsid w:val="608E3C25"/>
    <w:rsid w:val="60937701"/>
    <w:rsid w:val="60A710C0"/>
    <w:rsid w:val="60BB42CE"/>
    <w:rsid w:val="60BB7E2A"/>
    <w:rsid w:val="60C7120C"/>
    <w:rsid w:val="60CE7B5E"/>
    <w:rsid w:val="60CF38D6"/>
    <w:rsid w:val="60D40EEC"/>
    <w:rsid w:val="60D74D6C"/>
    <w:rsid w:val="60F06394"/>
    <w:rsid w:val="60F22306"/>
    <w:rsid w:val="60F5158E"/>
    <w:rsid w:val="6106379C"/>
    <w:rsid w:val="610F0788"/>
    <w:rsid w:val="6124530A"/>
    <w:rsid w:val="61357BDD"/>
    <w:rsid w:val="61377DF9"/>
    <w:rsid w:val="6142054C"/>
    <w:rsid w:val="6143228A"/>
    <w:rsid w:val="61447E20"/>
    <w:rsid w:val="615269E1"/>
    <w:rsid w:val="61582574"/>
    <w:rsid w:val="615B6DE0"/>
    <w:rsid w:val="61665E34"/>
    <w:rsid w:val="616C5699"/>
    <w:rsid w:val="61721986"/>
    <w:rsid w:val="61747DE2"/>
    <w:rsid w:val="618C76A3"/>
    <w:rsid w:val="61AB355C"/>
    <w:rsid w:val="61B01959"/>
    <w:rsid w:val="61D218D0"/>
    <w:rsid w:val="61D45648"/>
    <w:rsid w:val="61D84602"/>
    <w:rsid w:val="61E138C1"/>
    <w:rsid w:val="61E20F62"/>
    <w:rsid w:val="6216517A"/>
    <w:rsid w:val="62347E94"/>
    <w:rsid w:val="623520D2"/>
    <w:rsid w:val="62436329"/>
    <w:rsid w:val="625D1976"/>
    <w:rsid w:val="62697DE3"/>
    <w:rsid w:val="62917095"/>
    <w:rsid w:val="62B00EBA"/>
    <w:rsid w:val="62B32F76"/>
    <w:rsid w:val="62B34A4C"/>
    <w:rsid w:val="62BE4D1C"/>
    <w:rsid w:val="62C67E7B"/>
    <w:rsid w:val="62CF3159"/>
    <w:rsid w:val="62D84CC4"/>
    <w:rsid w:val="62DF5E56"/>
    <w:rsid w:val="62E25B42"/>
    <w:rsid w:val="62EF165B"/>
    <w:rsid w:val="63013369"/>
    <w:rsid w:val="6302525B"/>
    <w:rsid w:val="63086285"/>
    <w:rsid w:val="630A5099"/>
    <w:rsid w:val="63116428"/>
    <w:rsid w:val="6329551F"/>
    <w:rsid w:val="632D6B95"/>
    <w:rsid w:val="633A4165"/>
    <w:rsid w:val="63422A85"/>
    <w:rsid w:val="634B04AA"/>
    <w:rsid w:val="634C7460"/>
    <w:rsid w:val="635051A2"/>
    <w:rsid w:val="63733013"/>
    <w:rsid w:val="6384309D"/>
    <w:rsid w:val="63BD3EBA"/>
    <w:rsid w:val="63C06722"/>
    <w:rsid w:val="63C27722"/>
    <w:rsid w:val="63C94E27"/>
    <w:rsid w:val="63CA1A6F"/>
    <w:rsid w:val="63EB0A27"/>
    <w:rsid w:val="63FB2005"/>
    <w:rsid w:val="640E418C"/>
    <w:rsid w:val="64106ED5"/>
    <w:rsid w:val="642142BA"/>
    <w:rsid w:val="64216B3E"/>
    <w:rsid w:val="64236413"/>
    <w:rsid w:val="643101B4"/>
    <w:rsid w:val="643979E4"/>
    <w:rsid w:val="643D4406"/>
    <w:rsid w:val="6454481E"/>
    <w:rsid w:val="64772B19"/>
    <w:rsid w:val="64883414"/>
    <w:rsid w:val="648B532D"/>
    <w:rsid w:val="6497631F"/>
    <w:rsid w:val="64CC2606"/>
    <w:rsid w:val="64CD637E"/>
    <w:rsid w:val="64CF659A"/>
    <w:rsid w:val="64E81E96"/>
    <w:rsid w:val="65012E8F"/>
    <w:rsid w:val="65085608"/>
    <w:rsid w:val="650F4BE9"/>
    <w:rsid w:val="6526652F"/>
    <w:rsid w:val="6527584D"/>
    <w:rsid w:val="65293EFC"/>
    <w:rsid w:val="652C01BA"/>
    <w:rsid w:val="652F0DE7"/>
    <w:rsid w:val="65310536"/>
    <w:rsid w:val="65372FD8"/>
    <w:rsid w:val="656942F9"/>
    <w:rsid w:val="656C3255"/>
    <w:rsid w:val="658E1770"/>
    <w:rsid w:val="658E4C66"/>
    <w:rsid w:val="65967861"/>
    <w:rsid w:val="659E23D6"/>
    <w:rsid w:val="65AD450C"/>
    <w:rsid w:val="65C07C91"/>
    <w:rsid w:val="65CA45AC"/>
    <w:rsid w:val="65CF695E"/>
    <w:rsid w:val="65DE5C5E"/>
    <w:rsid w:val="65DF788F"/>
    <w:rsid w:val="65E872EC"/>
    <w:rsid w:val="65EA1F91"/>
    <w:rsid w:val="65EE2A50"/>
    <w:rsid w:val="65FF2E76"/>
    <w:rsid w:val="660233D6"/>
    <w:rsid w:val="66170676"/>
    <w:rsid w:val="662841B4"/>
    <w:rsid w:val="662B0C58"/>
    <w:rsid w:val="662F3FFE"/>
    <w:rsid w:val="6634276C"/>
    <w:rsid w:val="663F6AE4"/>
    <w:rsid w:val="664C20C4"/>
    <w:rsid w:val="66523CE7"/>
    <w:rsid w:val="66780355"/>
    <w:rsid w:val="667E3B26"/>
    <w:rsid w:val="66871EA3"/>
    <w:rsid w:val="668B64F1"/>
    <w:rsid w:val="668D2F76"/>
    <w:rsid w:val="669D111B"/>
    <w:rsid w:val="66A9361C"/>
    <w:rsid w:val="66BC3E0D"/>
    <w:rsid w:val="66C51A03"/>
    <w:rsid w:val="66D24457"/>
    <w:rsid w:val="66EC6F90"/>
    <w:rsid w:val="66EF082E"/>
    <w:rsid w:val="66FD2667"/>
    <w:rsid w:val="67002A3B"/>
    <w:rsid w:val="67024795"/>
    <w:rsid w:val="67332E10"/>
    <w:rsid w:val="67432FA1"/>
    <w:rsid w:val="674548F2"/>
    <w:rsid w:val="675F4C1F"/>
    <w:rsid w:val="6764712C"/>
    <w:rsid w:val="676A3918"/>
    <w:rsid w:val="678E06F0"/>
    <w:rsid w:val="67915D89"/>
    <w:rsid w:val="679663D1"/>
    <w:rsid w:val="67A64AC5"/>
    <w:rsid w:val="67A663D1"/>
    <w:rsid w:val="67D53EC8"/>
    <w:rsid w:val="67E10ABE"/>
    <w:rsid w:val="67E4235D"/>
    <w:rsid w:val="681A18DB"/>
    <w:rsid w:val="681E4062"/>
    <w:rsid w:val="68354966"/>
    <w:rsid w:val="684520B7"/>
    <w:rsid w:val="6845216B"/>
    <w:rsid w:val="6845417E"/>
    <w:rsid w:val="684A3125"/>
    <w:rsid w:val="68541290"/>
    <w:rsid w:val="68640337"/>
    <w:rsid w:val="6864524C"/>
    <w:rsid w:val="686A09E3"/>
    <w:rsid w:val="687834B4"/>
    <w:rsid w:val="687E00BB"/>
    <w:rsid w:val="68924132"/>
    <w:rsid w:val="68A4505F"/>
    <w:rsid w:val="68A723FF"/>
    <w:rsid w:val="68AA4E91"/>
    <w:rsid w:val="68BB19A5"/>
    <w:rsid w:val="68D8234A"/>
    <w:rsid w:val="68F77E6E"/>
    <w:rsid w:val="68FE0B80"/>
    <w:rsid w:val="690C715D"/>
    <w:rsid w:val="69324368"/>
    <w:rsid w:val="695E1C9B"/>
    <w:rsid w:val="6978335F"/>
    <w:rsid w:val="697C741E"/>
    <w:rsid w:val="69872FA0"/>
    <w:rsid w:val="69883508"/>
    <w:rsid w:val="69B4065B"/>
    <w:rsid w:val="69EB49EF"/>
    <w:rsid w:val="69F543AD"/>
    <w:rsid w:val="6A0348C0"/>
    <w:rsid w:val="6A0561E6"/>
    <w:rsid w:val="6A0B3BD1"/>
    <w:rsid w:val="6A0E3484"/>
    <w:rsid w:val="6A1F52A8"/>
    <w:rsid w:val="6A2B4DE4"/>
    <w:rsid w:val="6A411CF3"/>
    <w:rsid w:val="6A525B54"/>
    <w:rsid w:val="6A554E4C"/>
    <w:rsid w:val="6A5634DD"/>
    <w:rsid w:val="6A5C61DA"/>
    <w:rsid w:val="6A6D29EA"/>
    <w:rsid w:val="6A6D4CC9"/>
    <w:rsid w:val="6A6D66A9"/>
    <w:rsid w:val="6A7D0229"/>
    <w:rsid w:val="6A8C3AEA"/>
    <w:rsid w:val="6A923047"/>
    <w:rsid w:val="6A931074"/>
    <w:rsid w:val="6A9C6F1F"/>
    <w:rsid w:val="6AC83870"/>
    <w:rsid w:val="6ADE79A4"/>
    <w:rsid w:val="6AF05745"/>
    <w:rsid w:val="6B0A5709"/>
    <w:rsid w:val="6B0D04D9"/>
    <w:rsid w:val="6B20463D"/>
    <w:rsid w:val="6B2A62D8"/>
    <w:rsid w:val="6B3E3B32"/>
    <w:rsid w:val="6B420E6A"/>
    <w:rsid w:val="6B452600"/>
    <w:rsid w:val="6B5A7BC6"/>
    <w:rsid w:val="6B64510C"/>
    <w:rsid w:val="6B68067C"/>
    <w:rsid w:val="6B6A52A7"/>
    <w:rsid w:val="6B7262E7"/>
    <w:rsid w:val="6B7632CC"/>
    <w:rsid w:val="6B7E1C3B"/>
    <w:rsid w:val="6B9A6652"/>
    <w:rsid w:val="6B9B255F"/>
    <w:rsid w:val="6B9B7D99"/>
    <w:rsid w:val="6BA93BCD"/>
    <w:rsid w:val="6BB23283"/>
    <w:rsid w:val="6BB6110A"/>
    <w:rsid w:val="6BD33444"/>
    <w:rsid w:val="6BD95116"/>
    <w:rsid w:val="6BF83725"/>
    <w:rsid w:val="6BFD0A30"/>
    <w:rsid w:val="6C283EAB"/>
    <w:rsid w:val="6C30278D"/>
    <w:rsid w:val="6C44301A"/>
    <w:rsid w:val="6C472A06"/>
    <w:rsid w:val="6C4C227F"/>
    <w:rsid w:val="6C7A3290"/>
    <w:rsid w:val="6C7D5A44"/>
    <w:rsid w:val="6C82448F"/>
    <w:rsid w:val="6C865790"/>
    <w:rsid w:val="6C90660F"/>
    <w:rsid w:val="6C93778B"/>
    <w:rsid w:val="6CA200F0"/>
    <w:rsid w:val="6CB120C5"/>
    <w:rsid w:val="6CB57E24"/>
    <w:rsid w:val="6CBA2CA5"/>
    <w:rsid w:val="6CD56718"/>
    <w:rsid w:val="6CEF35E6"/>
    <w:rsid w:val="6D0D7B32"/>
    <w:rsid w:val="6D144A3B"/>
    <w:rsid w:val="6D273402"/>
    <w:rsid w:val="6D276BA7"/>
    <w:rsid w:val="6D2C2D1C"/>
    <w:rsid w:val="6D550ED5"/>
    <w:rsid w:val="6D5B09CB"/>
    <w:rsid w:val="6D5B6E2D"/>
    <w:rsid w:val="6D6C477F"/>
    <w:rsid w:val="6D721C26"/>
    <w:rsid w:val="6D730F9E"/>
    <w:rsid w:val="6D74197E"/>
    <w:rsid w:val="6D7C6B93"/>
    <w:rsid w:val="6D9B1AE6"/>
    <w:rsid w:val="6D9C0FE4"/>
    <w:rsid w:val="6DBC51E2"/>
    <w:rsid w:val="6DC05B50"/>
    <w:rsid w:val="6DD160FD"/>
    <w:rsid w:val="6DD4764A"/>
    <w:rsid w:val="6DDE7A33"/>
    <w:rsid w:val="6DDE7DCD"/>
    <w:rsid w:val="6DDF6C4C"/>
    <w:rsid w:val="6DE501CF"/>
    <w:rsid w:val="6DFB3F5C"/>
    <w:rsid w:val="6E1374F8"/>
    <w:rsid w:val="6E211B37"/>
    <w:rsid w:val="6E414065"/>
    <w:rsid w:val="6E454862"/>
    <w:rsid w:val="6E4A38D7"/>
    <w:rsid w:val="6E517793"/>
    <w:rsid w:val="6E783BC2"/>
    <w:rsid w:val="6E946A7C"/>
    <w:rsid w:val="6E9F0F98"/>
    <w:rsid w:val="6EB52283"/>
    <w:rsid w:val="6EB8662B"/>
    <w:rsid w:val="6EC60009"/>
    <w:rsid w:val="6ECA1584"/>
    <w:rsid w:val="6ED749C9"/>
    <w:rsid w:val="6EDD3662"/>
    <w:rsid w:val="6EE40E94"/>
    <w:rsid w:val="6EE449F0"/>
    <w:rsid w:val="6EE80984"/>
    <w:rsid w:val="6EF03395"/>
    <w:rsid w:val="6EF96336"/>
    <w:rsid w:val="6F0A08FB"/>
    <w:rsid w:val="6F1A00DF"/>
    <w:rsid w:val="6F215C44"/>
    <w:rsid w:val="6F280D81"/>
    <w:rsid w:val="6F2A5439"/>
    <w:rsid w:val="6F2F65B3"/>
    <w:rsid w:val="6F3431BE"/>
    <w:rsid w:val="6F3E2352"/>
    <w:rsid w:val="6F415567"/>
    <w:rsid w:val="6F5673DF"/>
    <w:rsid w:val="6F72024E"/>
    <w:rsid w:val="6F770908"/>
    <w:rsid w:val="6F7A74E5"/>
    <w:rsid w:val="6F861085"/>
    <w:rsid w:val="6F8F1E48"/>
    <w:rsid w:val="6F9945D8"/>
    <w:rsid w:val="6F9E54E7"/>
    <w:rsid w:val="6FA60AE1"/>
    <w:rsid w:val="6FA75122"/>
    <w:rsid w:val="6FB0356D"/>
    <w:rsid w:val="6FC543CE"/>
    <w:rsid w:val="6FC95C27"/>
    <w:rsid w:val="6FCE7B7A"/>
    <w:rsid w:val="6FD809F9"/>
    <w:rsid w:val="6FD8131E"/>
    <w:rsid w:val="6FE11EB6"/>
    <w:rsid w:val="6FF033BA"/>
    <w:rsid w:val="700669DE"/>
    <w:rsid w:val="700C41FF"/>
    <w:rsid w:val="70231548"/>
    <w:rsid w:val="702376E0"/>
    <w:rsid w:val="702C2AF3"/>
    <w:rsid w:val="70473489"/>
    <w:rsid w:val="705D2CAC"/>
    <w:rsid w:val="705D7E9A"/>
    <w:rsid w:val="706957DA"/>
    <w:rsid w:val="706E310B"/>
    <w:rsid w:val="706F443E"/>
    <w:rsid w:val="7085135F"/>
    <w:rsid w:val="708E10B8"/>
    <w:rsid w:val="709C56F0"/>
    <w:rsid w:val="709D754D"/>
    <w:rsid w:val="70A26911"/>
    <w:rsid w:val="70AC5DF4"/>
    <w:rsid w:val="70AC73C6"/>
    <w:rsid w:val="70BA1505"/>
    <w:rsid w:val="70CA3156"/>
    <w:rsid w:val="70CD6499"/>
    <w:rsid w:val="70DA691A"/>
    <w:rsid w:val="70E3033B"/>
    <w:rsid w:val="70E355E0"/>
    <w:rsid w:val="70F27898"/>
    <w:rsid w:val="710650F2"/>
    <w:rsid w:val="711F0DBC"/>
    <w:rsid w:val="712612F0"/>
    <w:rsid w:val="7130414E"/>
    <w:rsid w:val="71325C58"/>
    <w:rsid w:val="7155778A"/>
    <w:rsid w:val="716408C7"/>
    <w:rsid w:val="71683CEA"/>
    <w:rsid w:val="717604C9"/>
    <w:rsid w:val="717770BE"/>
    <w:rsid w:val="71810C1C"/>
    <w:rsid w:val="718A5D23"/>
    <w:rsid w:val="718E5293"/>
    <w:rsid w:val="719C7DEC"/>
    <w:rsid w:val="71AA1F21"/>
    <w:rsid w:val="71B66530"/>
    <w:rsid w:val="71C056F2"/>
    <w:rsid w:val="71D13952"/>
    <w:rsid w:val="71D670BC"/>
    <w:rsid w:val="71F563BB"/>
    <w:rsid w:val="71F87130"/>
    <w:rsid w:val="720355A3"/>
    <w:rsid w:val="720E039D"/>
    <w:rsid w:val="721E176B"/>
    <w:rsid w:val="7231619E"/>
    <w:rsid w:val="724812EE"/>
    <w:rsid w:val="724A24DB"/>
    <w:rsid w:val="725105EF"/>
    <w:rsid w:val="72591224"/>
    <w:rsid w:val="725E3F36"/>
    <w:rsid w:val="725F483B"/>
    <w:rsid w:val="72640322"/>
    <w:rsid w:val="72640B40"/>
    <w:rsid w:val="726B3547"/>
    <w:rsid w:val="726D3460"/>
    <w:rsid w:val="726E11A1"/>
    <w:rsid w:val="72822E9E"/>
    <w:rsid w:val="728E413E"/>
    <w:rsid w:val="729F331A"/>
    <w:rsid w:val="72B26B75"/>
    <w:rsid w:val="72C62809"/>
    <w:rsid w:val="72D134DE"/>
    <w:rsid w:val="72D7130B"/>
    <w:rsid w:val="72E72D01"/>
    <w:rsid w:val="72F223EB"/>
    <w:rsid w:val="72F3202A"/>
    <w:rsid w:val="72F736F8"/>
    <w:rsid w:val="730074EB"/>
    <w:rsid w:val="73027B3B"/>
    <w:rsid w:val="731E2008"/>
    <w:rsid w:val="731F024D"/>
    <w:rsid w:val="732C6966"/>
    <w:rsid w:val="73351CBE"/>
    <w:rsid w:val="733C69A4"/>
    <w:rsid w:val="733D5272"/>
    <w:rsid w:val="734E2D80"/>
    <w:rsid w:val="73661E78"/>
    <w:rsid w:val="7369056E"/>
    <w:rsid w:val="736B2FE5"/>
    <w:rsid w:val="73720D18"/>
    <w:rsid w:val="738E13CF"/>
    <w:rsid w:val="73970283"/>
    <w:rsid w:val="73B45C20"/>
    <w:rsid w:val="73BB764C"/>
    <w:rsid w:val="73D51D18"/>
    <w:rsid w:val="73D9089C"/>
    <w:rsid w:val="73EF4EDE"/>
    <w:rsid w:val="73F2195D"/>
    <w:rsid w:val="73F330FA"/>
    <w:rsid w:val="73F34358"/>
    <w:rsid w:val="73F41B79"/>
    <w:rsid w:val="73F817B4"/>
    <w:rsid w:val="74085625"/>
    <w:rsid w:val="74235FBB"/>
    <w:rsid w:val="74252A61"/>
    <w:rsid w:val="74257971"/>
    <w:rsid w:val="744D4DE6"/>
    <w:rsid w:val="74517D5F"/>
    <w:rsid w:val="74556EDA"/>
    <w:rsid w:val="74632817"/>
    <w:rsid w:val="74694510"/>
    <w:rsid w:val="7469649B"/>
    <w:rsid w:val="746A6FB8"/>
    <w:rsid w:val="746E2ABD"/>
    <w:rsid w:val="747F7695"/>
    <w:rsid w:val="74834AED"/>
    <w:rsid w:val="749926F2"/>
    <w:rsid w:val="749D7B1B"/>
    <w:rsid w:val="749F172A"/>
    <w:rsid w:val="74B07143"/>
    <w:rsid w:val="74C257D4"/>
    <w:rsid w:val="74C81F10"/>
    <w:rsid w:val="74DD29BA"/>
    <w:rsid w:val="74E31D72"/>
    <w:rsid w:val="74F00593"/>
    <w:rsid w:val="74F852E3"/>
    <w:rsid w:val="75047B9A"/>
    <w:rsid w:val="75056299"/>
    <w:rsid w:val="75183CFD"/>
    <w:rsid w:val="751D30D5"/>
    <w:rsid w:val="751F0FBA"/>
    <w:rsid w:val="7531365E"/>
    <w:rsid w:val="753F24CB"/>
    <w:rsid w:val="75485BA0"/>
    <w:rsid w:val="754F3848"/>
    <w:rsid w:val="755740DE"/>
    <w:rsid w:val="755F67E2"/>
    <w:rsid w:val="75616B62"/>
    <w:rsid w:val="756D2859"/>
    <w:rsid w:val="75834F63"/>
    <w:rsid w:val="75891776"/>
    <w:rsid w:val="75975EA9"/>
    <w:rsid w:val="759D40E8"/>
    <w:rsid w:val="75A16CA0"/>
    <w:rsid w:val="75AB270C"/>
    <w:rsid w:val="75AB4A4B"/>
    <w:rsid w:val="75B1422C"/>
    <w:rsid w:val="75B16389"/>
    <w:rsid w:val="75B62796"/>
    <w:rsid w:val="75B75C3C"/>
    <w:rsid w:val="75CA04F1"/>
    <w:rsid w:val="75E31EA6"/>
    <w:rsid w:val="75E91DA4"/>
    <w:rsid w:val="760B4F58"/>
    <w:rsid w:val="76365ED1"/>
    <w:rsid w:val="76382AD2"/>
    <w:rsid w:val="76512F72"/>
    <w:rsid w:val="765C7562"/>
    <w:rsid w:val="76607052"/>
    <w:rsid w:val="766A7ED1"/>
    <w:rsid w:val="767B20DE"/>
    <w:rsid w:val="76852E3F"/>
    <w:rsid w:val="7690083F"/>
    <w:rsid w:val="769479B8"/>
    <w:rsid w:val="76971335"/>
    <w:rsid w:val="769737B0"/>
    <w:rsid w:val="769A6A08"/>
    <w:rsid w:val="76CB538A"/>
    <w:rsid w:val="76D8308D"/>
    <w:rsid w:val="76D914DE"/>
    <w:rsid w:val="76E241A3"/>
    <w:rsid w:val="76F31920"/>
    <w:rsid w:val="7715608F"/>
    <w:rsid w:val="77185685"/>
    <w:rsid w:val="772C162A"/>
    <w:rsid w:val="77336C0B"/>
    <w:rsid w:val="7742706B"/>
    <w:rsid w:val="774921DC"/>
    <w:rsid w:val="774E4B38"/>
    <w:rsid w:val="775F730A"/>
    <w:rsid w:val="776A6350"/>
    <w:rsid w:val="776D5ECB"/>
    <w:rsid w:val="77706E23"/>
    <w:rsid w:val="77737259"/>
    <w:rsid w:val="77905715"/>
    <w:rsid w:val="77914E0D"/>
    <w:rsid w:val="77A54CBD"/>
    <w:rsid w:val="77B07919"/>
    <w:rsid w:val="77B238DE"/>
    <w:rsid w:val="77B84C6C"/>
    <w:rsid w:val="77D40B74"/>
    <w:rsid w:val="77DC24C0"/>
    <w:rsid w:val="78106856"/>
    <w:rsid w:val="781D024C"/>
    <w:rsid w:val="7821671D"/>
    <w:rsid w:val="78227C9A"/>
    <w:rsid w:val="782C2669"/>
    <w:rsid w:val="784F737E"/>
    <w:rsid w:val="78514E82"/>
    <w:rsid w:val="78670B6C"/>
    <w:rsid w:val="787216C4"/>
    <w:rsid w:val="78790104"/>
    <w:rsid w:val="78795F4D"/>
    <w:rsid w:val="78843861"/>
    <w:rsid w:val="788D0D8C"/>
    <w:rsid w:val="78905524"/>
    <w:rsid w:val="789B0816"/>
    <w:rsid w:val="78AB0423"/>
    <w:rsid w:val="78D11F8B"/>
    <w:rsid w:val="78E84C32"/>
    <w:rsid w:val="78F46560"/>
    <w:rsid w:val="78FF4DE7"/>
    <w:rsid w:val="79003977"/>
    <w:rsid w:val="790D31EA"/>
    <w:rsid w:val="79104189"/>
    <w:rsid w:val="791E260E"/>
    <w:rsid w:val="793A05E9"/>
    <w:rsid w:val="793D5A12"/>
    <w:rsid w:val="7940675C"/>
    <w:rsid w:val="79426EE3"/>
    <w:rsid w:val="79442010"/>
    <w:rsid w:val="7947274B"/>
    <w:rsid w:val="795B122E"/>
    <w:rsid w:val="795E4240"/>
    <w:rsid w:val="796C5D0E"/>
    <w:rsid w:val="7973709D"/>
    <w:rsid w:val="79803991"/>
    <w:rsid w:val="798B2638"/>
    <w:rsid w:val="79921C19"/>
    <w:rsid w:val="79945405"/>
    <w:rsid w:val="7998540E"/>
    <w:rsid w:val="79A74F98"/>
    <w:rsid w:val="79BA2F1D"/>
    <w:rsid w:val="79BF4A3B"/>
    <w:rsid w:val="79C142AC"/>
    <w:rsid w:val="79DD09BA"/>
    <w:rsid w:val="79F17337"/>
    <w:rsid w:val="79FB3A1A"/>
    <w:rsid w:val="79FC3536"/>
    <w:rsid w:val="7A0C04FD"/>
    <w:rsid w:val="7A1355D9"/>
    <w:rsid w:val="7A1C7734"/>
    <w:rsid w:val="7A230AC3"/>
    <w:rsid w:val="7A456C8B"/>
    <w:rsid w:val="7A535CD0"/>
    <w:rsid w:val="7A5759FD"/>
    <w:rsid w:val="7A5F7AEB"/>
    <w:rsid w:val="7A7430CC"/>
    <w:rsid w:val="7A804167"/>
    <w:rsid w:val="7A834F93"/>
    <w:rsid w:val="7A8F139B"/>
    <w:rsid w:val="7A91165F"/>
    <w:rsid w:val="7A9279F6"/>
    <w:rsid w:val="7A9C2623"/>
    <w:rsid w:val="7A9C4DB8"/>
    <w:rsid w:val="7AA5597C"/>
    <w:rsid w:val="7AAB0F56"/>
    <w:rsid w:val="7AAD5834"/>
    <w:rsid w:val="7AB11DEB"/>
    <w:rsid w:val="7AB24CC5"/>
    <w:rsid w:val="7AB829CC"/>
    <w:rsid w:val="7AC438A2"/>
    <w:rsid w:val="7ACA4635"/>
    <w:rsid w:val="7ACA4D77"/>
    <w:rsid w:val="7AD63D87"/>
    <w:rsid w:val="7ADB4602"/>
    <w:rsid w:val="7B010AC3"/>
    <w:rsid w:val="7B014838"/>
    <w:rsid w:val="7B063BCA"/>
    <w:rsid w:val="7B0A3A31"/>
    <w:rsid w:val="7B0C1557"/>
    <w:rsid w:val="7B0D3F38"/>
    <w:rsid w:val="7B0E1773"/>
    <w:rsid w:val="7B1B79EC"/>
    <w:rsid w:val="7B1F572E"/>
    <w:rsid w:val="7B3311D9"/>
    <w:rsid w:val="7B3B5510"/>
    <w:rsid w:val="7B55321B"/>
    <w:rsid w:val="7B5A6766"/>
    <w:rsid w:val="7B6B0973"/>
    <w:rsid w:val="7B8437E3"/>
    <w:rsid w:val="7B871525"/>
    <w:rsid w:val="7B8B1F77"/>
    <w:rsid w:val="7BA75723"/>
    <w:rsid w:val="7BB3231A"/>
    <w:rsid w:val="7BD007D6"/>
    <w:rsid w:val="7BDD1145"/>
    <w:rsid w:val="7C02738A"/>
    <w:rsid w:val="7C0B5CB2"/>
    <w:rsid w:val="7C176405"/>
    <w:rsid w:val="7C1B4B69"/>
    <w:rsid w:val="7C1E59E5"/>
    <w:rsid w:val="7C3C5E6C"/>
    <w:rsid w:val="7C544077"/>
    <w:rsid w:val="7C776EA4"/>
    <w:rsid w:val="7C7A6994"/>
    <w:rsid w:val="7C9175C1"/>
    <w:rsid w:val="7CCD7AAC"/>
    <w:rsid w:val="7CDE5175"/>
    <w:rsid w:val="7CE80291"/>
    <w:rsid w:val="7CEE6A57"/>
    <w:rsid w:val="7CF71E01"/>
    <w:rsid w:val="7D007657"/>
    <w:rsid w:val="7D23320B"/>
    <w:rsid w:val="7D415004"/>
    <w:rsid w:val="7D454800"/>
    <w:rsid w:val="7D480C45"/>
    <w:rsid w:val="7D510D1E"/>
    <w:rsid w:val="7D6116F6"/>
    <w:rsid w:val="7D6B48B5"/>
    <w:rsid w:val="7D6E6070"/>
    <w:rsid w:val="7D753E75"/>
    <w:rsid w:val="7D8C697F"/>
    <w:rsid w:val="7D9050C0"/>
    <w:rsid w:val="7DA131B6"/>
    <w:rsid w:val="7DB02960"/>
    <w:rsid w:val="7DBB4623"/>
    <w:rsid w:val="7DC90129"/>
    <w:rsid w:val="7DD73298"/>
    <w:rsid w:val="7DE247F1"/>
    <w:rsid w:val="7DE8059E"/>
    <w:rsid w:val="7DED3CF7"/>
    <w:rsid w:val="7DF5444F"/>
    <w:rsid w:val="7DFF53A3"/>
    <w:rsid w:val="7E0B1F99"/>
    <w:rsid w:val="7E0E55E6"/>
    <w:rsid w:val="7E1A3F8B"/>
    <w:rsid w:val="7E2E4E3D"/>
    <w:rsid w:val="7E2F4430"/>
    <w:rsid w:val="7E3808B5"/>
    <w:rsid w:val="7E3E236F"/>
    <w:rsid w:val="7E682501"/>
    <w:rsid w:val="7E6C3A4B"/>
    <w:rsid w:val="7E7805A7"/>
    <w:rsid w:val="7E7E6C0F"/>
    <w:rsid w:val="7E81712E"/>
    <w:rsid w:val="7E953F59"/>
    <w:rsid w:val="7E977CD1"/>
    <w:rsid w:val="7EAA248B"/>
    <w:rsid w:val="7EAD6B68"/>
    <w:rsid w:val="7EDB34B9"/>
    <w:rsid w:val="7EE27E0A"/>
    <w:rsid w:val="7EFE7628"/>
    <w:rsid w:val="7F1457EB"/>
    <w:rsid w:val="7F1530EF"/>
    <w:rsid w:val="7F25385E"/>
    <w:rsid w:val="7F323556"/>
    <w:rsid w:val="7F376DBE"/>
    <w:rsid w:val="7F45445C"/>
    <w:rsid w:val="7F5070F9"/>
    <w:rsid w:val="7F5968A5"/>
    <w:rsid w:val="7F596D35"/>
    <w:rsid w:val="7F601E71"/>
    <w:rsid w:val="7F604567"/>
    <w:rsid w:val="7F6310E9"/>
    <w:rsid w:val="7F8A13C9"/>
    <w:rsid w:val="7FB328E9"/>
    <w:rsid w:val="7FB56661"/>
    <w:rsid w:val="7FBA5A25"/>
    <w:rsid w:val="7FBB179D"/>
    <w:rsid w:val="7FC05006"/>
    <w:rsid w:val="7FC71EF0"/>
    <w:rsid w:val="7FD445A9"/>
    <w:rsid w:val="7FDD1714"/>
    <w:rsid w:val="7FFD0651"/>
    <w:rsid w:val="7FFF7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autoRedefine/>
    <w:qFormat/>
    <w:uiPriority w:val="0"/>
    <w:pPr>
      <w:keepNext/>
      <w:tabs>
        <w:tab w:val="left" w:pos="3600"/>
      </w:tabs>
      <w:adjustRightInd w:val="0"/>
      <w:snapToGrid w:val="0"/>
      <w:spacing w:line="500" w:lineRule="exact"/>
      <w:jc w:val="left"/>
      <w:outlineLvl w:val="1"/>
    </w:pPr>
    <w:rPr>
      <w:b/>
      <w:sz w:val="24"/>
    </w:rPr>
  </w:style>
  <w:style w:type="paragraph" w:styleId="4">
    <w:name w:val="heading 3"/>
    <w:basedOn w:val="1"/>
    <w:next w:val="1"/>
    <w:autoRedefine/>
    <w:qFormat/>
    <w:uiPriority w:val="0"/>
    <w:pPr>
      <w:keepNext/>
      <w:keepLines/>
      <w:tabs>
        <w:tab w:val="left" w:pos="1440"/>
      </w:tabs>
      <w:spacing w:before="120" w:after="240"/>
      <w:ind w:left="720" w:hanging="720"/>
      <w:outlineLvl w:val="2"/>
    </w:pPr>
    <w:rPr>
      <w:rFonts w:eastAsia="黑体"/>
      <w:b/>
      <w:kern w:val="0"/>
      <w:sz w:val="28"/>
      <w:szCs w:val="20"/>
    </w:rPr>
  </w:style>
  <w:style w:type="paragraph" w:styleId="5">
    <w:name w:val="heading 4"/>
    <w:basedOn w:val="1"/>
    <w:next w:val="1"/>
    <w:autoRedefine/>
    <w:qFormat/>
    <w:uiPriority w:val="0"/>
    <w:pPr>
      <w:keepNext/>
      <w:keepLines/>
      <w:numPr>
        <w:ilvl w:val="3"/>
        <w:numId w:val="1"/>
      </w:numPr>
      <w:tabs>
        <w:tab w:val="left" w:pos="420"/>
      </w:tabs>
      <w:spacing w:before="60" w:after="60" w:line="377" w:lineRule="auto"/>
      <w:outlineLvl w:val="3"/>
    </w:pPr>
    <w:rPr>
      <w:b/>
      <w:bCs/>
      <w:sz w:val="24"/>
      <w:szCs w:val="28"/>
    </w:rPr>
  </w:style>
  <w:style w:type="character" w:default="1" w:styleId="35">
    <w:name w:val="Default Paragraph Font"/>
    <w:autoRedefine/>
    <w:unhideWhenUsed/>
    <w:qFormat/>
    <w:uiPriority w:val="1"/>
  </w:style>
  <w:style w:type="table" w:default="1" w:styleId="33">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able of authorities"/>
    <w:basedOn w:val="1"/>
    <w:next w:val="1"/>
    <w:autoRedefine/>
    <w:qFormat/>
    <w:uiPriority w:val="0"/>
    <w:pPr>
      <w:ind w:left="420" w:leftChars="200"/>
    </w:pPr>
  </w:style>
  <w:style w:type="paragraph" w:styleId="7">
    <w:name w:val="Normal Indent"/>
    <w:basedOn w:val="1"/>
    <w:autoRedefine/>
    <w:qFormat/>
    <w:uiPriority w:val="0"/>
    <w:rPr>
      <w:snapToGrid w:val="0"/>
      <w:sz w:val="28"/>
    </w:rPr>
  </w:style>
  <w:style w:type="paragraph" w:styleId="8">
    <w:name w:val="annotation text"/>
    <w:basedOn w:val="1"/>
    <w:link w:val="102"/>
    <w:autoRedefine/>
    <w:qFormat/>
    <w:uiPriority w:val="0"/>
    <w:pPr>
      <w:jc w:val="left"/>
    </w:pPr>
  </w:style>
  <w:style w:type="paragraph" w:styleId="9">
    <w:name w:val="Salutation"/>
    <w:basedOn w:val="1"/>
    <w:next w:val="1"/>
    <w:qFormat/>
    <w:uiPriority w:val="0"/>
    <w:rPr>
      <w:sz w:val="21"/>
    </w:rPr>
  </w:style>
  <w:style w:type="paragraph" w:styleId="10">
    <w:name w:val="Body Text"/>
    <w:basedOn w:val="1"/>
    <w:next w:val="1"/>
    <w:link w:val="112"/>
    <w:autoRedefine/>
    <w:qFormat/>
    <w:uiPriority w:val="0"/>
    <w:pPr>
      <w:spacing w:line="440" w:lineRule="exact"/>
      <w:textAlignment w:val="center"/>
    </w:pPr>
    <w:rPr>
      <w:rFonts w:eastAsia="华文中宋"/>
      <w:sz w:val="28"/>
    </w:rPr>
  </w:style>
  <w:style w:type="paragraph" w:styleId="11">
    <w:name w:val="Body Text Indent"/>
    <w:basedOn w:val="1"/>
    <w:next w:val="12"/>
    <w:autoRedefine/>
    <w:unhideWhenUsed/>
    <w:qFormat/>
    <w:uiPriority w:val="0"/>
    <w:pPr>
      <w:ind w:firstLine="480" w:firstLineChars="200"/>
    </w:pPr>
    <w:rPr>
      <w:kern w:val="0"/>
      <w:sz w:val="24"/>
    </w:rPr>
  </w:style>
  <w:style w:type="paragraph" w:styleId="12">
    <w:name w:val="toc 9"/>
    <w:basedOn w:val="1"/>
    <w:next w:val="1"/>
    <w:unhideWhenUsed/>
    <w:qFormat/>
    <w:uiPriority w:val="39"/>
    <w:pPr>
      <w:ind w:left="1680"/>
      <w:jc w:val="left"/>
    </w:pPr>
    <w:rPr>
      <w:rFonts w:ascii="Calibri" w:hAnsi="Calibri" w:cs="Calibri"/>
      <w:sz w:val="20"/>
      <w:szCs w:val="20"/>
    </w:rPr>
  </w:style>
  <w:style w:type="paragraph" w:styleId="13">
    <w:name w:val="List Bullet 2"/>
    <w:basedOn w:val="1"/>
    <w:next w:val="14"/>
    <w:autoRedefine/>
    <w:qFormat/>
    <w:uiPriority w:val="0"/>
    <w:pPr>
      <w:numPr>
        <w:ilvl w:val="0"/>
        <w:numId w:val="2"/>
      </w:numPr>
    </w:pPr>
  </w:style>
  <w:style w:type="paragraph" w:customStyle="1" w:styleId="14">
    <w:name w:val="xl70"/>
    <w:basedOn w:val="1"/>
    <w:next w:val="15"/>
    <w:autoRedefine/>
    <w:qFormat/>
    <w:uiPriority w:val="0"/>
    <w:pPr>
      <w:widowControl/>
      <w:spacing w:before="280" w:after="280"/>
    </w:pPr>
    <w:rPr>
      <w:rFonts w:ascii="宋体"/>
    </w:rPr>
  </w:style>
  <w:style w:type="paragraph" w:customStyle="1" w:styleId="15">
    <w:name w:val="正文缩进1"/>
    <w:basedOn w:val="1"/>
    <w:next w:val="16"/>
    <w:autoRedefine/>
    <w:qFormat/>
    <w:uiPriority w:val="0"/>
    <w:pPr>
      <w:ind w:firstLine="420"/>
    </w:pPr>
    <w:rPr>
      <w:rFonts w:ascii="宋体"/>
      <w:sz w:val="28"/>
    </w:rPr>
  </w:style>
  <w:style w:type="paragraph" w:customStyle="1" w:styleId="16">
    <w:name w:val="td1"/>
    <w:basedOn w:val="1"/>
    <w:next w:val="1"/>
    <w:autoRedefine/>
    <w:qFormat/>
    <w:uiPriority w:val="0"/>
    <w:pPr>
      <w:widowControl/>
      <w:spacing w:before="280" w:after="280" w:line="300" w:lineRule="atLeast"/>
      <w:ind w:firstLine="200"/>
    </w:pPr>
    <w:rPr>
      <w:color w:val="000000"/>
      <w:sz w:val="18"/>
    </w:rPr>
  </w:style>
  <w:style w:type="paragraph" w:styleId="17">
    <w:name w:val="toc 5"/>
    <w:basedOn w:val="1"/>
    <w:next w:val="1"/>
    <w:qFormat/>
    <w:uiPriority w:val="39"/>
    <w:pPr>
      <w:ind w:left="1680" w:leftChars="800"/>
    </w:pPr>
  </w:style>
  <w:style w:type="paragraph" w:styleId="18">
    <w:name w:val="Plain Text"/>
    <w:basedOn w:val="1"/>
    <w:autoRedefine/>
    <w:qFormat/>
    <w:uiPriority w:val="0"/>
    <w:rPr>
      <w:rFonts w:ascii="宋体" w:hAnsi="Courier New"/>
      <w:sz w:val="28"/>
      <w:szCs w:val="21"/>
    </w:rPr>
  </w:style>
  <w:style w:type="paragraph" w:styleId="19">
    <w:name w:val="List Bullet 5"/>
    <w:basedOn w:val="1"/>
    <w:qFormat/>
    <w:uiPriority w:val="0"/>
    <w:pPr>
      <w:numPr>
        <w:ilvl w:val="0"/>
        <w:numId w:val="3"/>
      </w:numPr>
    </w:pPr>
  </w:style>
  <w:style w:type="paragraph" w:styleId="20">
    <w:name w:val="Body Text Indent 2"/>
    <w:basedOn w:val="1"/>
    <w:next w:val="1"/>
    <w:autoRedefine/>
    <w:unhideWhenUsed/>
    <w:qFormat/>
    <w:uiPriority w:val="0"/>
    <w:pPr>
      <w:spacing w:after="120" w:line="480" w:lineRule="auto"/>
      <w:ind w:left="420" w:leftChars="200"/>
    </w:pPr>
    <w:rPr>
      <w:rFonts w:hint="eastAsia"/>
    </w:rPr>
  </w:style>
  <w:style w:type="paragraph" w:styleId="21">
    <w:name w:val="footer"/>
    <w:basedOn w:val="1"/>
    <w:next w:val="1"/>
    <w:autoRedefine/>
    <w:qFormat/>
    <w:uiPriority w:val="99"/>
    <w:pPr>
      <w:tabs>
        <w:tab w:val="center" w:pos="4153"/>
        <w:tab w:val="right" w:pos="8306"/>
      </w:tabs>
      <w:snapToGrid w:val="0"/>
      <w:jc w:val="left"/>
    </w:pPr>
    <w:rPr>
      <w:kern w:val="0"/>
      <w:sz w:val="18"/>
      <w:szCs w:val="20"/>
    </w:rPr>
  </w:style>
  <w:style w:type="paragraph" w:styleId="2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toc 1"/>
    <w:basedOn w:val="1"/>
    <w:next w:val="1"/>
    <w:autoRedefine/>
    <w:qFormat/>
    <w:uiPriority w:val="39"/>
    <w:pPr>
      <w:widowControl/>
      <w:tabs>
        <w:tab w:val="right" w:leader="hyphen" w:pos="9060"/>
      </w:tabs>
      <w:jc w:val="left"/>
    </w:pPr>
    <w:rPr>
      <w:rFonts w:ascii="宋体" w:hAnsi="宋体" w:cs="宋体"/>
      <w:kern w:val="0"/>
      <w:sz w:val="24"/>
    </w:rPr>
  </w:style>
  <w:style w:type="paragraph" w:styleId="24">
    <w:name w:val="List"/>
    <w:basedOn w:val="1"/>
    <w:autoRedefine/>
    <w:qFormat/>
    <w:uiPriority w:val="0"/>
    <w:pPr>
      <w:jc w:val="center"/>
    </w:pPr>
    <w:rPr>
      <w:kern w:val="0"/>
      <w:szCs w:val="20"/>
    </w:rPr>
  </w:style>
  <w:style w:type="paragraph" w:styleId="25">
    <w:name w:val="Body Text Indent 3"/>
    <w:basedOn w:val="1"/>
    <w:autoRedefine/>
    <w:qFormat/>
    <w:uiPriority w:val="0"/>
    <w:pPr>
      <w:spacing w:after="120"/>
      <w:ind w:left="420" w:leftChars="200"/>
    </w:pPr>
    <w:rPr>
      <w:sz w:val="16"/>
      <w:szCs w:val="16"/>
    </w:rPr>
  </w:style>
  <w:style w:type="paragraph" w:styleId="26">
    <w:name w:val="toc 2"/>
    <w:basedOn w:val="1"/>
    <w:next w:val="1"/>
    <w:autoRedefine/>
    <w:qFormat/>
    <w:uiPriority w:val="39"/>
    <w:pPr>
      <w:spacing w:line="360" w:lineRule="auto"/>
      <w:ind w:firstLine="200" w:firstLineChars="200"/>
    </w:pPr>
    <w:rPr>
      <w:iCs/>
      <w:szCs w:val="20"/>
    </w:rPr>
  </w:style>
  <w:style w:type="paragraph" w:styleId="27">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28">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29">
    <w:name w:val="Title"/>
    <w:basedOn w:val="1"/>
    <w:next w:val="1"/>
    <w:autoRedefine/>
    <w:qFormat/>
    <w:uiPriority w:val="0"/>
    <w:pPr>
      <w:spacing w:before="240" w:after="60"/>
      <w:jc w:val="center"/>
      <w:outlineLvl w:val="0"/>
    </w:pPr>
    <w:rPr>
      <w:rFonts w:ascii="等线 Light" w:hAnsi="等线 Light"/>
      <w:b/>
      <w:bCs/>
      <w:sz w:val="32"/>
      <w:szCs w:val="32"/>
    </w:rPr>
  </w:style>
  <w:style w:type="paragraph" w:styleId="30">
    <w:name w:val="annotation subject"/>
    <w:basedOn w:val="8"/>
    <w:next w:val="8"/>
    <w:link w:val="103"/>
    <w:autoRedefine/>
    <w:qFormat/>
    <w:uiPriority w:val="0"/>
    <w:rPr>
      <w:b/>
      <w:bCs/>
    </w:rPr>
  </w:style>
  <w:style w:type="paragraph" w:styleId="31">
    <w:name w:val="Body Text First Indent"/>
    <w:basedOn w:val="10"/>
    <w:next w:val="1"/>
    <w:link w:val="113"/>
    <w:autoRedefine/>
    <w:qFormat/>
    <w:uiPriority w:val="0"/>
    <w:pPr>
      <w:spacing w:after="120" w:line="240" w:lineRule="auto"/>
      <w:ind w:firstLine="420" w:firstLineChars="100"/>
      <w:textAlignment w:val="auto"/>
    </w:pPr>
    <w:rPr>
      <w:rFonts w:eastAsia="宋体"/>
      <w:sz w:val="21"/>
    </w:rPr>
  </w:style>
  <w:style w:type="paragraph" w:styleId="32">
    <w:name w:val="Body Text First Indent 2"/>
    <w:basedOn w:val="11"/>
    <w:next w:val="1"/>
    <w:autoRedefine/>
    <w:qFormat/>
    <w:uiPriority w:val="0"/>
    <w:pPr>
      <w:ind w:firstLine="420"/>
    </w:pPr>
  </w:style>
  <w:style w:type="table" w:styleId="34">
    <w:name w:val="Table Grid"/>
    <w:basedOn w:val="3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page number"/>
    <w:basedOn w:val="35"/>
    <w:autoRedefine/>
    <w:qFormat/>
    <w:uiPriority w:val="0"/>
  </w:style>
  <w:style w:type="character" w:styleId="37">
    <w:name w:val="FollowedHyperlink"/>
    <w:basedOn w:val="35"/>
    <w:autoRedefine/>
    <w:qFormat/>
    <w:uiPriority w:val="0"/>
    <w:rPr>
      <w:color w:val="800080"/>
      <w:u w:val="none"/>
    </w:rPr>
  </w:style>
  <w:style w:type="character" w:styleId="38">
    <w:name w:val="Emphasis"/>
    <w:basedOn w:val="35"/>
    <w:autoRedefine/>
    <w:qFormat/>
    <w:uiPriority w:val="0"/>
  </w:style>
  <w:style w:type="character" w:styleId="39">
    <w:name w:val="HTML Definition"/>
    <w:basedOn w:val="35"/>
    <w:autoRedefine/>
    <w:qFormat/>
    <w:uiPriority w:val="0"/>
  </w:style>
  <w:style w:type="character" w:styleId="40">
    <w:name w:val="HTML Variable"/>
    <w:basedOn w:val="35"/>
    <w:autoRedefine/>
    <w:qFormat/>
    <w:uiPriority w:val="0"/>
  </w:style>
  <w:style w:type="character" w:styleId="41">
    <w:name w:val="Hyperlink"/>
    <w:basedOn w:val="35"/>
    <w:autoRedefine/>
    <w:qFormat/>
    <w:uiPriority w:val="0"/>
    <w:rPr>
      <w:color w:val="0000FF"/>
      <w:u w:val="none"/>
    </w:rPr>
  </w:style>
  <w:style w:type="character" w:styleId="42">
    <w:name w:val="HTML Code"/>
    <w:basedOn w:val="35"/>
    <w:autoRedefine/>
    <w:qFormat/>
    <w:uiPriority w:val="0"/>
    <w:rPr>
      <w:rFonts w:ascii="Courier New" w:hAnsi="Courier New"/>
      <w:sz w:val="20"/>
    </w:rPr>
  </w:style>
  <w:style w:type="character" w:styleId="43">
    <w:name w:val="annotation reference"/>
    <w:basedOn w:val="35"/>
    <w:autoRedefine/>
    <w:qFormat/>
    <w:uiPriority w:val="0"/>
    <w:rPr>
      <w:sz w:val="21"/>
      <w:szCs w:val="21"/>
    </w:rPr>
  </w:style>
  <w:style w:type="character" w:styleId="44">
    <w:name w:val="HTML Cite"/>
    <w:basedOn w:val="35"/>
    <w:autoRedefine/>
    <w:qFormat/>
    <w:uiPriority w:val="0"/>
  </w:style>
  <w:style w:type="character" w:styleId="45">
    <w:name w:val="HTML Keyboard"/>
    <w:basedOn w:val="35"/>
    <w:autoRedefine/>
    <w:qFormat/>
    <w:uiPriority w:val="0"/>
    <w:rPr>
      <w:rFonts w:ascii="Courier New" w:hAnsi="Courier New"/>
      <w:sz w:val="20"/>
    </w:rPr>
  </w:style>
  <w:style w:type="character" w:styleId="46">
    <w:name w:val="HTML Sample"/>
    <w:basedOn w:val="35"/>
    <w:autoRedefine/>
    <w:qFormat/>
    <w:uiPriority w:val="0"/>
    <w:rPr>
      <w:rFonts w:ascii="Courier New" w:hAnsi="Courier New"/>
      <w:u w:val="none"/>
    </w:rPr>
  </w:style>
  <w:style w:type="paragraph" w:customStyle="1" w:styleId="47">
    <w:name w:val="样式 正文首行缩进 + 首行缩进:  2 字符1"/>
    <w:basedOn w:val="1"/>
    <w:next w:val="23"/>
    <w:autoRedefine/>
    <w:qFormat/>
    <w:uiPriority w:val="0"/>
    <w:pPr>
      <w:spacing w:line="360" w:lineRule="auto"/>
      <w:ind w:firstLine="480" w:firstLineChars="200"/>
    </w:pPr>
    <w:rPr>
      <w:sz w:val="24"/>
    </w:rPr>
  </w:style>
  <w:style w:type="paragraph" w:customStyle="1" w:styleId="48">
    <w:name w:val="Default"/>
    <w:basedOn w:val="49"/>
    <w:autoRedefine/>
    <w:qFormat/>
    <w:uiPriority w:val="0"/>
    <w:pPr>
      <w:widowControl w:val="0"/>
      <w:autoSpaceDE w:val="0"/>
      <w:autoSpaceDN w:val="0"/>
    </w:pPr>
    <w:rPr>
      <w:rFonts w:hAnsi="Calibri" w:cs="宋体"/>
      <w:color w:val="000000"/>
      <w:szCs w:val="24"/>
    </w:rPr>
  </w:style>
  <w:style w:type="paragraph" w:customStyle="1" w:styleId="49">
    <w:name w:val="纯文本1"/>
    <w:autoRedefine/>
    <w:qFormat/>
    <w:uiPriority w:val="0"/>
    <w:pPr>
      <w:adjustRightInd w:val="0"/>
      <w:jc w:val="center"/>
      <w:textAlignment w:val="baseline"/>
    </w:pPr>
    <w:rPr>
      <w:rFonts w:ascii="宋体" w:hAnsi="Courier New" w:eastAsia="宋体" w:cs="Times New Roman"/>
      <w:sz w:val="24"/>
      <w:lang w:val="en-US" w:eastAsia="zh-CN" w:bidi="ar-SA"/>
    </w:rPr>
  </w:style>
  <w:style w:type="paragraph" w:customStyle="1" w:styleId="50">
    <w:name w:val="Normal (Web)1"/>
    <w:basedOn w:val="1"/>
    <w:next w:val="51"/>
    <w:autoRedefine/>
    <w:qFormat/>
    <w:uiPriority w:val="0"/>
    <w:pPr>
      <w:widowControl/>
      <w:jc w:val="left"/>
    </w:pPr>
    <w:rPr>
      <w:rFonts w:ascii="宋体"/>
      <w:kern w:val="0"/>
      <w:sz w:val="24"/>
      <w:szCs w:val="21"/>
    </w:rPr>
  </w:style>
  <w:style w:type="paragraph" w:customStyle="1" w:styleId="51">
    <w:name w:val="Date1"/>
    <w:basedOn w:val="1"/>
    <w:next w:val="1"/>
    <w:autoRedefine/>
    <w:qFormat/>
    <w:uiPriority w:val="0"/>
    <w:pPr>
      <w:ind w:left="2500" w:leftChars="2500"/>
    </w:pPr>
  </w:style>
  <w:style w:type="paragraph" w:customStyle="1" w:styleId="52">
    <w:name w:val="列出段落1"/>
    <w:basedOn w:val="1"/>
    <w:autoRedefine/>
    <w:qFormat/>
    <w:uiPriority w:val="99"/>
    <w:pPr>
      <w:ind w:firstLine="420" w:firstLineChars="200"/>
    </w:pPr>
    <w:rPr>
      <w:rFonts w:ascii="Calibri" w:hAnsi="Calibri"/>
      <w:szCs w:val="22"/>
    </w:rPr>
  </w:style>
  <w:style w:type="paragraph" w:customStyle="1" w:styleId="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Cs w:val="20"/>
    </w:rPr>
  </w:style>
  <w:style w:type="paragraph" w:customStyle="1" w:styleId="54">
    <w:name w:val="11111"/>
    <w:basedOn w:val="1"/>
    <w:next w:val="1"/>
    <w:autoRedefine/>
    <w:qFormat/>
    <w:uiPriority w:val="0"/>
    <w:pPr>
      <w:spacing w:line="360" w:lineRule="auto"/>
      <w:ind w:firstLine="200" w:firstLineChars="200"/>
    </w:pPr>
    <w:rPr>
      <w:rFonts w:ascii="宋体" w:hAnsi="宋体" w:cs="宋体"/>
      <w:sz w:val="24"/>
    </w:rPr>
  </w:style>
  <w:style w:type="paragraph" w:customStyle="1" w:styleId="55">
    <w:name w:val="表格"/>
    <w:basedOn w:val="1"/>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56">
    <w:name w:val="【正文】"/>
    <w:basedOn w:val="1"/>
    <w:next w:val="27"/>
    <w:link w:val="98"/>
    <w:autoRedefine/>
    <w:qFormat/>
    <w:uiPriority w:val="0"/>
    <w:pPr>
      <w:spacing w:line="500" w:lineRule="exact"/>
      <w:ind w:firstLine="200" w:firstLineChars="200"/>
    </w:pPr>
    <w:rPr>
      <w:kern w:val="0"/>
      <w:sz w:val="24"/>
      <w:szCs w:val="20"/>
    </w:rPr>
  </w:style>
  <w:style w:type="paragraph" w:customStyle="1" w:styleId="57">
    <w:name w:val="_Style 4"/>
    <w:basedOn w:val="1"/>
    <w:autoRedefine/>
    <w:qFormat/>
    <w:uiPriority w:val="0"/>
    <w:pPr>
      <w:snapToGrid w:val="0"/>
      <w:spacing w:line="360" w:lineRule="auto"/>
      <w:ind w:firstLine="529" w:firstLineChars="200"/>
    </w:pPr>
  </w:style>
  <w:style w:type="paragraph" w:customStyle="1" w:styleId="58">
    <w:name w:val="【表中文字】"/>
    <w:basedOn w:val="59"/>
    <w:next w:val="1"/>
    <w:autoRedefine/>
    <w:qFormat/>
    <w:uiPriority w:val="0"/>
    <w:pPr>
      <w:jc w:val="center"/>
    </w:pPr>
    <w:rPr>
      <w:kern w:val="0"/>
      <w:szCs w:val="20"/>
    </w:rPr>
  </w:style>
  <w:style w:type="paragraph" w:customStyle="1" w:styleId="59">
    <w:name w:val=".表1-1-1内容"/>
    <w:basedOn w:val="1"/>
    <w:qFormat/>
    <w:uiPriority w:val="0"/>
    <w:pPr>
      <w:spacing w:line="300" w:lineRule="exact"/>
      <w:jc w:val="center"/>
    </w:pPr>
    <w:rPr>
      <w:kern w:val="0"/>
      <w:szCs w:val="21"/>
    </w:rPr>
  </w:style>
  <w:style w:type="paragraph" w:customStyle="1" w:styleId="60">
    <w:name w:val="表格字"/>
    <w:basedOn w:val="24"/>
    <w:qFormat/>
    <w:uiPriority w:val="0"/>
    <w:pPr>
      <w:ind w:left="0" w:firstLine="0" w:firstLineChars="0"/>
      <w:jc w:val="center"/>
    </w:pPr>
  </w:style>
  <w:style w:type="paragraph" w:customStyle="1" w:styleId="61">
    <w:name w:val="表格文字"/>
    <w:basedOn w:val="62"/>
    <w:next w:val="1"/>
    <w:autoRedefine/>
    <w:qFormat/>
    <w:uiPriority w:val="0"/>
    <w:pPr>
      <w:widowControl/>
    </w:pPr>
    <w:rPr>
      <w:rFonts w:ascii="宋体" w:hAnsi="宋体" w:cs="宋体"/>
      <w:color w:val="000000"/>
      <w:kern w:val="0"/>
      <w:szCs w:val="21"/>
    </w:rPr>
  </w:style>
  <w:style w:type="paragraph" w:customStyle="1" w:styleId="62">
    <w:name w:val="表头"/>
    <w:basedOn w:val="63"/>
    <w:next w:val="18"/>
    <w:autoRedefine/>
    <w:qFormat/>
    <w:uiPriority w:val="0"/>
    <w:pPr>
      <w:adjustRightInd w:val="0"/>
      <w:snapToGrid w:val="0"/>
      <w:spacing w:line="360" w:lineRule="auto"/>
    </w:pPr>
    <w:rPr>
      <w:rFonts w:eastAsia="黑体"/>
      <w:sz w:val="24"/>
      <w:szCs w:val="22"/>
    </w:rPr>
  </w:style>
  <w:style w:type="paragraph" w:customStyle="1" w:styleId="63">
    <w:name w:val="样式4"/>
    <w:basedOn w:val="1"/>
    <w:autoRedefine/>
    <w:qFormat/>
    <w:uiPriority w:val="0"/>
    <w:pPr>
      <w:adjustRightInd w:val="0"/>
      <w:snapToGrid w:val="0"/>
      <w:jc w:val="center"/>
    </w:pPr>
    <w:rPr>
      <w:sz w:val="24"/>
      <w:szCs w:val="20"/>
    </w:rPr>
  </w:style>
  <w:style w:type="paragraph" w:customStyle="1" w:styleId="64">
    <w:name w:val="正文1"/>
    <w:basedOn w:val="31"/>
    <w:autoRedefine/>
    <w:qFormat/>
    <w:uiPriority w:val="0"/>
    <w:pPr>
      <w:adjustRightInd w:val="0"/>
      <w:spacing w:line="360" w:lineRule="atLeast"/>
    </w:pPr>
    <w:rPr>
      <w:rFonts w:ascii="宋体"/>
      <w:sz w:val="24"/>
    </w:rPr>
  </w:style>
  <w:style w:type="paragraph" w:customStyle="1" w:styleId="65">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6">
    <w:name w:val="【表头】"/>
    <w:basedOn w:val="1"/>
    <w:autoRedefine/>
    <w:qFormat/>
    <w:uiPriority w:val="0"/>
    <w:pPr>
      <w:spacing w:line="460" w:lineRule="exact"/>
      <w:jc w:val="center"/>
    </w:pPr>
    <w:rPr>
      <w:b/>
      <w:kern w:val="0"/>
      <w:sz w:val="24"/>
      <w:szCs w:val="20"/>
    </w:rPr>
  </w:style>
  <w:style w:type="paragraph" w:customStyle="1" w:styleId="67">
    <w:name w:val="内容"/>
    <w:basedOn w:val="1"/>
    <w:autoRedefine/>
    <w:qFormat/>
    <w:uiPriority w:val="0"/>
    <w:pPr>
      <w:spacing w:beforeLines="50" w:afterLines="50"/>
      <w:ind w:firstLine="200" w:firstLineChars="200"/>
    </w:pPr>
    <w:rPr>
      <w:color w:val="000000"/>
      <w:sz w:val="24"/>
    </w:rPr>
  </w:style>
  <w:style w:type="paragraph" w:customStyle="1" w:styleId="68">
    <w:name w:val="正文00"/>
    <w:basedOn w:val="1"/>
    <w:next w:val="1"/>
    <w:autoRedefine/>
    <w:qFormat/>
    <w:uiPriority w:val="0"/>
    <w:pPr>
      <w:spacing w:line="360" w:lineRule="auto"/>
      <w:ind w:firstLine="480" w:firstLineChars="200"/>
    </w:pPr>
    <w:rPr>
      <w:sz w:val="24"/>
    </w:rPr>
  </w:style>
  <w:style w:type="paragraph" w:customStyle="1" w:styleId="69">
    <w:name w:val="样式 Times New Roman 五号 居中1"/>
    <w:basedOn w:val="1"/>
    <w:next w:val="62"/>
    <w:autoRedefine/>
    <w:qFormat/>
    <w:uiPriority w:val="0"/>
    <w:pPr>
      <w:jc w:val="center"/>
    </w:pPr>
    <w:rPr>
      <w:rFonts w:cs="宋体"/>
    </w:rPr>
  </w:style>
  <w:style w:type="paragraph" w:customStyle="1" w:styleId="70">
    <w:name w:val="表中文字"/>
    <w:basedOn w:val="62"/>
    <w:autoRedefine/>
    <w:qFormat/>
    <w:uiPriority w:val="0"/>
    <w:pPr>
      <w:adjustRightInd w:val="0"/>
      <w:snapToGrid w:val="0"/>
      <w:jc w:val="center"/>
    </w:pPr>
    <w:rPr>
      <w:szCs w:val="22"/>
    </w:rPr>
  </w:style>
  <w:style w:type="character" w:customStyle="1" w:styleId="71">
    <w:name w:val="【正文】 Char"/>
    <w:link w:val="56"/>
    <w:autoRedefine/>
    <w:qFormat/>
    <w:uiPriority w:val="0"/>
    <w:rPr>
      <w:kern w:val="0"/>
      <w:sz w:val="24"/>
      <w:szCs w:val="20"/>
    </w:rPr>
  </w:style>
  <w:style w:type="paragraph" w:customStyle="1" w:styleId="72">
    <w:name w:val="巴彦正文"/>
    <w:basedOn w:val="1"/>
    <w:autoRedefine/>
    <w:qFormat/>
    <w:uiPriority w:val="0"/>
    <w:pPr>
      <w:spacing w:line="360" w:lineRule="auto"/>
      <w:ind w:firstLine="200" w:firstLineChars="200"/>
    </w:pPr>
    <w:rPr>
      <w:sz w:val="28"/>
    </w:rPr>
  </w:style>
  <w:style w:type="paragraph" w:customStyle="1" w:styleId="73">
    <w:name w:val="北京正文2"/>
    <w:basedOn w:val="1"/>
    <w:autoRedefine/>
    <w:qFormat/>
    <w:uiPriority w:val="0"/>
    <w:pPr>
      <w:adjustRightInd w:val="0"/>
      <w:snapToGrid w:val="0"/>
      <w:spacing w:line="360" w:lineRule="auto"/>
      <w:ind w:firstLine="200" w:firstLineChars="200"/>
    </w:pPr>
    <w:rPr>
      <w:snapToGrid w:val="0"/>
      <w:color w:val="0070C0"/>
      <w:kern w:val="0"/>
      <w:sz w:val="24"/>
    </w:rPr>
  </w:style>
  <w:style w:type="paragraph" w:customStyle="1" w:styleId="74">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75">
    <w:name w:val="表内文字-lgf"/>
    <w:basedOn w:val="1"/>
    <w:autoRedefine/>
    <w:qFormat/>
    <w:uiPriority w:val="0"/>
    <w:pPr>
      <w:adjustRightInd w:val="0"/>
      <w:snapToGrid w:val="0"/>
      <w:jc w:val="center"/>
    </w:pPr>
    <w:rPr>
      <w:bCs/>
      <w:spacing w:val="-2"/>
      <w:kern w:val="0"/>
      <w:szCs w:val="21"/>
    </w:rPr>
  </w:style>
  <w:style w:type="paragraph" w:customStyle="1" w:styleId="76">
    <w:name w:val="表格文字居中"/>
    <w:basedOn w:val="1"/>
    <w:next w:val="1"/>
    <w:autoRedefine/>
    <w:qFormat/>
    <w:uiPriority w:val="0"/>
    <w:pPr>
      <w:keepNext/>
      <w:adjustRightInd w:val="0"/>
      <w:snapToGrid w:val="0"/>
      <w:spacing w:line="0" w:lineRule="atLeast"/>
      <w:jc w:val="center"/>
    </w:pPr>
    <w:rPr>
      <w:rFonts w:hAnsi="宋体"/>
      <w:color w:val="FF0000"/>
      <w:szCs w:val="21"/>
    </w:rPr>
  </w:style>
  <w:style w:type="character" w:customStyle="1" w:styleId="77">
    <w:name w:val="before4"/>
    <w:basedOn w:val="35"/>
    <w:autoRedefine/>
    <w:qFormat/>
    <w:uiPriority w:val="0"/>
    <w:rPr>
      <w:color w:val="FF6600"/>
      <w:bdr w:val="single" w:color="237C96" w:sz="36" w:space="0"/>
    </w:rPr>
  </w:style>
  <w:style w:type="character" w:customStyle="1" w:styleId="78">
    <w:name w:val="hover15"/>
    <w:basedOn w:val="35"/>
    <w:autoRedefine/>
    <w:qFormat/>
    <w:uiPriority w:val="0"/>
    <w:rPr>
      <w:color w:val="FF6600"/>
    </w:rPr>
  </w:style>
  <w:style w:type="character" w:customStyle="1" w:styleId="79">
    <w:name w:val="before8"/>
    <w:basedOn w:val="35"/>
    <w:autoRedefine/>
    <w:qFormat/>
    <w:uiPriority w:val="0"/>
    <w:rPr>
      <w:color w:val="FF6600"/>
      <w:bdr w:val="single" w:color="237C96" w:sz="36" w:space="0"/>
    </w:rPr>
  </w:style>
  <w:style w:type="character" w:customStyle="1" w:styleId="80">
    <w:name w:val="hover14"/>
    <w:basedOn w:val="35"/>
    <w:autoRedefine/>
    <w:qFormat/>
    <w:uiPriority w:val="0"/>
    <w:rPr>
      <w:color w:val="FF6600"/>
    </w:rPr>
  </w:style>
  <w:style w:type="paragraph" w:customStyle="1" w:styleId="81">
    <w:name w:val="表内字"/>
    <w:autoRedefine/>
    <w:qFormat/>
    <w:uiPriority w:val="0"/>
    <w:pPr>
      <w:spacing w:line="312" w:lineRule="auto"/>
      <w:jc w:val="center"/>
    </w:pPr>
    <w:rPr>
      <w:rFonts w:ascii="Times New Roman" w:hAnsi="Times New Roman" w:eastAsia="宋体" w:cs="Times New Roman"/>
      <w:color w:val="000000"/>
      <w:sz w:val="21"/>
      <w:lang w:val="en-US" w:eastAsia="zh-CN" w:bidi="ar-SA"/>
    </w:rPr>
  </w:style>
  <w:style w:type="paragraph" w:customStyle="1" w:styleId="82">
    <w:name w:val="表文"/>
    <w:basedOn w:val="18"/>
    <w:next w:val="1"/>
    <w:autoRedefine/>
    <w:qFormat/>
    <w:uiPriority w:val="0"/>
    <w:pPr>
      <w:tabs>
        <w:tab w:val="left" w:pos="1021"/>
      </w:tabs>
      <w:spacing w:line="360" w:lineRule="auto"/>
      <w:jc w:val="center"/>
    </w:pPr>
    <w:rPr>
      <w:kern w:val="0"/>
      <w:position w:val="-24"/>
      <w:szCs w:val="21"/>
    </w:rPr>
  </w:style>
  <w:style w:type="paragraph" w:customStyle="1" w:styleId="83">
    <w:name w:val="Table Paragraph"/>
    <w:basedOn w:val="1"/>
    <w:autoRedefine/>
    <w:qFormat/>
    <w:uiPriority w:val="0"/>
    <w:pPr>
      <w:jc w:val="left"/>
    </w:pPr>
    <w:rPr>
      <w:rFonts w:ascii="Calibri" w:hAnsi="Calibri"/>
      <w:kern w:val="0"/>
      <w:sz w:val="22"/>
      <w:lang w:eastAsia="en-US"/>
    </w:rPr>
  </w:style>
  <w:style w:type="paragraph" w:customStyle="1" w:styleId="84">
    <w:name w:val="表格题目"/>
    <w:basedOn w:val="1"/>
    <w:autoRedefine/>
    <w:qFormat/>
    <w:uiPriority w:val="0"/>
    <w:pPr>
      <w:spacing w:line="240" w:lineRule="atLeast"/>
      <w:jc w:val="center"/>
    </w:pPr>
    <w:rPr>
      <w:rFonts w:ascii="黑体" w:hAnsi="宋体" w:eastAsia="黑体"/>
      <w:sz w:val="24"/>
    </w:rPr>
  </w:style>
  <w:style w:type="paragraph" w:customStyle="1" w:styleId="85">
    <w:name w:val="【表中文字】-"/>
    <w:basedOn w:val="1"/>
    <w:autoRedefine/>
    <w:qFormat/>
    <w:uiPriority w:val="0"/>
    <w:pPr>
      <w:widowControl/>
      <w:jc w:val="center"/>
    </w:pPr>
    <w:rPr>
      <w:kern w:val="0"/>
      <w:sz w:val="20"/>
      <w:szCs w:val="20"/>
    </w:rPr>
  </w:style>
  <w:style w:type="paragraph" w:customStyle="1" w:styleId="86">
    <w:name w:val="正文2"/>
    <w:autoRedefine/>
    <w:qFormat/>
    <w:uiPriority w:val="0"/>
    <w:pPr>
      <w:widowControl w:val="0"/>
      <w:adjustRightInd w:val="0"/>
      <w:spacing w:line="360" w:lineRule="atLeast"/>
    </w:pPr>
    <w:rPr>
      <w:rFonts w:ascii="宋体" w:hAnsi="Times New Roman" w:eastAsia="宋体" w:cs="Times New Roman"/>
      <w:sz w:val="24"/>
      <w:lang w:val="en-US" w:eastAsia="zh-CN" w:bidi="ar-SA"/>
    </w:rPr>
  </w:style>
  <w:style w:type="paragraph" w:customStyle="1" w:styleId="87">
    <w:name w:val="正文小标题"/>
    <w:basedOn w:val="1"/>
    <w:next w:val="1"/>
    <w:autoRedefine/>
    <w:qFormat/>
    <w:uiPriority w:val="0"/>
    <w:pPr>
      <w:jc w:val="center"/>
    </w:pPr>
    <w:rPr>
      <w:b/>
      <w:kern w:val="0"/>
      <w:szCs w:val="18"/>
    </w:rPr>
  </w:style>
  <w:style w:type="paragraph" w:customStyle="1" w:styleId="88">
    <w:name w:val="正文 表格  居中"/>
    <w:basedOn w:val="1"/>
    <w:next w:val="1"/>
    <w:autoRedefine/>
    <w:qFormat/>
    <w:uiPriority w:val="0"/>
    <w:pPr>
      <w:jc w:val="center"/>
    </w:pPr>
  </w:style>
  <w:style w:type="table" w:customStyle="1" w:styleId="89">
    <w:name w:val="Table Normal"/>
    <w:autoRedefine/>
    <w:unhideWhenUsed/>
    <w:qFormat/>
    <w:uiPriority w:val="0"/>
    <w:tblPr>
      <w:tblCellMar>
        <w:top w:w="0" w:type="dxa"/>
        <w:left w:w="0" w:type="dxa"/>
        <w:bottom w:w="0" w:type="dxa"/>
        <w:right w:w="0" w:type="dxa"/>
      </w:tblCellMar>
    </w:tblPr>
  </w:style>
  <w:style w:type="paragraph" w:customStyle="1" w:styleId="90">
    <w:name w:val="表格正文"/>
    <w:autoRedefine/>
    <w:qFormat/>
    <w:uiPriority w:val="0"/>
    <w:pPr>
      <w:adjustRightInd w:val="0"/>
      <w:snapToGrid w:val="0"/>
      <w:jc w:val="center"/>
    </w:pPr>
    <w:rPr>
      <w:rFonts w:ascii="Times New Roman" w:hAnsi="Times New Roman" w:eastAsia="宋体" w:cs="Times New Roman"/>
      <w:color w:val="FF0000"/>
      <w:kern w:val="2"/>
      <w:sz w:val="21"/>
      <w:szCs w:val="21"/>
      <w:lang w:val="en-US" w:eastAsia="zh-CN" w:bidi="ar-SA"/>
    </w:rPr>
  </w:style>
  <w:style w:type="paragraph" w:customStyle="1" w:styleId="91">
    <w:name w:val="a正文"/>
    <w:basedOn w:val="92"/>
    <w:autoRedefine/>
    <w:qFormat/>
    <w:uiPriority w:val="0"/>
    <w:pPr>
      <w:spacing w:line="520" w:lineRule="exact"/>
      <w:ind w:firstLine="200"/>
    </w:pPr>
    <w:rPr>
      <w:sz w:val="24"/>
    </w:rPr>
  </w:style>
  <w:style w:type="paragraph" w:customStyle="1" w:styleId="92">
    <w:name w:val="正文格式"/>
    <w:basedOn w:val="1"/>
    <w:autoRedefine/>
    <w:qFormat/>
    <w:uiPriority w:val="0"/>
    <w:pPr>
      <w:spacing w:line="360" w:lineRule="auto"/>
      <w:ind w:firstLine="420" w:firstLineChars="200"/>
    </w:pPr>
    <w:rPr>
      <w:kern w:val="0"/>
      <w:szCs w:val="21"/>
    </w:rPr>
  </w:style>
  <w:style w:type="paragraph" w:customStyle="1" w:styleId="93">
    <w:name w:val="表中的文字"/>
    <w:basedOn w:val="29"/>
    <w:autoRedefine/>
    <w:qFormat/>
    <w:uiPriority w:val="0"/>
    <w:pPr>
      <w:spacing w:before="0" w:after="0"/>
      <w:outlineLvl w:val="9"/>
    </w:pPr>
    <w:rPr>
      <w:rFonts w:ascii="Times New Roman" w:hAnsi="Times New Roman"/>
      <w:b w:val="0"/>
      <w:sz w:val="21"/>
      <w:szCs w:val="21"/>
    </w:rPr>
  </w:style>
  <w:style w:type="paragraph" w:customStyle="1" w:styleId="94">
    <w:name w:val="表格内文字"/>
    <w:basedOn w:val="1"/>
    <w:next w:val="1"/>
    <w:autoRedefine/>
    <w:qFormat/>
    <w:uiPriority w:val="0"/>
    <w:pPr>
      <w:widowControl/>
      <w:tabs>
        <w:tab w:val="left" w:pos="3345"/>
      </w:tabs>
      <w:adjustRightInd w:val="0"/>
      <w:snapToGrid w:val="0"/>
      <w:jc w:val="center"/>
    </w:pPr>
    <w:rPr>
      <w:iCs/>
      <w:kern w:val="0"/>
      <w:szCs w:val="18"/>
    </w:rPr>
  </w:style>
  <w:style w:type="paragraph" w:customStyle="1" w:styleId="95">
    <w:name w:val="C首行缩进正文"/>
    <w:basedOn w:val="56"/>
    <w:autoRedefine/>
    <w:qFormat/>
    <w:uiPriority w:val="0"/>
  </w:style>
  <w:style w:type="paragraph" w:customStyle="1" w:styleId="96">
    <w:name w:val="C【表头】"/>
    <w:basedOn w:val="1"/>
    <w:autoRedefine/>
    <w:qFormat/>
    <w:uiPriority w:val="0"/>
    <w:pPr>
      <w:widowControl/>
      <w:adjustRightInd w:val="0"/>
      <w:snapToGrid w:val="0"/>
      <w:jc w:val="center"/>
    </w:pPr>
    <w:rPr>
      <w:rFonts w:eastAsia="黑体" w:cs="宋体"/>
      <w:kern w:val="0"/>
      <w:sz w:val="24"/>
      <w:szCs w:val="20"/>
    </w:rPr>
  </w:style>
  <w:style w:type="paragraph" w:customStyle="1" w:styleId="97">
    <w:name w:val="C【表中文字】-"/>
    <w:basedOn w:val="1"/>
    <w:autoRedefine/>
    <w:qFormat/>
    <w:uiPriority w:val="0"/>
    <w:pPr>
      <w:adjustRightInd w:val="0"/>
      <w:snapToGrid w:val="0"/>
      <w:jc w:val="center"/>
    </w:pPr>
    <w:rPr>
      <w:kern w:val="0"/>
      <w:szCs w:val="20"/>
    </w:rPr>
  </w:style>
  <w:style w:type="character" w:customStyle="1" w:styleId="98">
    <w:name w:val="【正文】 Char1"/>
    <w:link w:val="56"/>
    <w:autoRedefine/>
    <w:qFormat/>
    <w:uiPriority w:val="0"/>
    <w:rPr>
      <w:rFonts w:ascii="Times New Roman" w:hAnsi="Times New Roman" w:eastAsia="宋体"/>
      <w:sz w:val="24"/>
    </w:rPr>
  </w:style>
  <w:style w:type="paragraph" w:customStyle="1" w:styleId="99">
    <w:name w:val="C表两端"/>
    <w:basedOn w:val="1"/>
    <w:autoRedefine/>
    <w:qFormat/>
    <w:uiPriority w:val="0"/>
    <w:pPr>
      <w:adjustRightInd w:val="0"/>
      <w:snapToGrid w:val="0"/>
    </w:pPr>
    <w:rPr>
      <w:kern w:val="0"/>
      <w:szCs w:val="20"/>
    </w:rPr>
  </w:style>
  <w:style w:type="paragraph" w:customStyle="1" w:styleId="100">
    <w:name w:val="首行缩进正文"/>
    <w:basedOn w:val="56"/>
    <w:autoRedefine/>
    <w:qFormat/>
    <w:uiPriority w:val="0"/>
    <w:pPr>
      <w:spacing w:line="240" w:lineRule="auto"/>
    </w:pPr>
    <w:rPr>
      <w:sz w:val="21"/>
    </w:rPr>
  </w:style>
  <w:style w:type="paragraph" w:customStyle="1" w:styleId="101">
    <w:name w:val="标准正文"/>
    <w:basedOn w:val="1"/>
    <w:autoRedefine/>
    <w:qFormat/>
    <w:uiPriority w:val="0"/>
    <w:pPr>
      <w:widowControl/>
      <w:spacing w:before="60" w:after="60" w:line="360" w:lineRule="auto"/>
      <w:ind w:firstLine="482"/>
      <w:jc w:val="left"/>
    </w:pPr>
    <w:rPr>
      <w:rFonts w:ascii="Arial" w:hAnsi="Arial"/>
      <w:sz w:val="24"/>
      <w:szCs w:val="21"/>
      <w:lang w:eastAsia="en-US" w:bidi="en-US"/>
    </w:rPr>
  </w:style>
  <w:style w:type="character" w:customStyle="1" w:styleId="102">
    <w:name w:val="批注文字 字符"/>
    <w:basedOn w:val="35"/>
    <w:link w:val="8"/>
    <w:autoRedefine/>
    <w:qFormat/>
    <w:uiPriority w:val="0"/>
    <w:rPr>
      <w:kern w:val="2"/>
      <w:sz w:val="21"/>
      <w:szCs w:val="24"/>
    </w:rPr>
  </w:style>
  <w:style w:type="character" w:customStyle="1" w:styleId="103">
    <w:name w:val="批注主题 字符"/>
    <w:basedOn w:val="102"/>
    <w:link w:val="30"/>
    <w:autoRedefine/>
    <w:qFormat/>
    <w:uiPriority w:val="0"/>
    <w:rPr>
      <w:b/>
      <w:bCs/>
      <w:kern w:val="2"/>
      <w:sz w:val="21"/>
      <w:szCs w:val="24"/>
    </w:rPr>
  </w:style>
  <w:style w:type="paragraph" w:customStyle="1" w:styleId="104">
    <w:name w:val="WPSOffice手动目录 1"/>
    <w:autoRedefine/>
    <w:qFormat/>
    <w:uiPriority w:val="0"/>
    <w:pPr>
      <w:ind w:leftChars="0"/>
    </w:pPr>
    <w:rPr>
      <w:rFonts w:ascii="Times New Roman" w:hAnsi="Times New Roman" w:eastAsia="宋体" w:cs="Times New Roman"/>
      <w:sz w:val="20"/>
      <w:szCs w:val="20"/>
    </w:rPr>
  </w:style>
  <w:style w:type="paragraph" w:customStyle="1" w:styleId="105">
    <w:name w:val="报告书正文"/>
    <w:basedOn w:val="1"/>
    <w:autoRedefine/>
    <w:qFormat/>
    <w:uiPriority w:val="0"/>
    <w:pPr>
      <w:adjustRightInd w:val="0"/>
      <w:snapToGrid w:val="0"/>
      <w:spacing w:line="360" w:lineRule="auto"/>
      <w:ind w:firstLine="425"/>
      <w:textAlignment w:val="baseline"/>
    </w:pPr>
    <w:rPr>
      <w:rFonts w:ascii="Arial" w:hAnsi="Arial" w:cs="Times New Roman"/>
      <w:kern w:val="0"/>
      <w:sz w:val="24"/>
      <w:szCs w:val="24"/>
    </w:rPr>
  </w:style>
  <w:style w:type="paragraph" w:customStyle="1" w:styleId="106">
    <w:name w:val="填表样式"/>
    <w:basedOn w:val="1"/>
    <w:autoRedefine/>
    <w:qFormat/>
    <w:uiPriority w:val="0"/>
    <w:pPr>
      <w:adjustRightInd w:val="0"/>
      <w:snapToGrid w:val="0"/>
      <w:spacing w:line="360" w:lineRule="auto"/>
      <w:ind w:firstLine="720" w:firstLineChars="200"/>
    </w:pPr>
  </w:style>
  <w:style w:type="paragraph" w:customStyle="1" w:styleId="107">
    <w:name w:val="文本"/>
    <w:basedOn w:val="1"/>
    <w:autoRedefine/>
    <w:qFormat/>
    <w:uiPriority w:val="0"/>
    <w:pPr>
      <w:adjustRightInd w:val="0"/>
      <w:jc w:val="left"/>
      <w:textAlignment w:val="baseline"/>
    </w:pPr>
    <w:rPr>
      <w:rFonts w:ascii="宋体"/>
      <w:kern w:val="0"/>
      <w:sz w:val="28"/>
      <w:szCs w:val="20"/>
    </w:rPr>
  </w:style>
  <w:style w:type="paragraph" w:customStyle="1" w:styleId="108">
    <w:name w:val="表中字"/>
    <w:basedOn w:val="1"/>
    <w:autoRedefine/>
    <w:qFormat/>
    <w:uiPriority w:val="0"/>
    <w:pPr>
      <w:spacing w:line="240" w:lineRule="atLeast"/>
      <w:jc w:val="center"/>
    </w:pPr>
    <w:rPr>
      <w:szCs w:val="22"/>
      <w:lang w:val="zh-CN"/>
    </w:rPr>
  </w:style>
  <w:style w:type="paragraph" w:customStyle="1" w:styleId="109">
    <w:name w:val="Table Text"/>
    <w:basedOn w:val="1"/>
    <w:autoRedefine/>
    <w:semiHidden/>
    <w:qFormat/>
    <w:uiPriority w:val="0"/>
    <w:rPr>
      <w:rFonts w:ascii="宋体" w:hAnsi="宋体" w:eastAsia="宋体" w:cs="宋体"/>
      <w:sz w:val="20"/>
      <w:szCs w:val="20"/>
      <w:lang w:val="en-US" w:eastAsia="en-US" w:bidi="ar-SA"/>
    </w:rPr>
  </w:style>
  <w:style w:type="paragraph" w:customStyle="1" w:styleId="110">
    <w:name w:val="首行缩进表格正文"/>
    <w:basedOn w:val="1"/>
    <w:autoRedefine/>
    <w:qFormat/>
    <w:uiPriority w:val="0"/>
    <w:pPr>
      <w:spacing w:line="360" w:lineRule="auto"/>
      <w:ind w:firstLine="720" w:firstLineChars="200"/>
      <w:jc w:val="left"/>
    </w:pPr>
    <w:rPr>
      <w:sz w:val="24"/>
    </w:rPr>
  </w:style>
  <w:style w:type="paragraph" w:customStyle="1" w:styleId="111">
    <w:name w:val="正文样式1"/>
    <w:basedOn w:val="1"/>
    <w:qFormat/>
    <w:uiPriority w:val="0"/>
    <w:pPr>
      <w:adjustRightInd w:val="0"/>
      <w:spacing w:line="288" w:lineRule="auto"/>
      <w:ind w:firstLine="360" w:firstLineChars="150"/>
      <w:textAlignment w:val="baseline"/>
    </w:pPr>
    <w:rPr>
      <w:rFonts w:ascii="Calibri" w:hAnsi="Calibri"/>
      <w:kern w:val="0"/>
      <w:sz w:val="24"/>
      <w:szCs w:val="20"/>
    </w:rPr>
  </w:style>
  <w:style w:type="character" w:customStyle="1" w:styleId="112">
    <w:name w:val="正文文本 字符"/>
    <w:basedOn w:val="35"/>
    <w:link w:val="10"/>
    <w:qFormat/>
    <w:uiPriority w:val="0"/>
  </w:style>
  <w:style w:type="character" w:customStyle="1" w:styleId="113">
    <w:name w:val="正文首行缩进 字符"/>
    <w:basedOn w:val="112"/>
    <w:link w:val="31"/>
    <w:qFormat/>
    <w:uiPriority w:val="0"/>
  </w:style>
  <w:style w:type="paragraph" w:customStyle="1" w:styleId="114">
    <w:name w:val="设计表格"/>
    <w:basedOn w:val="1"/>
    <w:qFormat/>
    <w:uiPriority w:val="0"/>
    <w:pPr>
      <w:adjustRightInd w:val="0"/>
      <w:jc w:val="center"/>
    </w:pPr>
    <w:rPr>
      <w:kern w:val="0"/>
      <w:sz w:val="24"/>
    </w:rPr>
  </w:style>
  <w:style w:type="paragraph" w:customStyle="1" w:styleId="115">
    <w:name w:val="表中表-居中"/>
    <w:basedOn w:val="1"/>
    <w:qFormat/>
    <w:uiPriority w:val="0"/>
    <w:pPr>
      <w:autoSpaceDE w:val="0"/>
      <w:autoSpaceDN w:val="0"/>
      <w:adjustRightInd w:val="0"/>
      <w:snapToGrid w:val="0"/>
      <w:jc w:val="center"/>
    </w:pPr>
    <w:rPr>
      <w:rFonts w:eastAsia="仿宋"/>
      <w:szCs w:val="21"/>
    </w:rPr>
  </w:style>
  <w:style w:type="paragraph" w:customStyle="1" w:styleId="116">
    <w:name w:val="表头和图片"/>
    <w:basedOn w:val="18"/>
    <w:next w:val="1"/>
    <w:autoRedefine/>
    <w:qFormat/>
    <w:uiPriority w:val="0"/>
    <w:pPr>
      <w:spacing w:line="480" w:lineRule="exact"/>
      <w:jc w:val="center"/>
    </w:pPr>
    <w:rPr>
      <w:rFonts w:ascii="Times New Roman" w:hAnsi="Times New Roman" w:eastAsia="黑体"/>
      <w:b/>
    </w:rPr>
  </w:style>
  <w:style w:type="paragraph" w:customStyle="1" w:styleId="117">
    <w:name w:val="WW-纯文本"/>
    <w:basedOn w:val="1"/>
    <w:autoRedefine/>
    <w:qFormat/>
    <w:uiPriority w:val="0"/>
    <w:pPr>
      <w:suppressAutoHyphens/>
      <w:spacing w:line="312" w:lineRule="atLeast"/>
      <w:textAlignment w:val="baseline"/>
    </w:pPr>
    <w:rPr>
      <w:rFonts w:ascii="宋体" w:hAnsi="宋体" w:eastAsia="楷体_GB2312" w:cs="Courier New"/>
      <w:szCs w:val="21"/>
    </w:rPr>
  </w:style>
  <w:style w:type="paragraph" w:customStyle="1" w:styleId="118">
    <w:name w:val="Char Char Char Char Char Char Char2"/>
    <w:basedOn w:val="1"/>
    <w:qFormat/>
    <w:uiPriority w:val="0"/>
    <w:pPr>
      <w:snapToGrid w:val="0"/>
      <w:spacing w:line="360" w:lineRule="auto"/>
      <w:ind w:firstLine="529" w:firstLineChars="200"/>
    </w:pPr>
    <w:rPr>
      <w:rFonts w:ascii="Times New Roman" w:hAnsi="Times New Roman" w:cs="Times New Roman"/>
      <w:szCs w:val="24"/>
    </w:rPr>
  </w:style>
  <w:style w:type="paragraph" w:customStyle="1" w:styleId="119">
    <w:name w:val="我的正文"/>
    <w:basedOn w:val="1"/>
    <w:autoRedefine/>
    <w:qFormat/>
    <w:uiPriority w:val="0"/>
    <w:pPr>
      <w:adjustRightInd w:val="0"/>
      <w:snapToGrid w:val="0"/>
      <w:spacing w:line="480" w:lineRule="exact"/>
      <w:ind w:firstLine="720" w:firstLineChars="200"/>
      <w:jc w:val="left"/>
    </w:pPr>
    <w:rPr>
      <w:rFonts w:ascii="Times New Roman" w:hAnsi="Times New Roman" w:eastAsia="宋体" w:cs="宋体"/>
      <w:bCs/>
      <w:szCs w:val="21"/>
    </w:rPr>
  </w:style>
  <w:style w:type="paragraph" w:customStyle="1" w:styleId="120">
    <w:name w:val="首行缩进2字符"/>
    <w:basedOn w:val="121"/>
    <w:qFormat/>
    <w:uiPriority w:val="0"/>
    <w:pPr>
      <w:ind w:firstLine="480"/>
    </w:pPr>
    <w:rPr>
      <w:color w:val="auto"/>
    </w:rPr>
  </w:style>
  <w:style w:type="paragraph" w:customStyle="1" w:styleId="121">
    <w:name w:val="AAA首行缩进2字符正文"/>
    <w:basedOn w:val="100"/>
    <w:qFormat/>
    <w:uiPriority w:val="0"/>
    <w:pPr>
      <w:adjustRightInd w:val="0"/>
      <w:snapToGrid w:val="0"/>
      <w:spacing w:line="500" w:lineRule="exact"/>
    </w:pPr>
    <w:rPr>
      <w:rFonts w:ascii="Times New Roman" w:hAnsi="Times New Roman" w:eastAsia="仿宋"/>
      <w:color w:val="4472C4" w:themeColor="accent5"/>
      <w:sz w:val="24"/>
      <w14:textFill>
        <w14:solidFill>
          <w14:schemeClr w14:val="accent5"/>
        </w14:solidFill>
      </w14:textFill>
    </w:rPr>
  </w:style>
  <w:style w:type="paragraph" w:customStyle="1" w:styleId="122">
    <w:name w:val="- 页码 -"/>
    <w:qFormat/>
    <w:uiPriority w:val="0"/>
    <w:pPr>
      <w:widowControl w:val="0"/>
      <w:spacing w:line="360" w:lineRule="auto"/>
      <w:ind w:firstLine="200" w:firstLineChars="200"/>
      <w:jc w:val="both"/>
    </w:pPr>
    <w:rPr>
      <w:rFonts w:ascii="Calibri" w:hAnsi="Calibri" w:eastAsia="宋体" w:cs="Times New Roman"/>
      <w:kern w:val="2"/>
      <w:sz w:val="24"/>
      <w:lang w:val="en-US" w:eastAsia="zh-CN" w:bidi="ar-SA"/>
    </w:rPr>
  </w:style>
  <w:style w:type="paragraph" w:customStyle="1" w:styleId="123">
    <w:name w:val="雪表头"/>
    <w:basedOn w:val="1"/>
    <w:next w:val="1"/>
    <w:qFormat/>
    <w:uiPriority w:val="0"/>
    <w:pPr>
      <w:keepNext/>
      <w:spacing w:line="500" w:lineRule="exact"/>
      <w:jc w:val="center"/>
    </w:pPr>
    <w:rPr>
      <w:rFonts w:eastAsia="黑体"/>
    </w:rPr>
  </w:style>
  <w:style w:type="paragraph" w:customStyle="1" w:styleId="124">
    <w:name w:val="表格中文字"/>
    <w:basedOn w:val="1"/>
    <w:qFormat/>
    <w:uiPriority w:val="0"/>
    <w:pPr>
      <w:spacing w:line="360" w:lineRule="exact"/>
      <w:ind w:firstLine="0" w:firstLineChars="0"/>
      <w:jc w:val="center"/>
    </w:pPr>
    <w:rPr>
      <w:kern w:val="0"/>
      <w:sz w:val="21"/>
      <w:szCs w:val="21"/>
    </w:rPr>
  </w:style>
  <w:style w:type="paragraph" w:customStyle="1" w:styleId="125">
    <w:name w:val="表表头"/>
    <w:basedOn w:val="1"/>
    <w:qFormat/>
    <w:uiPriority w:val="0"/>
    <w:pPr>
      <w:ind w:firstLine="0" w:firstLineChars="0"/>
      <w:jc w:val="center"/>
    </w:pPr>
    <w:rPr>
      <w:rFonts w:eastAsia="黑体"/>
    </w:rPr>
  </w:style>
  <w:style w:type="paragraph" w:customStyle="1" w:styleId="126">
    <w:name w:val="居中表格内容"/>
    <w:basedOn w:val="1"/>
    <w:autoRedefine/>
    <w:qFormat/>
    <w:uiPriority w:val="0"/>
    <w:pPr>
      <w:jc w:val="center"/>
    </w:pPr>
    <w:rPr>
      <w:rFonts w:hint="eastAsia" w:eastAsia="宋体"/>
      <w:szCs w:val="20"/>
    </w:rPr>
  </w:style>
  <w:style w:type="paragraph" w:customStyle="1" w:styleId="127">
    <w:name w:val="《正文》"/>
    <w:basedOn w:val="1"/>
    <w:qFormat/>
    <w:uiPriority w:val="0"/>
    <w:pPr>
      <w:spacing w:line="360" w:lineRule="auto"/>
      <w:ind w:firstLine="200" w:firstLineChars="200"/>
    </w:pPr>
    <w:rPr>
      <w:sz w:val="24"/>
    </w:rPr>
  </w:style>
  <w:style w:type="paragraph" w:customStyle="1" w:styleId="128">
    <w:name w:val="报告表正文"/>
    <w:basedOn w:val="1"/>
    <w:qFormat/>
    <w:uiPriority w:val="0"/>
    <w:pPr>
      <w:spacing w:line="360" w:lineRule="auto"/>
      <w:ind w:firstLine="720" w:firstLineChars="200"/>
    </w:pPr>
    <w:rPr>
      <w:rFonts w:hint="eastAsia" w:ascii="Times New Roman" w:hAnsi="Times New Roman" w:eastAsia="宋体"/>
      <w:sz w:val="24"/>
    </w:rPr>
  </w:style>
  <w:style w:type="paragraph" w:customStyle="1" w:styleId="129">
    <w:name w:val="表格里"/>
    <w:basedOn w:val="64"/>
    <w:next w:val="64"/>
    <w:qFormat/>
    <w:uiPriority w:val="0"/>
    <w:pPr>
      <w:spacing w:line="240" w:lineRule="auto"/>
      <w:ind w:firstLine="0" w:firstLineChars="0"/>
      <w:jc w:val="center"/>
    </w:pPr>
    <w:rPr>
      <w:rFonts w:ascii="Times New Roman" w:hAnsi="Times New Roman" w:cs="Times New Roman"/>
      <w:snapToGrid w:val="0"/>
    </w:rPr>
  </w:style>
  <w:style w:type="paragraph" w:customStyle="1" w:styleId="130">
    <w:name w:val="报告正文"/>
    <w:basedOn w:val="1"/>
    <w:qFormat/>
    <w:uiPriority w:val="0"/>
    <w:pPr>
      <w:spacing w:line="360" w:lineRule="auto"/>
      <w:ind w:firstLine="720" w:firstLineChars="200"/>
    </w:pPr>
    <w:rPr>
      <w:rFonts w:ascii="Times New Roman" w:hAnsi="Times New Roman" w:eastAsia="宋体" w:cs="Times New Roman"/>
      <w:sz w:val="24"/>
      <w:szCs w:val="24"/>
    </w:rPr>
  </w:style>
  <w:style w:type="paragraph" w:customStyle="1" w:styleId="131">
    <w:name w:val="..正文"/>
    <w:basedOn w:val="1"/>
    <w:qFormat/>
    <w:uiPriority w:val="0"/>
    <w:pPr>
      <w:spacing w:line="520" w:lineRule="exact"/>
      <w:ind w:firstLine="200" w:firstLineChars="200"/>
    </w:pPr>
    <w:rPr>
      <w:kern w:val="0"/>
      <w:sz w:val="24"/>
    </w:rPr>
  </w:style>
  <w:style w:type="paragraph" w:customStyle="1" w:styleId="132">
    <w:name w:val="表格内容"/>
    <w:basedOn w:val="133"/>
    <w:next w:val="1"/>
    <w:qFormat/>
    <w:uiPriority w:val="0"/>
    <w:pPr>
      <w:spacing w:line="340" w:lineRule="exact"/>
      <w:jc w:val="center"/>
    </w:pPr>
    <w:rPr>
      <w:rFonts w:ascii="宋体" w:hAnsi="宋体"/>
      <w:szCs w:val="21"/>
    </w:rPr>
  </w:style>
  <w:style w:type="paragraph" w:customStyle="1" w:styleId="133">
    <w:name w:val="封皮-证书编号"/>
    <w:basedOn w:val="1"/>
    <w:qFormat/>
    <w:uiPriority w:val="0"/>
    <w:pPr>
      <w:jc w:val="center"/>
    </w:pPr>
    <w:rPr>
      <w:rFonts w:eastAsia="黑体"/>
      <w:sz w:val="28"/>
    </w:rPr>
  </w:style>
  <w:style w:type="character" w:customStyle="1" w:styleId="134">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48.png"/><Relationship Id="rId65" Type="http://schemas.openxmlformats.org/officeDocument/2006/relationships/image" Target="media/image47.jpeg"/><Relationship Id="rId64" Type="http://schemas.openxmlformats.org/officeDocument/2006/relationships/image" Target="media/image46.jpe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footer" Target="footer4.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footer" Target="footer3.xml"/><Relationship Id="rId49" Type="http://schemas.openxmlformats.org/officeDocument/2006/relationships/image" Target="media/image31.jpeg"/><Relationship Id="rId48" Type="http://schemas.openxmlformats.org/officeDocument/2006/relationships/image" Target="media/image30.jpeg"/><Relationship Id="rId47" Type="http://schemas.openxmlformats.org/officeDocument/2006/relationships/image" Target="media/image29.jpeg"/><Relationship Id="rId46" Type="http://schemas.openxmlformats.org/officeDocument/2006/relationships/image" Target="media/image28.jpeg"/><Relationship Id="rId45" Type="http://schemas.openxmlformats.org/officeDocument/2006/relationships/image" Target="media/image27.jpe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wmf"/><Relationship Id="rId40" Type="http://schemas.openxmlformats.org/officeDocument/2006/relationships/oleObject" Target="embeddings/oleObject8.bin"/><Relationship Id="rId4" Type="http://schemas.openxmlformats.org/officeDocument/2006/relationships/footer" Target="footer2.xml"/><Relationship Id="rId39" Type="http://schemas.openxmlformats.org/officeDocument/2006/relationships/image" Target="media/image22.wmf"/><Relationship Id="rId38" Type="http://schemas.openxmlformats.org/officeDocument/2006/relationships/oleObject" Target="embeddings/oleObject7.bin"/><Relationship Id="rId37" Type="http://schemas.openxmlformats.org/officeDocument/2006/relationships/image" Target="media/image21.wmf"/><Relationship Id="rId36" Type="http://schemas.openxmlformats.org/officeDocument/2006/relationships/oleObject" Target="embeddings/oleObject6.bin"/><Relationship Id="rId35" Type="http://schemas.openxmlformats.org/officeDocument/2006/relationships/image" Target="media/image20.wmf"/><Relationship Id="rId34" Type="http://schemas.openxmlformats.org/officeDocument/2006/relationships/oleObject" Target="embeddings/oleObject5.bin"/><Relationship Id="rId33" Type="http://schemas.openxmlformats.org/officeDocument/2006/relationships/image" Target="media/image19.wmf"/><Relationship Id="rId32" Type="http://schemas.openxmlformats.org/officeDocument/2006/relationships/oleObject" Target="embeddings/oleObject4.bin"/><Relationship Id="rId31" Type="http://schemas.openxmlformats.org/officeDocument/2006/relationships/image" Target="media/image18.wmf"/><Relationship Id="rId30" Type="http://schemas.openxmlformats.org/officeDocument/2006/relationships/oleObject" Target="embeddings/oleObject3.bin"/><Relationship Id="rId3" Type="http://schemas.openxmlformats.org/officeDocument/2006/relationships/footer" Target="footer1.xml"/><Relationship Id="rId29" Type="http://schemas.openxmlformats.org/officeDocument/2006/relationships/image" Target="media/image17.wmf"/><Relationship Id="rId28" Type="http://schemas.openxmlformats.org/officeDocument/2006/relationships/oleObject" Target="embeddings/oleObject2.bin"/><Relationship Id="rId27" Type="http://schemas.openxmlformats.org/officeDocument/2006/relationships/image" Target="media/image16.wmf"/><Relationship Id="rId26" Type="http://schemas.openxmlformats.org/officeDocument/2006/relationships/image" Target="media/image15.jpe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1.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35236</Words>
  <Characters>39824</Characters>
  <Lines>188</Lines>
  <Paragraphs>53</Paragraphs>
  <TotalTime>13</TotalTime>
  <ScaleCrop>false</ScaleCrop>
  <LinksUpToDate>false</LinksUpToDate>
  <CharactersWithSpaces>39923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2021-03-10T16:40:00Z</dcterms:created>
  <dc:creator>嘤萦影映</dc:creator>
  <cp:lastModifiedBy>大领导的小跟班</cp:lastModifiedBy>
  <cp:lastPrinted>2024-10-17T06:21:00Z</cp:lastPrinted>
  <dcterms:modified xsi:type="dcterms:W3CDTF">2026-09-22T07:40:15Z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57942BBC55DC43FCAEC4CD207B4F1DC9_13</vt:lpwstr>
  </property>
  <property fmtid="{D5CDD505-2E9C-101B-9397-08002B2CF9AE}" pid="4" name="KSOTemplateDocerSaveRecord">
    <vt:lpwstr>eyJoZGlkIjoiNDVhNTdlYzY0Y2FmYWM0OWQ2OTFiMTgxNzVlM2E2MDQiLCJ1c2VySWQiOiIzMzgyMTY4MjkifQ==</vt:lpwstr>
  </property>
</Properties>
</file>